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5533C785" w:rsidR="00B60939" w:rsidRPr="0098262F" w:rsidRDefault="0019518D" w:rsidP="00254B98">
      <w:pPr>
        <w:pStyle w:val="1-MainHeading"/>
      </w:pPr>
      <w:bookmarkStart w:id="0" w:name="_Toc193124280"/>
      <w:r>
        <w:t>5.06</w:t>
      </w:r>
      <w:r w:rsidR="00163F66" w:rsidRPr="0098262F">
        <w:tab/>
      </w:r>
      <w:r w:rsidR="00717314">
        <w:t>REPOTRE</w:t>
      </w:r>
      <w:r w:rsidR="00415ACA">
        <w:t>CTINIB</w:t>
      </w:r>
      <w:r w:rsidR="00163F66">
        <w:t>,</w:t>
      </w:r>
      <w:r w:rsidR="00433044">
        <w:br/>
      </w:r>
      <w:r w:rsidR="0035044B" w:rsidRPr="0035044B">
        <w:t>Capsule 40 mg</w:t>
      </w:r>
      <w:r w:rsidR="0035044B">
        <w:t>,</w:t>
      </w:r>
      <w:r w:rsidR="0035044B" w:rsidRPr="0035044B">
        <w:t xml:space="preserve"> </w:t>
      </w:r>
      <w:r w:rsidR="00254B98">
        <w:br/>
      </w:r>
      <w:r w:rsidR="0035044B" w:rsidRPr="0035044B">
        <w:t>Capsule 160 mg</w:t>
      </w:r>
      <w:r w:rsidR="0035044B">
        <w:t>,</w:t>
      </w:r>
      <w:r w:rsidR="0035044B" w:rsidRPr="0035044B">
        <w:t xml:space="preserve">  </w:t>
      </w:r>
      <w:r w:rsidR="00433044">
        <w:br/>
      </w:r>
      <w:proofErr w:type="spellStart"/>
      <w:r w:rsidR="00A275C5">
        <w:t>Aug</w:t>
      </w:r>
      <w:r w:rsidR="00BA052B">
        <w:t>tyro</w:t>
      </w:r>
      <w:proofErr w:type="spellEnd"/>
      <w:r w:rsidR="00B60939" w:rsidRPr="413CB681">
        <w:rPr>
          <w:vertAlign w:val="superscript"/>
        </w:rPr>
        <w:t>®</w:t>
      </w:r>
      <w:r w:rsidR="004A6040">
        <w:t>,</w:t>
      </w:r>
      <w:r w:rsidR="00433044">
        <w:br/>
      </w:r>
      <w:r w:rsidR="00BA052B">
        <w:t xml:space="preserve">Bristol-Myers Squibb Australia </w:t>
      </w:r>
      <w:r w:rsidR="004910C8" w:rsidRPr="2B21198B">
        <w:t>Proprietary Limited</w:t>
      </w:r>
      <w:r w:rsidR="00B60939">
        <w:t>.</w:t>
      </w:r>
      <w:bookmarkEnd w:id="0"/>
      <w:r w:rsidR="00F73E08">
        <w:t xml:space="preserve"> </w:t>
      </w:r>
    </w:p>
    <w:p w14:paraId="11C00795" w14:textId="659D2EF9" w:rsidR="00B50DB8" w:rsidRPr="0098262F" w:rsidRDefault="00B50DB8" w:rsidP="004A6040">
      <w:pPr>
        <w:pStyle w:val="2-SectionHeading"/>
      </w:pPr>
      <w:bookmarkStart w:id="1" w:name="_Toc193124283"/>
      <w:r w:rsidRPr="0098262F">
        <w:t xml:space="preserve">Purpose of </w:t>
      </w:r>
      <w:r w:rsidR="00CD7193" w:rsidRPr="0098262F">
        <w:t>s</w:t>
      </w:r>
      <w:r w:rsidR="00BB3A45" w:rsidRPr="0098262F">
        <w:t>ubmission</w:t>
      </w:r>
      <w:bookmarkEnd w:id="1"/>
    </w:p>
    <w:p w14:paraId="19414AA1" w14:textId="679FD446" w:rsidR="002C2775" w:rsidRPr="0098262F" w:rsidRDefault="007170DA" w:rsidP="004E18E9">
      <w:pPr>
        <w:pStyle w:val="3-BodyText"/>
      </w:pPr>
      <w:r w:rsidRPr="0098262F">
        <w:t xml:space="preserve">The </w:t>
      </w:r>
      <w:r w:rsidR="00F73E08" w:rsidRPr="0098262F">
        <w:t xml:space="preserve">Category </w:t>
      </w:r>
      <w:r w:rsidR="00183381">
        <w:t xml:space="preserve">2 </w:t>
      </w:r>
      <w:r w:rsidRPr="0098262F">
        <w:t>submission requeste</w:t>
      </w:r>
      <w:r w:rsidR="00CF1317">
        <w:t>d a</w:t>
      </w:r>
      <w:r w:rsidR="00FD67A8">
        <w:t xml:space="preserve"> </w:t>
      </w:r>
      <w:r w:rsidR="003C23F8">
        <w:t>Section 85 (</w:t>
      </w:r>
      <w:r w:rsidR="00FD67A8">
        <w:t>General Schedule</w:t>
      </w:r>
      <w:r w:rsidR="003C23F8">
        <w:t>)</w:t>
      </w:r>
      <w:r w:rsidR="00FD67A8">
        <w:t xml:space="preserve"> </w:t>
      </w:r>
      <w:r w:rsidR="008B1757" w:rsidRPr="0098262F">
        <w:t>Authority Required</w:t>
      </w:r>
      <w:r w:rsidR="00560924">
        <w:t xml:space="preserve"> Pharmaceutical Benefits Scheme (PBS)</w:t>
      </w:r>
      <w:r w:rsidR="00953DC5">
        <w:t xml:space="preserve"> </w:t>
      </w:r>
      <w:r w:rsidR="008B1757" w:rsidRPr="0098262F">
        <w:t xml:space="preserve">listing for </w:t>
      </w:r>
      <w:r w:rsidR="001F6CA6" w:rsidRPr="001F6CA6">
        <w:t xml:space="preserve">repotrectinib for the treatment of adult patients with locally advanced </w:t>
      </w:r>
      <w:r w:rsidR="00BE4C78">
        <w:t>(</w:t>
      </w:r>
      <w:r w:rsidR="00FB63D1">
        <w:t>S</w:t>
      </w:r>
      <w:r w:rsidR="00BE4C78">
        <w:t xml:space="preserve">tage IIIB) </w:t>
      </w:r>
      <w:r w:rsidR="001F6CA6" w:rsidRPr="001F6CA6">
        <w:t>or metastatic</w:t>
      </w:r>
      <w:r w:rsidR="00BE4C78">
        <w:t xml:space="preserve"> (</w:t>
      </w:r>
      <w:r w:rsidR="00FB63D1">
        <w:t>S</w:t>
      </w:r>
      <w:r w:rsidR="00BE4C78">
        <w:t xml:space="preserve">tage </w:t>
      </w:r>
      <w:r w:rsidR="00A60470">
        <w:t>IV)</w:t>
      </w:r>
      <w:r w:rsidR="001F6CA6" w:rsidRPr="001F6CA6">
        <w:t xml:space="preserve"> </w:t>
      </w:r>
      <w:r w:rsidR="003C4CDF">
        <w:t>c-</w:t>
      </w:r>
      <w:r w:rsidR="00A42665" w:rsidRPr="00A42665">
        <w:t>ROS proto-oncogene 1</w:t>
      </w:r>
      <w:r w:rsidR="00A42665">
        <w:t xml:space="preserve"> (</w:t>
      </w:r>
      <w:r w:rsidR="001F6CA6" w:rsidRPr="002D55BA">
        <w:rPr>
          <w:i/>
          <w:iCs/>
        </w:rPr>
        <w:t>ROS1</w:t>
      </w:r>
      <w:r w:rsidR="00A42665">
        <w:t>)</w:t>
      </w:r>
      <w:r w:rsidR="001F6CA6" w:rsidRPr="001F6CA6">
        <w:t>-positive non-small cell lung cancer (NSCLC).</w:t>
      </w:r>
    </w:p>
    <w:p w14:paraId="4E9FBCB5" w14:textId="759D983F" w:rsidR="00C2778B" w:rsidRPr="0098262F" w:rsidRDefault="005750C5" w:rsidP="004E18E9">
      <w:pPr>
        <w:pStyle w:val="3-BodyText"/>
      </w:pPr>
      <w:r w:rsidRPr="0098262F">
        <w:t>Listing was requested on the basis of a cost-minimisation</w:t>
      </w:r>
      <w:r w:rsidR="00835022">
        <w:t xml:space="preserve"> </w:t>
      </w:r>
      <w:r w:rsidR="004C11D6">
        <w:t xml:space="preserve">analysis </w:t>
      </w:r>
      <w:r w:rsidR="009D14D0">
        <w:t xml:space="preserve">(CMA) </w:t>
      </w:r>
      <w:r w:rsidRPr="0098262F">
        <w:t>versus</w:t>
      </w:r>
      <w:r w:rsidR="009D14D0">
        <w:t xml:space="preserve"> </w:t>
      </w:r>
      <w:r w:rsidR="00835022">
        <w:t>e</w:t>
      </w:r>
      <w:r w:rsidR="009D14D0">
        <w:t>nt</w:t>
      </w:r>
      <w:r w:rsidR="00B200AA">
        <w:t>rectinib</w:t>
      </w:r>
      <w:r w:rsidR="000000EC">
        <w:t>.</w:t>
      </w:r>
    </w:p>
    <w:p w14:paraId="3718DE61" w14:textId="09EBAECA" w:rsidR="008B1757" w:rsidRPr="0098262F" w:rsidRDefault="00696EF9" w:rsidP="00AA25E4">
      <w:pPr>
        <w:pStyle w:val="TableFigureHeading"/>
        <w:spacing w:after="60"/>
        <w:rPr>
          <w:rStyle w:val="CommentReference"/>
          <w:b/>
          <w:szCs w:val="24"/>
        </w:rPr>
      </w:pPr>
      <w:bookmarkStart w:id="2" w:name="_Ref191641600"/>
      <w:r w:rsidRPr="0098262F">
        <w:t xml:space="preserve">Table </w:t>
      </w:r>
      <w:r w:rsidR="00C72CC6">
        <w:fldChar w:fldCharType="begin"/>
      </w:r>
      <w:r w:rsidR="00C72CC6">
        <w:instrText xml:space="preserve"> SEQ Table \* ARABIC </w:instrText>
      </w:r>
      <w:r w:rsidR="00C72CC6">
        <w:fldChar w:fldCharType="separate"/>
      </w:r>
      <w:r w:rsidR="00D32E93">
        <w:rPr>
          <w:noProof/>
        </w:rPr>
        <w:t>1</w:t>
      </w:r>
      <w:r w:rsidR="00C72CC6">
        <w:rPr>
          <w:noProof/>
        </w:rPr>
        <w:fldChar w:fldCharType="end"/>
      </w:r>
      <w:bookmarkEnd w:id="2"/>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555"/>
        <w:gridCol w:w="7462"/>
      </w:tblGrid>
      <w:tr w:rsidR="008B1757" w:rsidRPr="0098262F" w14:paraId="569F5103" w14:textId="77777777" w:rsidTr="00AA25E4">
        <w:trPr>
          <w:cantSplit/>
          <w:tblHeader/>
        </w:trPr>
        <w:tc>
          <w:tcPr>
            <w:tcW w:w="862" w:type="pct"/>
            <w:tcBorders>
              <w:top w:val="single" w:sz="4" w:space="0" w:color="auto"/>
              <w:left w:val="single" w:sz="4" w:space="0" w:color="auto"/>
              <w:bottom w:val="single" w:sz="4" w:space="0" w:color="auto"/>
              <w:right w:val="single" w:sz="4" w:space="0" w:color="auto"/>
            </w:tcBorders>
            <w:shd w:val="clear" w:color="auto" w:fill="auto"/>
          </w:tcPr>
          <w:p w14:paraId="501803FB" w14:textId="77777777" w:rsidR="008B1757" w:rsidRPr="0098262F" w:rsidRDefault="008B1757" w:rsidP="004A6040">
            <w:pPr>
              <w:pStyle w:val="In-tableHeading"/>
              <w:rPr>
                <w:szCs w:val="20"/>
                <w:lang w:val="en-AU"/>
              </w:rPr>
            </w:pPr>
            <w:r w:rsidRPr="0098262F">
              <w:rPr>
                <w:lang w:val="en-AU"/>
              </w:rPr>
              <w:t>Component</w:t>
            </w:r>
          </w:p>
        </w:tc>
        <w:tc>
          <w:tcPr>
            <w:tcW w:w="4138" w:type="pct"/>
            <w:tcBorders>
              <w:top w:val="single" w:sz="4" w:space="0" w:color="auto"/>
              <w:left w:val="single" w:sz="4" w:space="0" w:color="auto"/>
              <w:bottom w:val="single" w:sz="4" w:space="0" w:color="auto"/>
              <w:right w:val="single" w:sz="4" w:space="0" w:color="auto"/>
            </w:tcBorders>
            <w:shd w:val="clear" w:color="auto" w:fill="auto"/>
          </w:tcPr>
          <w:p w14:paraId="445D9EBB" w14:textId="77777777" w:rsidR="008B1757" w:rsidRPr="0098262F" w:rsidRDefault="008B1757" w:rsidP="004A6040">
            <w:pPr>
              <w:pStyle w:val="In-tableHeading"/>
              <w:rPr>
                <w:lang w:val="en-AU"/>
              </w:rPr>
            </w:pPr>
            <w:r w:rsidRPr="0098262F">
              <w:rPr>
                <w:lang w:val="en-AU"/>
              </w:rPr>
              <w:t>Description</w:t>
            </w:r>
          </w:p>
        </w:tc>
      </w:tr>
      <w:tr w:rsidR="008B1757" w:rsidRPr="0098262F" w14:paraId="2EB546E2" w14:textId="77777777" w:rsidTr="00CE650A">
        <w:trPr>
          <w:cantSplit/>
        </w:trPr>
        <w:tc>
          <w:tcPr>
            <w:tcW w:w="862" w:type="pct"/>
            <w:tcBorders>
              <w:top w:val="single" w:sz="4" w:space="0" w:color="auto"/>
            </w:tcBorders>
            <w:shd w:val="clear" w:color="auto" w:fill="auto"/>
          </w:tcPr>
          <w:p w14:paraId="38F3BB34" w14:textId="77777777" w:rsidR="008B1757" w:rsidRPr="0098262F" w:rsidRDefault="008B1757" w:rsidP="004A6040">
            <w:pPr>
              <w:pStyle w:val="TableText0"/>
            </w:pPr>
            <w:r w:rsidRPr="0098262F">
              <w:t>Population</w:t>
            </w:r>
          </w:p>
        </w:tc>
        <w:tc>
          <w:tcPr>
            <w:tcW w:w="4138" w:type="pct"/>
            <w:tcBorders>
              <w:top w:val="single" w:sz="4" w:space="0" w:color="auto"/>
            </w:tcBorders>
            <w:shd w:val="clear" w:color="auto" w:fill="auto"/>
          </w:tcPr>
          <w:p w14:paraId="79618EEE" w14:textId="730C6151" w:rsidR="00233C01" w:rsidRPr="0098262F" w:rsidRDefault="003A120B" w:rsidP="00972B26">
            <w:pPr>
              <w:pStyle w:val="TableText0"/>
              <w:rPr>
                <w:szCs w:val="20"/>
              </w:rPr>
            </w:pPr>
            <w:r>
              <w:t xml:space="preserve">Patients with </w:t>
            </w:r>
            <w:r w:rsidR="00420EDF">
              <w:t>c-</w:t>
            </w:r>
            <w:r w:rsidR="00F659E4">
              <w:t xml:space="preserve">ROS </w:t>
            </w:r>
            <w:r w:rsidR="00420EDF">
              <w:t>proto-oncogene 1 (</w:t>
            </w:r>
            <w:r w:rsidR="00420EDF" w:rsidRPr="00586326">
              <w:rPr>
                <w:i/>
                <w:iCs/>
              </w:rPr>
              <w:t>ROS1</w:t>
            </w:r>
            <w:r w:rsidR="00420EDF">
              <w:t xml:space="preserve">), </w:t>
            </w:r>
            <w:r>
              <w:t xml:space="preserve">locally advanced </w:t>
            </w:r>
            <w:r w:rsidR="001D28CC">
              <w:t>(</w:t>
            </w:r>
            <w:r w:rsidR="00420EDF">
              <w:t>S</w:t>
            </w:r>
            <w:r w:rsidR="001D28CC">
              <w:t xml:space="preserve">tage IIIB) </w:t>
            </w:r>
            <w:r>
              <w:t xml:space="preserve">or metastatic </w:t>
            </w:r>
            <w:r w:rsidR="00511600">
              <w:t>(</w:t>
            </w:r>
            <w:r w:rsidR="00420EDF">
              <w:t>S</w:t>
            </w:r>
            <w:r w:rsidR="00511600">
              <w:t xml:space="preserve">tage IV) </w:t>
            </w:r>
            <w:r>
              <w:t>NSCLC</w:t>
            </w:r>
          </w:p>
        </w:tc>
      </w:tr>
      <w:tr w:rsidR="008B1757" w:rsidRPr="0098262F" w14:paraId="0CA523AF" w14:textId="77777777" w:rsidTr="00442FE3">
        <w:trPr>
          <w:cantSplit/>
        </w:trPr>
        <w:tc>
          <w:tcPr>
            <w:tcW w:w="862" w:type="pct"/>
            <w:shd w:val="clear" w:color="auto" w:fill="auto"/>
          </w:tcPr>
          <w:p w14:paraId="7B6D20D8" w14:textId="77777777" w:rsidR="008B1757" w:rsidRPr="0098262F" w:rsidRDefault="008B1757" w:rsidP="004A6040">
            <w:pPr>
              <w:pStyle w:val="TableText0"/>
            </w:pPr>
            <w:r w:rsidRPr="0098262F">
              <w:t>Intervention</w:t>
            </w:r>
          </w:p>
        </w:tc>
        <w:tc>
          <w:tcPr>
            <w:tcW w:w="4138" w:type="pct"/>
            <w:shd w:val="clear" w:color="auto" w:fill="auto"/>
          </w:tcPr>
          <w:p w14:paraId="2491E905" w14:textId="4FFC7F92" w:rsidR="00233C01" w:rsidRPr="0098262F" w:rsidRDefault="00FA099C" w:rsidP="00972B26">
            <w:pPr>
              <w:pStyle w:val="TableText0"/>
            </w:pPr>
            <w:r>
              <w:t>Repotrectinib</w:t>
            </w:r>
            <w:r w:rsidR="006E0AF4">
              <w:t xml:space="preserve"> </w:t>
            </w:r>
            <w:r w:rsidR="00EC792C">
              <w:t>160</w:t>
            </w:r>
            <w:r w:rsidR="00633B34">
              <w:t xml:space="preserve"> </w:t>
            </w:r>
            <w:r w:rsidR="00EC792C">
              <w:t xml:space="preserve">mg </w:t>
            </w:r>
            <w:r w:rsidR="005C3381">
              <w:t>(</w:t>
            </w:r>
            <w:r w:rsidR="00EC792C">
              <w:t>on</w:t>
            </w:r>
            <w:r w:rsidR="006E33DF">
              <w:t>e</w:t>
            </w:r>
            <w:r w:rsidR="00E5289D">
              <w:t xml:space="preserve"> </w:t>
            </w:r>
            <w:r w:rsidR="00FF3189">
              <w:t xml:space="preserve">160mg </w:t>
            </w:r>
            <w:r w:rsidR="00E5289D">
              <w:t>capsule</w:t>
            </w:r>
            <w:r w:rsidR="00FF3189">
              <w:t>)</w:t>
            </w:r>
            <w:r w:rsidR="00EC792C">
              <w:t xml:space="preserve"> daily for 14 </w:t>
            </w:r>
            <w:r w:rsidR="00EC792C" w:rsidRPr="004C78D7">
              <w:t>days, then 160</w:t>
            </w:r>
            <w:r w:rsidR="00633B34" w:rsidRPr="004C78D7">
              <w:t xml:space="preserve"> </w:t>
            </w:r>
            <w:r w:rsidR="00EC792C" w:rsidRPr="004C78D7">
              <w:t>mg twice daily</w:t>
            </w:r>
            <w:r w:rsidR="004C78D7" w:rsidRPr="004C78D7">
              <w:t xml:space="preserve"> until progression or unacceptable toxicity.</w:t>
            </w:r>
            <w:r w:rsidR="004C78D7">
              <w:t xml:space="preserve"> </w:t>
            </w:r>
          </w:p>
        </w:tc>
      </w:tr>
      <w:tr w:rsidR="008B1757" w:rsidRPr="0098262F" w14:paraId="0F81EBE4" w14:textId="77777777" w:rsidTr="00442FE3">
        <w:trPr>
          <w:cantSplit/>
        </w:trPr>
        <w:tc>
          <w:tcPr>
            <w:tcW w:w="862" w:type="pct"/>
            <w:shd w:val="clear" w:color="auto" w:fill="auto"/>
          </w:tcPr>
          <w:p w14:paraId="3656B343" w14:textId="77777777" w:rsidR="008B1757" w:rsidRPr="0098262F" w:rsidRDefault="008B1757" w:rsidP="004A6040">
            <w:pPr>
              <w:pStyle w:val="TableText0"/>
            </w:pPr>
            <w:r w:rsidRPr="0098262F">
              <w:t>Comparator</w:t>
            </w:r>
          </w:p>
        </w:tc>
        <w:tc>
          <w:tcPr>
            <w:tcW w:w="4138" w:type="pct"/>
            <w:shd w:val="clear" w:color="auto" w:fill="auto"/>
          </w:tcPr>
          <w:p w14:paraId="25B219BB" w14:textId="1B65A1C4" w:rsidR="003F69DE" w:rsidRDefault="003F69DE" w:rsidP="004A6040">
            <w:pPr>
              <w:pStyle w:val="TableText0"/>
            </w:pPr>
            <w:r>
              <w:t>Main: Entrectinib</w:t>
            </w:r>
            <w:r w:rsidR="00337B30">
              <w:t xml:space="preserve"> </w:t>
            </w:r>
            <w:r w:rsidR="00BB5873">
              <w:t xml:space="preserve">600 mg </w:t>
            </w:r>
            <w:r w:rsidR="005C3381">
              <w:t>(three 200mg cap</w:t>
            </w:r>
            <w:r w:rsidR="00E5289D">
              <w:t>sules</w:t>
            </w:r>
            <w:r w:rsidR="00D6056C">
              <w:t>)</w:t>
            </w:r>
            <w:r w:rsidR="00E5289D">
              <w:t xml:space="preserve"> </w:t>
            </w:r>
            <w:r w:rsidR="00BB5873">
              <w:t>daily</w:t>
            </w:r>
            <w:r w:rsidR="000C0FF4">
              <w:t xml:space="preserve"> until disease progression or unacceptable toxicity</w:t>
            </w:r>
            <w:r w:rsidR="00D6056C">
              <w:t>.</w:t>
            </w:r>
            <w:r>
              <w:t xml:space="preserve"> </w:t>
            </w:r>
          </w:p>
          <w:p w14:paraId="43BC0062" w14:textId="238EEEF9" w:rsidR="003F69DE" w:rsidRPr="00F335C8" w:rsidRDefault="003F69DE" w:rsidP="004A6040">
            <w:pPr>
              <w:pStyle w:val="TableText0"/>
              <w:rPr>
                <w:sz w:val="6"/>
                <w:szCs w:val="6"/>
              </w:rPr>
            </w:pPr>
          </w:p>
          <w:p w14:paraId="3727DE24" w14:textId="7780080C" w:rsidR="00233C01" w:rsidRPr="0098262F" w:rsidRDefault="003F69DE" w:rsidP="001E1E86">
            <w:pPr>
              <w:pStyle w:val="TableText0"/>
            </w:pPr>
            <w:r>
              <w:t>Supplementary:</w:t>
            </w:r>
            <w:r w:rsidR="007E65F6">
              <w:t xml:space="preserve"> Crizotinib</w:t>
            </w:r>
            <w:r w:rsidR="00121739">
              <w:t xml:space="preserve"> 250 mg </w:t>
            </w:r>
            <w:r w:rsidR="004D3BE0">
              <w:t>(one 250mg</w:t>
            </w:r>
            <w:r w:rsidR="00FF3189">
              <w:t xml:space="preserve"> capsule</w:t>
            </w:r>
            <w:r w:rsidR="006E6D49">
              <w:t>)</w:t>
            </w:r>
            <w:r w:rsidR="004D3BE0">
              <w:t xml:space="preserve"> </w:t>
            </w:r>
            <w:r w:rsidR="00392BD0">
              <w:t xml:space="preserve">twice </w:t>
            </w:r>
            <w:r w:rsidR="009D371F">
              <w:t xml:space="preserve">daily </w:t>
            </w:r>
            <w:r w:rsidR="006E6D49">
              <w:t>until progression or unacceptable toxicity.</w:t>
            </w:r>
          </w:p>
        </w:tc>
      </w:tr>
      <w:tr w:rsidR="008B1757" w:rsidRPr="0098262F" w14:paraId="02F86F0D" w14:textId="77777777" w:rsidTr="00442FE3">
        <w:trPr>
          <w:cantSplit/>
        </w:trPr>
        <w:tc>
          <w:tcPr>
            <w:tcW w:w="862" w:type="pct"/>
            <w:shd w:val="clear" w:color="auto" w:fill="auto"/>
          </w:tcPr>
          <w:p w14:paraId="06433105" w14:textId="77777777" w:rsidR="008B1757" w:rsidRPr="0098262F" w:rsidRDefault="008B1757" w:rsidP="004A6040">
            <w:pPr>
              <w:pStyle w:val="TableText0"/>
            </w:pPr>
            <w:r w:rsidRPr="0098262F">
              <w:t>Outcomes</w:t>
            </w:r>
          </w:p>
        </w:tc>
        <w:tc>
          <w:tcPr>
            <w:tcW w:w="4138" w:type="pct"/>
            <w:shd w:val="clear" w:color="auto" w:fill="auto"/>
          </w:tcPr>
          <w:p w14:paraId="78ED34C3" w14:textId="1940118E" w:rsidR="00AD0A3F" w:rsidRDefault="00F02225" w:rsidP="001E1E86">
            <w:pPr>
              <w:pStyle w:val="TableText0"/>
            </w:pPr>
            <w:r>
              <w:t xml:space="preserve">Primary: </w:t>
            </w:r>
            <w:r w:rsidR="00A71621">
              <w:t>o</w:t>
            </w:r>
            <w:r w:rsidR="0061496E">
              <w:t>bjective</w:t>
            </w:r>
            <w:r>
              <w:t xml:space="preserve"> response rat</w:t>
            </w:r>
            <w:r w:rsidR="00AD0A3F">
              <w:t>e</w:t>
            </w:r>
          </w:p>
          <w:p w14:paraId="5ABC4037" w14:textId="4F6EAF42" w:rsidR="00233C01" w:rsidRPr="0098262F" w:rsidRDefault="00AD0A3F" w:rsidP="00972B26">
            <w:pPr>
              <w:pStyle w:val="TableText0"/>
              <w:rPr>
                <w:rFonts w:eastAsia="Times New Roman" w:cs="Arial"/>
                <w:bCs w:val="0"/>
                <w:snapToGrid w:val="0"/>
                <w:color w:val="0066FF"/>
                <w:szCs w:val="20"/>
              </w:rPr>
            </w:pPr>
            <w:r>
              <w:t xml:space="preserve">Secondary: </w:t>
            </w:r>
            <w:r w:rsidR="00A71621">
              <w:t>p</w:t>
            </w:r>
            <w:r>
              <w:t xml:space="preserve">rogression-free survival, </w:t>
            </w:r>
            <w:r w:rsidR="00A71621">
              <w:t>o</w:t>
            </w:r>
            <w:r>
              <w:t xml:space="preserve">verall survival, </w:t>
            </w:r>
            <w:r w:rsidR="00A71621">
              <w:t>d</w:t>
            </w:r>
            <w:r>
              <w:t xml:space="preserve">uration of response, </w:t>
            </w:r>
            <w:r w:rsidR="00A71621">
              <w:t>i</w:t>
            </w:r>
            <w:r>
              <w:t xml:space="preserve">ntracranial response rate (in patients with </w:t>
            </w:r>
            <w:r w:rsidR="0010002F">
              <w:t>BL</w:t>
            </w:r>
            <w:r>
              <w:t xml:space="preserve"> brain metastases), </w:t>
            </w:r>
            <w:r w:rsidR="00A71621">
              <w:t>s</w:t>
            </w:r>
            <w:r>
              <w:t>afety</w:t>
            </w:r>
          </w:p>
        </w:tc>
      </w:tr>
      <w:tr w:rsidR="008B1757" w:rsidRPr="0098262F" w14:paraId="22223890" w14:textId="77777777" w:rsidTr="00442FE3">
        <w:trPr>
          <w:cantSplit/>
        </w:trPr>
        <w:tc>
          <w:tcPr>
            <w:tcW w:w="862" w:type="pct"/>
            <w:shd w:val="clear" w:color="auto" w:fill="auto"/>
          </w:tcPr>
          <w:p w14:paraId="0FC8FCE0" w14:textId="77777777" w:rsidR="008B1757" w:rsidRPr="0098262F" w:rsidRDefault="008B1757" w:rsidP="004A6040">
            <w:pPr>
              <w:pStyle w:val="TableText0"/>
            </w:pPr>
            <w:r w:rsidRPr="0098262F">
              <w:t>Clinical claim</w:t>
            </w:r>
          </w:p>
        </w:tc>
        <w:tc>
          <w:tcPr>
            <w:tcW w:w="4138" w:type="pct"/>
            <w:shd w:val="clear" w:color="auto" w:fill="auto"/>
          </w:tcPr>
          <w:p w14:paraId="2C99C4DE" w14:textId="7BFB819D" w:rsidR="00233C01" w:rsidRPr="00ED198F" w:rsidRDefault="00D338DD" w:rsidP="00972B26">
            <w:pPr>
              <w:pStyle w:val="TableText0"/>
            </w:pPr>
            <w:r>
              <w:t>Compared to entrectinib and crizotinib, repotrectinib offers non-inferior comparative efficacy and non-inferior safety</w:t>
            </w:r>
          </w:p>
        </w:tc>
      </w:tr>
    </w:tbl>
    <w:p w14:paraId="43FEE645" w14:textId="12110BEB" w:rsidR="003127F7" w:rsidRDefault="008B1757" w:rsidP="003127F7">
      <w:pPr>
        <w:pStyle w:val="FooterTableFigure"/>
      </w:pPr>
      <w:r w:rsidRPr="00CF49F6">
        <w:t xml:space="preserve">Source: </w:t>
      </w:r>
      <w:r w:rsidR="00E535D3" w:rsidRPr="00CF49F6">
        <w:t>Table 2</w:t>
      </w:r>
      <w:r w:rsidRPr="00CF49F6">
        <w:t>,</w:t>
      </w:r>
      <w:r w:rsidR="00E535D3" w:rsidRPr="00CF49F6">
        <w:t xml:space="preserve"> </w:t>
      </w:r>
      <w:r w:rsidR="0082763F" w:rsidRPr="00CF49F6">
        <w:t>p</w:t>
      </w:r>
      <w:r w:rsidR="00E535D3" w:rsidRPr="00CF49F6">
        <w:t>14</w:t>
      </w:r>
      <w:r w:rsidR="00972B26" w:rsidRPr="00CF49F6">
        <w:t xml:space="preserve"> </w:t>
      </w:r>
      <w:r w:rsidRPr="00CF49F6">
        <w:t>of the submission</w:t>
      </w:r>
      <w:r w:rsidR="00972B26" w:rsidRPr="00CF49F6">
        <w:t>.</w:t>
      </w:r>
    </w:p>
    <w:p w14:paraId="785CDBF1" w14:textId="023317AA" w:rsidR="003127F7" w:rsidRPr="003127F7" w:rsidRDefault="0010002F" w:rsidP="003127F7">
      <w:pPr>
        <w:pStyle w:val="FooterTableFigure"/>
      </w:pPr>
      <w:r>
        <w:t>BL = baseline</w:t>
      </w:r>
      <w:r w:rsidR="006D3658">
        <w:t xml:space="preserve">; </w:t>
      </w:r>
      <w:r w:rsidR="003127F7" w:rsidRPr="003127F7">
        <w:t>NSCLC = non-small cell lung cancer</w:t>
      </w:r>
      <w:bookmarkStart w:id="3" w:name="_Hlk192253031"/>
      <w:r w:rsidR="003127F7" w:rsidRPr="003127F7">
        <w:t xml:space="preserve">; ROS1 = </w:t>
      </w:r>
      <w:r w:rsidR="003C4CDF">
        <w:t>c-</w:t>
      </w:r>
      <w:r w:rsidR="003127F7" w:rsidRPr="003127F7">
        <w:t>ROS proto-oncogene 1</w:t>
      </w:r>
      <w:bookmarkEnd w:id="3"/>
      <w:r w:rsidR="003127F7" w:rsidRPr="003127F7">
        <w:t>.</w:t>
      </w:r>
    </w:p>
    <w:p w14:paraId="6B4AB6C2" w14:textId="61FB14E1" w:rsidR="005C25FF" w:rsidRPr="0098262F" w:rsidRDefault="005C25FF" w:rsidP="004A6040">
      <w:pPr>
        <w:pStyle w:val="2-SectionHeading"/>
      </w:pPr>
      <w:bookmarkStart w:id="4" w:name="_Toc193124284"/>
      <w:r w:rsidRPr="0098262F">
        <w:t>Background</w:t>
      </w:r>
      <w:bookmarkEnd w:id="4"/>
    </w:p>
    <w:p w14:paraId="2C521D6D" w14:textId="78CF03EE" w:rsidR="005C25FF" w:rsidRPr="002477A2" w:rsidRDefault="005C25FF" w:rsidP="004A6040">
      <w:pPr>
        <w:pStyle w:val="4-SubsectionHeading"/>
      </w:pPr>
      <w:bookmarkStart w:id="5" w:name="_Toc22897638"/>
      <w:bookmarkStart w:id="6" w:name="_Toc193124285"/>
      <w:r w:rsidRPr="002477A2">
        <w:t>Registration status</w:t>
      </w:r>
      <w:bookmarkEnd w:id="5"/>
      <w:bookmarkEnd w:id="6"/>
    </w:p>
    <w:p w14:paraId="10D92A28" w14:textId="4C2FE12A" w:rsidR="00790029" w:rsidRPr="008E7A7E" w:rsidRDefault="00FD0400" w:rsidP="0021476F">
      <w:pPr>
        <w:pStyle w:val="3-BodyText"/>
        <w:rPr>
          <w:b/>
          <w:bCs/>
        </w:rPr>
      </w:pPr>
      <w:r w:rsidRPr="008E7A7E">
        <w:rPr>
          <w:b/>
          <w:bCs/>
        </w:rPr>
        <w:t xml:space="preserve">TGA Status at time of </w:t>
      </w:r>
      <w:r w:rsidR="00106B6F">
        <w:rPr>
          <w:b/>
          <w:bCs/>
        </w:rPr>
        <w:t>PBAC</w:t>
      </w:r>
      <w:r w:rsidR="00106B6F" w:rsidRPr="008E7A7E">
        <w:rPr>
          <w:b/>
          <w:bCs/>
        </w:rPr>
        <w:t xml:space="preserve"> </w:t>
      </w:r>
      <w:r w:rsidR="00106B6F">
        <w:rPr>
          <w:b/>
          <w:bCs/>
        </w:rPr>
        <w:t>consideration</w:t>
      </w:r>
      <w:r w:rsidR="0021476F" w:rsidRPr="008E7A7E">
        <w:rPr>
          <w:b/>
          <w:bCs/>
        </w:rPr>
        <w:t xml:space="preserve">: </w:t>
      </w:r>
      <w:r w:rsidR="009777FB" w:rsidRPr="008E7A7E">
        <w:t>The submission was made under the TGA/</w:t>
      </w:r>
      <w:r w:rsidR="0080202E" w:rsidRPr="008E7A7E">
        <w:t>PBAC</w:t>
      </w:r>
      <w:r w:rsidR="00CD7954" w:rsidRPr="008E7A7E">
        <w:t xml:space="preserve"> </w:t>
      </w:r>
      <w:r w:rsidR="009777FB" w:rsidRPr="008E7A7E">
        <w:t>parallel process</w:t>
      </w:r>
      <w:r w:rsidR="00CD7954" w:rsidRPr="008E7A7E">
        <w:t>. The proposed indication for TGA approval is</w:t>
      </w:r>
      <w:r w:rsidR="00E95531" w:rsidRPr="008E7A7E">
        <w:t xml:space="preserve">: </w:t>
      </w:r>
      <w:proofErr w:type="spellStart"/>
      <w:r w:rsidR="00273F58" w:rsidRPr="000E2C3B">
        <w:rPr>
          <w:i/>
          <w:iCs/>
        </w:rPr>
        <w:t>A</w:t>
      </w:r>
      <w:r w:rsidR="002B2C19" w:rsidRPr="000E2C3B">
        <w:rPr>
          <w:i/>
          <w:iCs/>
        </w:rPr>
        <w:t>ugtyro</w:t>
      </w:r>
      <w:proofErr w:type="spellEnd"/>
      <w:r w:rsidR="00273F58" w:rsidRPr="000E2C3B">
        <w:rPr>
          <w:i/>
          <w:iCs/>
        </w:rPr>
        <w:t>, as monotherapy, is indicated for the treatment of adult patients with ROS1-positive locally advanced or metastatic NSCLC.</w:t>
      </w:r>
      <w:r w:rsidR="00F33853" w:rsidRPr="000E2C3B">
        <w:rPr>
          <w:i/>
          <w:iCs/>
        </w:rPr>
        <w:t xml:space="preserve"> </w:t>
      </w:r>
      <w:r w:rsidR="00F33853" w:rsidRPr="008E7A7E">
        <w:t xml:space="preserve">At time of evaluation, the TGA Clinical Evaluation Report (Round 2) was available. </w:t>
      </w:r>
      <w:r w:rsidR="001612BB" w:rsidRPr="00B470BA">
        <w:t xml:space="preserve">The TGA Delegate’s Overview was received prior to the May 2025 PBAC meeting. The Delegates Overview noted the clinical data supports approval of the proposed indication and further stated the results of </w:t>
      </w:r>
      <w:r w:rsidR="001612BB" w:rsidRPr="00B470BA">
        <w:lastRenderedPageBreak/>
        <w:t xml:space="preserve">TRIDENT-3 should be assessed by TGA to confirm the clinical data supports line-agnostic use of repotrectinib. </w:t>
      </w:r>
    </w:p>
    <w:p w14:paraId="1D597880" w14:textId="13998C11" w:rsidR="000578D0" w:rsidRPr="00B470BA" w:rsidRDefault="000578D0" w:rsidP="000578D0">
      <w:pPr>
        <w:pStyle w:val="3-BodyText"/>
      </w:pPr>
      <w:r w:rsidRPr="00B470BA">
        <w:t xml:space="preserve">The sponsor is currently recruiting participants for a randomised controlled trial comparing repotrectinib to crizotinib in patients with locally advanced or metastatic TKI-naïve </w:t>
      </w:r>
      <w:r w:rsidRPr="00B470BA">
        <w:rPr>
          <w:i/>
          <w:iCs/>
        </w:rPr>
        <w:t>ROS1</w:t>
      </w:r>
      <w:r w:rsidR="007068B6">
        <w:rPr>
          <w:i/>
          <w:iCs/>
        </w:rPr>
        <w:t>-</w:t>
      </w:r>
      <w:r w:rsidRPr="00B470BA">
        <w:t>positive NSCL</w:t>
      </w:r>
      <w:r w:rsidR="003E23AF">
        <w:t>C</w:t>
      </w:r>
      <w:r w:rsidRPr="00B470BA">
        <w:t>. The results of the study known as TRIDENT-3/CA127-1030</w:t>
      </w:r>
      <w:r w:rsidRPr="00B470BA">
        <w:rPr>
          <w:szCs w:val="21"/>
        </w:rPr>
        <w:t xml:space="preserve"> will be submitted to TGA when feasible (anticipated to be available in 2029) for evaluation as a category 1 submission</w:t>
      </w:r>
      <w:r w:rsidR="000A4E30">
        <w:rPr>
          <w:szCs w:val="21"/>
        </w:rPr>
        <w:t>.</w:t>
      </w:r>
    </w:p>
    <w:p w14:paraId="6993126A" w14:textId="5E9ABE49" w:rsidR="008D697F" w:rsidRPr="000E47A0" w:rsidRDefault="008D2A45" w:rsidP="008D2A45">
      <w:pPr>
        <w:pStyle w:val="3-BodyText"/>
      </w:pPr>
      <w:r w:rsidRPr="000E47A0">
        <w:t>Repotrectinib was approved</w:t>
      </w:r>
      <w:r w:rsidR="00840F50" w:rsidRPr="000E47A0">
        <w:t xml:space="preserve"> in the United States by the Food and Drug Administration (FDA) </w:t>
      </w:r>
      <w:r w:rsidRPr="000E47A0">
        <w:t xml:space="preserve">for the treatment of </w:t>
      </w:r>
      <w:r w:rsidR="007A4989" w:rsidRPr="000E47A0">
        <w:rPr>
          <w:rFonts w:eastAsia="TimesNewRoman"/>
          <w:color w:val="000000"/>
          <w:lang w:val="x-none"/>
        </w:rPr>
        <w:t xml:space="preserve">adult patients with locally advanced or metastatic </w:t>
      </w:r>
      <w:r w:rsidR="007A4989" w:rsidRPr="000E47A0">
        <w:rPr>
          <w:rFonts w:eastAsia="TimesNewRoman"/>
          <w:lang w:val="x-none"/>
        </w:rPr>
        <w:t>ROS1-positive NSCLC</w:t>
      </w:r>
      <w:r w:rsidRPr="000E47A0">
        <w:t xml:space="preserve"> on 1</w:t>
      </w:r>
      <w:r w:rsidR="007A4989" w:rsidRPr="000E47A0">
        <w:t>5</w:t>
      </w:r>
      <w:r w:rsidRPr="000E47A0">
        <w:t xml:space="preserve"> November 202</w:t>
      </w:r>
      <w:r w:rsidR="007A4989" w:rsidRPr="000E47A0">
        <w:t>3</w:t>
      </w:r>
      <w:r w:rsidRPr="000E47A0">
        <w:t xml:space="preserve">. </w:t>
      </w:r>
    </w:p>
    <w:p w14:paraId="0488853D" w14:textId="36AEB904" w:rsidR="00934E72" w:rsidRPr="000E47A0" w:rsidRDefault="007A4989" w:rsidP="008D697F">
      <w:pPr>
        <w:pStyle w:val="3-BodyText"/>
      </w:pPr>
      <w:r w:rsidRPr="000E47A0">
        <w:t xml:space="preserve">Repotrectinib </w:t>
      </w:r>
      <w:r w:rsidR="00A54FFE" w:rsidRPr="000E47A0">
        <w:t>was granted conditional</w:t>
      </w:r>
      <w:r w:rsidR="00CC37C2" w:rsidRPr="000E47A0">
        <w:t xml:space="preserve"> marketing authorisation</w:t>
      </w:r>
      <w:r w:rsidR="00653225" w:rsidRPr="000E47A0">
        <w:t xml:space="preserve"> </w:t>
      </w:r>
      <w:r w:rsidR="00D86E58" w:rsidRPr="000E47A0">
        <w:t>in the European Union (EU) by the European Medicines Agency (EMA)</w:t>
      </w:r>
      <w:r w:rsidR="008515E6" w:rsidRPr="000E47A0">
        <w:t xml:space="preserve"> for the treatment of adult patients with ROS1-positive locally advanced or metastatic NSCLC</w:t>
      </w:r>
      <w:r w:rsidR="00767419" w:rsidRPr="000E47A0">
        <w:t xml:space="preserve"> on </w:t>
      </w:r>
      <w:r w:rsidR="002D22F0" w:rsidRPr="000E47A0">
        <w:t>14 November 2024.</w:t>
      </w:r>
    </w:p>
    <w:p w14:paraId="5930C056" w14:textId="0A5B83F9" w:rsidR="008F2722" w:rsidRDefault="00B50DB8" w:rsidP="00F84F45">
      <w:pPr>
        <w:pStyle w:val="2-SectionHeading"/>
      </w:pPr>
      <w:bookmarkStart w:id="7" w:name="_Toc193124286"/>
      <w:r w:rsidRPr="0098262F">
        <w:t>Requested listing</w:t>
      </w:r>
      <w:bookmarkEnd w:id="7"/>
    </w:p>
    <w:p w14:paraId="7A4E35BD" w14:textId="1ABD3163" w:rsidR="00E622C7" w:rsidRPr="00D9479F" w:rsidRDefault="00FC6935" w:rsidP="00E622C7">
      <w:pPr>
        <w:pStyle w:val="3-BodyText"/>
      </w:pPr>
      <w:r w:rsidRPr="00F343C1">
        <w:rPr>
          <w:snapToGrid w:val="0"/>
        </w:rPr>
        <w:t>Suggestions and additions proposed by the Secretariat are added in italics and suggested deletions are crossed out with strikethrough</w:t>
      </w:r>
      <w:r>
        <w:rPr>
          <w:snapToGrid w:val="0"/>
        </w:rPr>
        <w:t xml:space="preserve">. </w:t>
      </w:r>
      <w:r w:rsidR="00C83579">
        <w:rPr>
          <w:snapToGrid w:val="0"/>
        </w:rPr>
        <w:t xml:space="preserve">The </w:t>
      </w:r>
      <w:r w:rsidR="00DF15D0">
        <w:rPr>
          <w:snapToGrid w:val="0"/>
        </w:rPr>
        <w:t xml:space="preserve">revisions proposed by the Secretariat were based on the first line listing proposed by the Sponsor and do not reflect the information that became available in the TGA Delegate’s Overview and considered by the PBAC.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6"/>
        <w:gridCol w:w="1981"/>
        <w:gridCol w:w="1140"/>
        <w:gridCol w:w="704"/>
        <w:gridCol w:w="80"/>
        <w:gridCol w:w="668"/>
        <w:gridCol w:w="122"/>
        <w:gridCol w:w="689"/>
        <w:gridCol w:w="95"/>
        <w:gridCol w:w="717"/>
        <w:gridCol w:w="67"/>
        <w:gridCol w:w="1766"/>
      </w:tblGrid>
      <w:tr w:rsidR="00D9479F" w:rsidRPr="00680D32" w14:paraId="17FD9761" w14:textId="77777777" w:rsidTr="003E23AF">
        <w:trPr>
          <w:cantSplit/>
          <w:trHeight w:val="20"/>
        </w:trPr>
        <w:tc>
          <w:tcPr>
            <w:tcW w:w="29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9644C" w14:textId="77777777" w:rsidR="00D9479F" w:rsidRPr="00D9479F" w:rsidRDefault="00D9479F" w:rsidP="00D9479F">
            <w:pPr>
              <w:keepLines/>
              <w:rPr>
                <w:rFonts w:ascii="Arial Narrow" w:hAnsi="Arial Narrow"/>
                <w:b/>
                <w:bCs/>
                <w:sz w:val="20"/>
                <w:szCs w:val="20"/>
              </w:rPr>
            </w:pPr>
            <w:r w:rsidRPr="00D9479F">
              <w:rPr>
                <w:rFonts w:ascii="Arial Narrow" w:hAnsi="Arial Narrow"/>
                <w:b/>
                <w:bCs/>
                <w:sz w:val="20"/>
                <w:szCs w:val="20"/>
              </w:rPr>
              <w:t>MEDICINAL PRODUCT </w:t>
            </w:r>
          </w:p>
          <w:p w14:paraId="3C098696" w14:textId="77777777" w:rsidR="00D9479F" w:rsidRPr="00D9479F" w:rsidRDefault="00D9479F" w:rsidP="00D9479F">
            <w:pPr>
              <w:keepLines/>
              <w:rPr>
                <w:rFonts w:ascii="Arial Narrow" w:hAnsi="Arial Narrow"/>
                <w:b/>
                <w:bCs/>
                <w:sz w:val="20"/>
                <w:szCs w:val="20"/>
              </w:rPr>
            </w:pPr>
            <w:r w:rsidRPr="00D9479F">
              <w:rPr>
                <w:rFonts w:ascii="Arial Narrow" w:hAnsi="Arial Narrow"/>
                <w:b/>
                <w:bCs/>
                <w:sz w:val="20"/>
                <w:szCs w:val="20"/>
              </w:rPr>
              <w:t>medicinal product pack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CED33" w14:textId="77777777" w:rsidR="00D9479F" w:rsidRPr="00D9479F" w:rsidRDefault="00D9479F" w:rsidP="00D9479F">
            <w:pPr>
              <w:pStyle w:val="TableText0"/>
              <w:rPr>
                <w:b/>
                <w:bCs w:val="0"/>
                <w:snapToGrid w:val="0"/>
              </w:rPr>
            </w:pPr>
            <w:r w:rsidRPr="00D9479F">
              <w:rPr>
                <w:b/>
                <w:bCs w:val="0"/>
                <w:snapToGrid w:val="0"/>
              </w:rPr>
              <w:t>PBS item code </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4AD05" w14:textId="77777777" w:rsidR="00D9479F" w:rsidRPr="00D9479F" w:rsidRDefault="00D9479F" w:rsidP="00D9479F">
            <w:pPr>
              <w:keepLines/>
              <w:jc w:val="center"/>
              <w:rPr>
                <w:rFonts w:ascii="Arial Narrow" w:hAnsi="Arial Narrow"/>
                <w:b/>
                <w:sz w:val="20"/>
                <w:szCs w:val="20"/>
              </w:rPr>
            </w:pPr>
            <w:r w:rsidRPr="00D9479F">
              <w:rPr>
                <w:rFonts w:ascii="Arial Narrow" w:hAnsi="Arial Narrow"/>
                <w:b/>
                <w:sz w:val="20"/>
                <w:szCs w:val="20"/>
              </w:rPr>
              <w:t>Max. qty packs </w:t>
            </w: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E7D71" w14:textId="77777777" w:rsidR="00D9479F" w:rsidRPr="00D9479F" w:rsidRDefault="00D9479F" w:rsidP="00D9479F">
            <w:pPr>
              <w:keepLines/>
              <w:jc w:val="center"/>
              <w:rPr>
                <w:rFonts w:ascii="Arial Narrow" w:hAnsi="Arial Narrow"/>
                <w:b/>
                <w:sz w:val="20"/>
                <w:szCs w:val="20"/>
              </w:rPr>
            </w:pPr>
            <w:r w:rsidRPr="00D9479F">
              <w:rPr>
                <w:rFonts w:ascii="Arial Narrow" w:hAnsi="Arial Narrow"/>
                <w:b/>
                <w:sz w:val="20"/>
                <w:szCs w:val="20"/>
              </w:rPr>
              <w:t>Max. qty units </w:t>
            </w:r>
          </w:p>
        </w:tc>
        <w:tc>
          <w:tcPr>
            <w:tcW w:w="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5614" w14:textId="77777777" w:rsidR="00D9479F" w:rsidRPr="00D9479F" w:rsidRDefault="00D9479F" w:rsidP="00D9479F">
            <w:pPr>
              <w:keepLines/>
              <w:jc w:val="center"/>
              <w:rPr>
                <w:rFonts w:ascii="Arial Narrow" w:hAnsi="Arial Narrow"/>
                <w:b/>
                <w:sz w:val="20"/>
                <w:szCs w:val="20"/>
              </w:rPr>
            </w:pPr>
            <w:r w:rsidRPr="00D9479F">
              <w:rPr>
                <w:rFonts w:ascii="Arial Narrow" w:hAnsi="Arial Narrow"/>
                <w:b/>
                <w:sz w:val="20"/>
                <w:szCs w:val="20"/>
              </w:rPr>
              <w:t>№.of </w:t>
            </w:r>
          </w:p>
          <w:p w14:paraId="06462B0A" w14:textId="77777777" w:rsidR="00D9479F" w:rsidRPr="00D9479F" w:rsidRDefault="00D9479F" w:rsidP="00D9479F">
            <w:pPr>
              <w:keepLines/>
              <w:jc w:val="center"/>
              <w:rPr>
                <w:rFonts w:ascii="Arial Narrow" w:hAnsi="Arial Narrow"/>
                <w:b/>
                <w:sz w:val="20"/>
                <w:szCs w:val="20"/>
              </w:rPr>
            </w:pPr>
            <w:r w:rsidRPr="00D9479F">
              <w:rPr>
                <w:rFonts w:ascii="Arial Narrow" w:hAnsi="Arial Narrow"/>
                <w:b/>
                <w:sz w:val="20"/>
                <w:szCs w:val="20"/>
              </w:rPr>
              <w:t>Rpts </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DD627" w14:textId="77777777" w:rsidR="00D9479F" w:rsidRPr="00D9479F" w:rsidRDefault="00D9479F" w:rsidP="00D9479F">
            <w:pPr>
              <w:keepLines/>
              <w:rPr>
                <w:rFonts w:ascii="Arial Narrow" w:hAnsi="Arial Narrow"/>
                <w:b/>
                <w:sz w:val="20"/>
                <w:szCs w:val="20"/>
              </w:rPr>
            </w:pPr>
            <w:r w:rsidRPr="00D9479F">
              <w:rPr>
                <w:rFonts w:ascii="Arial Narrow" w:hAnsi="Arial Narrow"/>
                <w:b/>
                <w:sz w:val="20"/>
                <w:szCs w:val="20"/>
              </w:rPr>
              <w:t>Available brands</w:t>
            </w:r>
          </w:p>
        </w:tc>
      </w:tr>
      <w:tr w:rsidR="00D9479F" w:rsidRPr="003D35C5" w14:paraId="52252118"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22" w:type="dxa"/>
            <w:gridSpan w:val="13"/>
            <w:tcBorders>
              <w:top w:val="single" w:sz="6" w:space="0" w:color="auto"/>
              <w:left w:val="single" w:sz="6" w:space="0" w:color="auto"/>
              <w:bottom w:val="single" w:sz="6" w:space="0" w:color="auto"/>
              <w:right w:val="single" w:sz="6" w:space="0" w:color="auto"/>
            </w:tcBorders>
            <w:shd w:val="clear" w:color="auto" w:fill="auto"/>
            <w:vAlign w:val="center"/>
            <w:hideMark/>
          </w:tcPr>
          <w:p w14:paraId="626B86F4" w14:textId="77777777" w:rsidR="00D9479F" w:rsidRPr="003D35C5" w:rsidRDefault="00D9479F">
            <w:pPr>
              <w:jc w:val="left"/>
              <w:textAlignment w:val="baseline"/>
              <w:rPr>
                <w:rFonts w:ascii="Arial Narrow" w:hAnsi="Arial Narrow" w:cs="Segoe UI"/>
                <w:sz w:val="20"/>
                <w:szCs w:val="20"/>
              </w:rPr>
            </w:pPr>
            <w:r>
              <w:rPr>
                <w:rFonts w:ascii="Arial Narrow" w:hAnsi="Arial Narrow" w:cs="Segoe UI"/>
                <w:sz w:val="20"/>
                <w:szCs w:val="20"/>
              </w:rPr>
              <w:t>REPOTRECTINIB</w:t>
            </w:r>
          </w:p>
        </w:tc>
      </w:tr>
      <w:tr w:rsidR="00D9479F" w:rsidRPr="00361924" w14:paraId="3565E299"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11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573897B" w14:textId="77777777" w:rsidR="00D9479F" w:rsidRPr="00680D32" w:rsidRDefault="00D9479F">
            <w:pPr>
              <w:jc w:val="left"/>
              <w:textAlignment w:val="baseline"/>
              <w:rPr>
                <w:rFonts w:ascii="Segoe UI" w:hAnsi="Segoe UI" w:cs="Segoe UI"/>
                <w:sz w:val="18"/>
                <w:szCs w:val="18"/>
              </w:rPr>
            </w:pPr>
            <w:r w:rsidRPr="4499A447">
              <w:rPr>
                <w:rFonts w:ascii="Arial Narrow" w:hAnsi="Arial Narrow" w:cs="Segoe UI"/>
                <w:sz w:val="20"/>
                <w:szCs w:val="20"/>
              </w:rPr>
              <w:t>repotrectinib 40 mg capsule, 120</w:t>
            </w:r>
          </w:p>
        </w:tc>
        <w:tc>
          <w:tcPr>
            <w:tcW w:w="78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6E25DF" w14:textId="77777777" w:rsidR="00D9479F" w:rsidRPr="00680D32" w:rsidRDefault="00D9479F">
            <w:pPr>
              <w:jc w:val="center"/>
              <w:textAlignment w:val="baseline"/>
              <w:rPr>
                <w:rFonts w:ascii="Segoe UI" w:hAnsi="Segoe UI" w:cs="Segoe UI"/>
                <w:sz w:val="18"/>
                <w:szCs w:val="18"/>
              </w:rPr>
            </w:pPr>
            <w:r w:rsidRPr="00680D32">
              <w:rPr>
                <w:rFonts w:ascii="Arial Narrow" w:hAnsi="Arial Narrow" w:cs="Segoe UI"/>
                <w:sz w:val="20"/>
                <w:szCs w:val="20"/>
              </w:rPr>
              <w:t xml:space="preserve"> NEW </w:t>
            </w:r>
          </w:p>
        </w:tc>
        <w:tc>
          <w:tcPr>
            <w:tcW w:w="7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8AFD552" w14:textId="77777777" w:rsidR="00D9479F" w:rsidRPr="00361924" w:rsidRDefault="00D9479F">
            <w:pPr>
              <w:jc w:val="center"/>
              <w:textAlignment w:val="baseline"/>
              <w:rPr>
                <w:rFonts w:ascii="Arial Narrow" w:hAnsi="Arial Narrow" w:cs="Segoe UI"/>
                <w:sz w:val="20"/>
                <w:szCs w:val="20"/>
              </w:rPr>
            </w:pPr>
            <w:r w:rsidRPr="00361924">
              <w:rPr>
                <w:rFonts w:ascii="Arial Narrow" w:hAnsi="Arial Narrow" w:cs="Segoe UI"/>
                <w:sz w:val="20"/>
                <w:szCs w:val="20"/>
              </w:rPr>
              <w:t>1 </w:t>
            </w:r>
          </w:p>
        </w:tc>
        <w:tc>
          <w:tcPr>
            <w:tcW w:w="78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97879F" w14:textId="77777777" w:rsidR="00D9479F" w:rsidRPr="00361924" w:rsidRDefault="00D9479F">
            <w:pPr>
              <w:jc w:val="center"/>
              <w:textAlignment w:val="baseline"/>
              <w:rPr>
                <w:rFonts w:ascii="Arial Narrow" w:hAnsi="Arial Narrow" w:cs="Segoe UI"/>
                <w:sz w:val="20"/>
                <w:szCs w:val="20"/>
              </w:rPr>
            </w:pPr>
            <w:r w:rsidRPr="00361924">
              <w:rPr>
                <w:rFonts w:ascii="Arial Narrow" w:hAnsi="Arial Narrow" w:cs="Segoe UI"/>
                <w:sz w:val="20"/>
                <w:szCs w:val="20"/>
              </w:rPr>
              <w:t>120</w:t>
            </w:r>
          </w:p>
        </w:tc>
        <w:tc>
          <w:tcPr>
            <w:tcW w:w="78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C3AE0FE" w14:textId="77777777" w:rsidR="00D9479F" w:rsidRPr="00A801DA" w:rsidRDefault="00D9479F">
            <w:pPr>
              <w:jc w:val="center"/>
              <w:textAlignment w:val="baseline"/>
              <w:rPr>
                <w:rFonts w:ascii="Arial Narrow" w:hAnsi="Arial Narrow" w:cs="Segoe UI"/>
                <w:sz w:val="20"/>
                <w:szCs w:val="20"/>
              </w:rPr>
            </w:pPr>
            <w:r w:rsidRPr="00A801DA">
              <w:rPr>
                <w:rFonts w:ascii="Arial Narrow" w:hAnsi="Arial Narrow" w:cs="Segoe UI"/>
                <w:sz w:val="20"/>
                <w:szCs w:val="20"/>
              </w:rPr>
              <w:t>3</w:t>
            </w:r>
          </w:p>
        </w:tc>
        <w:tc>
          <w:tcPr>
            <w:tcW w:w="17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6180F" w14:textId="77777777" w:rsidR="00D9479F" w:rsidRPr="00361924" w:rsidRDefault="00D9479F">
            <w:pPr>
              <w:jc w:val="center"/>
              <w:textAlignment w:val="baseline"/>
              <w:rPr>
                <w:rFonts w:ascii="Arial Narrow" w:hAnsi="Arial Narrow" w:cs="Segoe UI"/>
                <w:sz w:val="20"/>
                <w:szCs w:val="20"/>
              </w:rPr>
            </w:pPr>
            <w:proofErr w:type="spellStart"/>
            <w:r w:rsidRPr="4499A447">
              <w:rPr>
                <w:rFonts w:ascii="Arial Narrow" w:hAnsi="Arial Narrow" w:cs="Segoe UI"/>
                <w:sz w:val="20"/>
                <w:szCs w:val="20"/>
              </w:rPr>
              <w:t>Augtyro</w:t>
            </w:r>
            <w:proofErr w:type="spellEnd"/>
          </w:p>
        </w:tc>
      </w:tr>
      <w:tr w:rsidR="00D9479F" w:rsidRPr="00462DFE" w14:paraId="610537B6"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114" w:type="dxa"/>
            <w:gridSpan w:val="4"/>
            <w:tcBorders>
              <w:top w:val="single" w:sz="6" w:space="0" w:color="auto"/>
              <w:left w:val="single" w:sz="6" w:space="0" w:color="auto"/>
              <w:bottom w:val="single" w:sz="4" w:space="0" w:color="auto"/>
              <w:right w:val="single" w:sz="6" w:space="0" w:color="auto"/>
            </w:tcBorders>
            <w:shd w:val="clear" w:color="auto" w:fill="auto"/>
            <w:vAlign w:val="center"/>
            <w:hideMark/>
          </w:tcPr>
          <w:p w14:paraId="20B2D7AF" w14:textId="77777777" w:rsidR="00D9479F" w:rsidRPr="00680D32" w:rsidRDefault="00D9479F">
            <w:pPr>
              <w:jc w:val="left"/>
              <w:textAlignment w:val="baseline"/>
              <w:rPr>
                <w:rFonts w:ascii="Segoe UI" w:hAnsi="Segoe UI" w:cs="Segoe UI"/>
                <w:sz w:val="18"/>
                <w:szCs w:val="18"/>
              </w:rPr>
            </w:pPr>
            <w:r w:rsidRPr="4499A447">
              <w:rPr>
                <w:rFonts w:ascii="Arial Narrow" w:hAnsi="Arial Narrow" w:cs="Segoe UI"/>
                <w:sz w:val="20"/>
                <w:szCs w:val="20"/>
              </w:rPr>
              <w:t>repotrectinib 160 mg capsule, 60</w:t>
            </w:r>
          </w:p>
        </w:tc>
        <w:tc>
          <w:tcPr>
            <w:tcW w:w="784" w:type="dxa"/>
            <w:gridSpan w:val="2"/>
            <w:tcBorders>
              <w:top w:val="single" w:sz="6" w:space="0" w:color="auto"/>
              <w:left w:val="single" w:sz="6" w:space="0" w:color="auto"/>
              <w:bottom w:val="single" w:sz="4" w:space="0" w:color="auto"/>
              <w:right w:val="single" w:sz="6" w:space="0" w:color="auto"/>
            </w:tcBorders>
            <w:shd w:val="clear" w:color="auto" w:fill="auto"/>
            <w:vAlign w:val="center"/>
            <w:hideMark/>
          </w:tcPr>
          <w:p w14:paraId="08090EB9" w14:textId="77777777" w:rsidR="00D9479F" w:rsidRPr="00680D32" w:rsidRDefault="00D9479F">
            <w:pPr>
              <w:jc w:val="center"/>
              <w:textAlignment w:val="baseline"/>
              <w:rPr>
                <w:rFonts w:ascii="Segoe UI" w:hAnsi="Segoe UI" w:cs="Segoe UI"/>
                <w:sz w:val="18"/>
                <w:szCs w:val="18"/>
              </w:rPr>
            </w:pPr>
            <w:r w:rsidRPr="00680D32">
              <w:rPr>
                <w:rFonts w:ascii="Arial Narrow" w:hAnsi="Arial Narrow" w:cs="Segoe UI"/>
                <w:sz w:val="20"/>
                <w:szCs w:val="20"/>
              </w:rPr>
              <w:t>NEW </w:t>
            </w:r>
          </w:p>
        </w:tc>
        <w:tc>
          <w:tcPr>
            <w:tcW w:w="790" w:type="dxa"/>
            <w:gridSpan w:val="2"/>
            <w:tcBorders>
              <w:top w:val="single" w:sz="6" w:space="0" w:color="auto"/>
              <w:left w:val="single" w:sz="6" w:space="0" w:color="auto"/>
              <w:bottom w:val="single" w:sz="4" w:space="0" w:color="auto"/>
              <w:right w:val="single" w:sz="6" w:space="0" w:color="auto"/>
            </w:tcBorders>
            <w:shd w:val="clear" w:color="auto" w:fill="auto"/>
            <w:vAlign w:val="center"/>
            <w:hideMark/>
          </w:tcPr>
          <w:p w14:paraId="5E8680E2" w14:textId="77777777" w:rsidR="00D9479F" w:rsidRPr="00680D32" w:rsidRDefault="00D9479F">
            <w:pPr>
              <w:jc w:val="center"/>
              <w:textAlignment w:val="baseline"/>
              <w:rPr>
                <w:rFonts w:ascii="Segoe UI" w:hAnsi="Segoe UI" w:cs="Segoe UI"/>
                <w:sz w:val="18"/>
                <w:szCs w:val="18"/>
              </w:rPr>
            </w:pPr>
            <w:r w:rsidRPr="00680D32">
              <w:rPr>
                <w:rFonts w:ascii="Arial Narrow" w:hAnsi="Arial Narrow" w:cs="Segoe UI"/>
                <w:sz w:val="20"/>
                <w:szCs w:val="20"/>
              </w:rPr>
              <w:t>1 </w:t>
            </w:r>
          </w:p>
        </w:tc>
        <w:tc>
          <w:tcPr>
            <w:tcW w:w="784" w:type="dxa"/>
            <w:gridSpan w:val="2"/>
            <w:tcBorders>
              <w:top w:val="single" w:sz="6" w:space="0" w:color="auto"/>
              <w:left w:val="single" w:sz="6" w:space="0" w:color="auto"/>
              <w:bottom w:val="single" w:sz="4" w:space="0" w:color="auto"/>
              <w:right w:val="single" w:sz="6" w:space="0" w:color="auto"/>
            </w:tcBorders>
            <w:shd w:val="clear" w:color="auto" w:fill="auto"/>
            <w:vAlign w:val="center"/>
            <w:hideMark/>
          </w:tcPr>
          <w:p w14:paraId="690B4859" w14:textId="77777777" w:rsidR="00D9479F" w:rsidRPr="00680D32" w:rsidRDefault="00D9479F">
            <w:pPr>
              <w:jc w:val="center"/>
              <w:textAlignment w:val="baseline"/>
              <w:rPr>
                <w:rFonts w:ascii="Segoe UI" w:hAnsi="Segoe UI" w:cs="Segoe UI"/>
                <w:sz w:val="18"/>
                <w:szCs w:val="18"/>
              </w:rPr>
            </w:pPr>
            <w:r>
              <w:rPr>
                <w:rFonts w:ascii="Arial Narrow" w:hAnsi="Arial Narrow" w:cs="Segoe UI"/>
                <w:sz w:val="20"/>
                <w:szCs w:val="20"/>
              </w:rPr>
              <w:t>60</w:t>
            </w:r>
            <w:r w:rsidRPr="00680D32">
              <w:rPr>
                <w:rFonts w:ascii="Arial Narrow" w:hAnsi="Arial Narrow" w:cs="Segoe UI"/>
                <w:sz w:val="20"/>
                <w:szCs w:val="20"/>
              </w:rPr>
              <w:t> </w:t>
            </w:r>
          </w:p>
        </w:tc>
        <w:tc>
          <w:tcPr>
            <w:tcW w:w="784" w:type="dxa"/>
            <w:gridSpan w:val="2"/>
            <w:tcBorders>
              <w:top w:val="single" w:sz="6" w:space="0" w:color="auto"/>
              <w:left w:val="single" w:sz="6" w:space="0" w:color="auto"/>
              <w:bottom w:val="single" w:sz="4" w:space="0" w:color="auto"/>
              <w:right w:val="single" w:sz="6" w:space="0" w:color="auto"/>
            </w:tcBorders>
            <w:shd w:val="clear" w:color="auto" w:fill="auto"/>
            <w:vAlign w:val="center"/>
            <w:hideMark/>
          </w:tcPr>
          <w:p w14:paraId="70E36DE6" w14:textId="77777777" w:rsidR="00D9479F" w:rsidRPr="00A801DA" w:rsidRDefault="00D9479F">
            <w:pPr>
              <w:jc w:val="center"/>
              <w:textAlignment w:val="baseline"/>
              <w:rPr>
                <w:rFonts w:ascii="Arial Narrow" w:hAnsi="Arial Narrow" w:cs="Segoe UI"/>
                <w:sz w:val="20"/>
                <w:szCs w:val="20"/>
              </w:rPr>
            </w:pPr>
            <w:r w:rsidRPr="00A801DA">
              <w:rPr>
                <w:rFonts w:ascii="Arial Narrow" w:hAnsi="Arial Narrow" w:cs="Segoe UI"/>
                <w:sz w:val="20"/>
                <w:szCs w:val="20"/>
              </w:rPr>
              <w:t>3</w:t>
            </w:r>
          </w:p>
        </w:tc>
        <w:tc>
          <w:tcPr>
            <w:tcW w:w="176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FFBFC26" w14:textId="77777777" w:rsidR="00D9479F" w:rsidRPr="00462DFE" w:rsidRDefault="00D9479F">
            <w:pPr>
              <w:jc w:val="center"/>
              <w:textAlignment w:val="baseline"/>
              <w:rPr>
                <w:rFonts w:ascii="Arial Narrow" w:hAnsi="Arial Narrow" w:cs="Segoe UI"/>
                <w:sz w:val="20"/>
                <w:szCs w:val="20"/>
              </w:rPr>
            </w:pPr>
            <w:proofErr w:type="spellStart"/>
            <w:r w:rsidRPr="4499A447">
              <w:rPr>
                <w:rFonts w:ascii="Arial Narrow" w:hAnsi="Arial Narrow" w:cs="Segoe UI"/>
                <w:sz w:val="20"/>
                <w:szCs w:val="20"/>
              </w:rPr>
              <w:t>Augtyro</w:t>
            </w:r>
            <w:proofErr w:type="spellEnd"/>
          </w:p>
        </w:tc>
      </w:tr>
      <w:tr w:rsidR="00D9479F" w:rsidRPr="00680D32" w14:paraId="001CF7A2"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22" w:type="dxa"/>
            <w:gridSpan w:val="13"/>
            <w:tcBorders>
              <w:top w:val="single" w:sz="4" w:space="0" w:color="auto"/>
              <w:left w:val="nil"/>
              <w:bottom w:val="single" w:sz="4" w:space="0" w:color="auto"/>
              <w:right w:val="nil"/>
            </w:tcBorders>
            <w:shd w:val="clear" w:color="auto" w:fill="auto"/>
            <w:vAlign w:val="center"/>
            <w:hideMark/>
          </w:tcPr>
          <w:p w14:paraId="20372F44" w14:textId="77777777" w:rsidR="00D9479F" w:rsidRPr="00680D32" w:rsidRDefault="00D9479F">
            <w:pPr>
              <w:jc w:val="left"/>
              <w:textAlignment w:val="baseline"/>
              <w:rPr>
                <w:rFonts w:ascii="Segoe UI" w:hAnsi="Segoe UI" w:cs="Segoe UI"/>
                <w:sz w:val="18"/>
                <w:szCs w:val="18"/>
              </w:rPr>
            </w:pPr>
          </w:p>
        </w:tc>
      </w:tr>
      <w:tr w:rsidR="00D9479F" w:rsidRPr="00680D32" w14:paraId="36081156"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22" w:type="dxa"/>
            <w:gridSpan w:val="13"/>
            <w:tcBorders>
              <w:top w:val="single" w:sz="4" w:space="0" w:color="auto"/>
              <w:left w:val="single" w:sz="6" w:space="0" w:color="auto"/>
              <w:bottom w:val="single" w:sz="6" w:space="0" w:color="auto"/>
              <w:right w:val="single" w:sz="6" w:space="0" w:color="auto"/>
            </w:tcBorders>
            <w:shd w:val="clear" w:color="auto" w:fill="auto"/>
            <w:vAlign w:val="center"/>
            <w:hideMark/>
          </w:tcPr>
          <w:p w14:paraId="7254B09B" w14:textId="4634965F" w:rsidR="00D9479F" w:rsidRPr="00680D32" w:rsidRDefault="00D9479F">
            <w:pPr>
              <w:jc w:val="left"/>
              <w:textAlignment w:val="baseline"/>
              <w:rPr>
                <w:rFonts w:ascii="Arial Narrow" w:hAnsi="Arial Narrow" w:cs="Segoe UI"/>
                <w:b/>
                <w:bCs/>
                <w:sz w:val="20"/>
                <w:szCs w:val="20"/>
              </w:rPr>
            </w:pPr>
            <w:r w:rsidRPr="00680D32">
              <w:rPr>
                <w:rFonts w:ascii="Arial Narrow" w:hAnsi="Arial Narrow" w:cs="Segoe UI"/>
                <w:b/>
                <w:bCs/>
                <w:sz w:val="20"/>
                <w:szCs w:val="20"/>
              </w:rPr>
              <w:t xml:space="preserve">Restriction Summary </w:t>
            </w:r>
            <w:r w:rsidRPr="5E23109F">
              <w:rPr>
                <w:rFonts w:ascii="Arial Narrow" w:hAnsi="Arial Narrow" w:cs="Segoe UI"/>
                <w:b/>
                <w:bCs/>
                <w:sz w:val="20"/>
                <w:szCs w:val="20"/>
              </w:rPr>
              <w:t xml:space="preserve">/ Treatment of Concept: </w:t>
            </w:r>
          </w:p>
        </w:tc>
      </w:tr>
      <w:tr w:rsidR="00D9479F" w:rsidRPr="00680D32" w14:paraId="4271F914"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vMerge w:val="restart"/>
            <w:tcBorders>
              <w:top w:val="single" w:sz="6" w:space="0" w:color="auto"/>
              <w:left w:val="single" w:sz="6" w:space="0" w:color="auto"/>
              <w:bottom w:val="single" w:sz="6" w:space="0" w:color="auto"/>
              <w:right w:val="single" w:sz="6" w:space="0" w:color="auto"/>
            </w:tcBorders>
            <w:shd w:val="clear" w:color="auto" w:fill="auto"/>
          </w:tcPr>
          <w:p w14:paraId="6E8DEF2C" w14:textId="56C6E0A6" w:rsidR="00D9479F" w:rsidRPr="00680D32" w:rsidRDefault="00D9479F">
            <w:pPr>
              <w:jc w:val="center"/>
              <w:textAlignment w:val="baseline"/>
              <w:rPr>
                <w:rFonts w:ascii="Segoe UI" w:hAnsi="Segoe UI" w:cs="Segoe UI"/>
                <w:sz w:val="18"/>
                <w:szCs w:val="18"/>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561D7081" w14:textId="77777777" w:rsidR="00D9479F" w:rsidRPr="00680D32" w:rsidRDefault="00D9479F">
            <w:pPr>
              <w:jc w:val="left"/>
              <w:textAlignment w:val="baseline"/>
              <w:rPr>
                <w:rFonts w:ascii="Segoe UI" w:hAnsi="Segoe UI" w:cs="Segoe UI"/>
                <w:sz w:val="18"/>
                <w:szCs w:val="18"/>
              </w:rPr>
            </w:pPr>
            <w:r w:rsidRPr="00680D32">
              <w:rPr>
                <w:rFonts w:ascii="Arial Narrow" w:hAnsi="Arial Narrow" w:cs="Segoe UI"/>
                <w:b/>
                <w:bCs/>
                <w:sz w:val="20"/>
                <w:szCs w:val="20"/>
              </w:rPr>
              <w:t>Category / Program:</w:t>
            </w:r>
            <w:r w:rsidRPr="00680D32">
              <w:rPr>
                <w:rFonts w:ascii="Arial Narrow" w:hAnsi="Arial Narrow" w:cs="Segoe UI"/>
                <w:color w:val="FF0000"/>
                <w:sz w:val="20"/>
                <w:szCs w:val="20"/>
              </w:rPr>
              <w:t xml:space="preserve"> </w:t>
            </w:r>
            <w:r w:rsidRPr="00680D32">
              <w:rPr>
                <w:rFonts w:ascii="Arial Narrow" w:hAnsi="Arial Narrow" w:cs="Segoe UI"/>
                <w:sz w:val="20"/>
                <w:szCs w:val="20"/>
              </w:rPr>
              <w:t>GENERAL - General Schedule (Code GE)  </w:t>
            </w:r>
          </w:p>
        </w:tc>
      </w:tr>
      <w:tr w:rsidR="00D9479F" w:rsidRPr="00680D32" w14:paraId="1FAD7C7E"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vMerge/>
            <w:vAlign w:val="center"/>
          </w:tcPr>
          <w:p w14:paraId="296D438B" w14:textId="77777777" w:rsidR="00D9479F" w:rsidRPr="00680D32" w:rsidRDefault="00D9479F">
            <w:pPr>
              <w:jc w:val="left"/>
              <w:rPr>
                <w:rFonts w:ascii="Segoe UI" w:hAnsi="Segoe UI" w:cs="Segoe UI"/>
                <w:sz w:val="18"/>
                <w:szCs w:val="18"/>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5FC4E5B7" w14:textId="77777777" w:rsidR="00D9479F" w:rsidRPr="00680D32" w:rsidRDefault="00D9479F">
            <w:pPr>
              <w:textAlignment w:val="baseline"/>
              <w:rPr>
                <w:rFonts w:ascii="Segoe UI" w:hAnsi="Segoe UI" w:cs="Segoe UI"/>
                <w:sz w:val="18"/>
                <w:szCs w:val="18"/>
              </w:rPr>
            </w:pPr>
            <w:r w:rsidRPr="00680D32">
              <w:rPr>
                <w:rFonts w:ascii="Arial Narrow" w:hAnsi="Arial Narrow" w:cs="Segoe UI"/>
                <w:b/>
                <w:bCs/>
                <w:sz w:val="20"/>
                <w:szCs w:val="20"/>
              </w:rPr>
              <w:t xml:space="preserve">Prescriber type: </w:t>
            </w:r>
            <w:r w:rsidRPr="00680D32">
              <w:rPr>
                <w:rFonts w:ascii="Arial Narrow" w:hAnsi="Arial Narrow" w:cs="Segoe UI"/>
                <w:sz w:val="20"/>
                <w:szCs w:val="20"/>
              </w:rPr>
              <w:t xml:space="preserve">Medical Practitioners </w:t>
            </w:r>
          </w:p>
        </w:tc>
      </w:tr>
      <w:tr w:rsidR="00D9479F" w:rsidRPr="00680D32" w14:paraId="0DF03E32"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vMerge/>
            <w:vAlign w:val="center"/>
          </w:tcPr>
          <w:p w14:paraId="5D8DAD89" w14:textId="77777777" w:rsidR="00D9479F" w:rsidRPr="00680D32" w:rsidRDefault="00D9479F">
            <w:pPr>
              <w:jc w:val="left"/>
              <w:rPr>
                <w:rFonts w:ascii="Segoe UI" w:hAnsi="Segoe UI" w:cs="Segoe UI"/>
                <w:sz w:val="18"/>
                <w:szCs w:val="18"/>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1F4750B7" w14:textId="77777777" w:rsidR="00D9479F" w:rsidRPr="00680D32" w:rsidRDefault="00D9479F">
            <w:pPr>
              <w:jc w:val="left"/>
              <w:textAlignment w:val="baseline"/>
              <w:rPr>
                <w:rFonts w:ascii="Arial Narrow" w:eastAsia="Calibri" w:hAnsi="Arial Narrow"/>
                <w:sz w:val="20"/>
                <w:szCs w:val="20"/>
              </w:rPr>
            </w:pPr>
            <w:r w:rsidRPr="00680D32">
              <w:rPr>
                <w:rFonts w:ascii="Arial Narrow" w:hAnsi="Arial Narrow" w:cs="Segoe UI"/>
                <w:b/>
                <w:bCs/>
                <w:sz w:val="20"/>
                <w:szCs w:val="20"/>
              </w:rPr>
              <w:t xml:space="preserve">Restriction type: </w:t>
            </w:r>
            <w:r w:rsidRPr="00680D32">
              <w:rPr>
                <w:rFonts w:ascii="Arial Narrow" w:hAnsi="Arial Narrow" w:cs="Segoe UI"/>
                <w:sz w:val="20"/>
                <w:szCs w:val="20"/>
              </w:rPr>
              <w:t xml:space="preserve">Authority Required </w:t>
            </w:r>
            <w:r w:rsidRPr="00736BC8">
              <w:rPr>
                <w:rFonts w:ascii="Arial Narrow" w:eastAsia="Calibri" w:hAnsi="Arial Narrow"/>
                <w:sz w:val="20"/>
                <w:szCs w:val="20"/>
              </w:rPr>
              <w:t>(in writing via post/HPOS upload</w:t>
            </w:r>
            <w:r>
              <w:rPr>
                <w:rFonts w:ascii="Arial Narrow" w:eastAsia="Calibri" w:hAnsi="Arial Narrow"/>
                <w:sz w:val="20"/>
                <w:szCs w:val="20"/>
              </w:rPr>
              <w:t xml:space="preserve"> or real time assessment via OPA</w:t>
            </w:r>
            <w:r w:rsidRPr="00736BC8">
              <w:rPr>
                <w:rFonts w:ascii="Arial Narrow" w:eastAsia="Calibri" w:hAnsi="Arial Narrow"/>
                <w:sz w:val="20"/>
                <w:szCs w:val="20"/>
              </w:rPr>
              <w:t>)</w:t>
            </w:r>
          </w:p>
        </w:tc>
      </w:tr>
      <w:tr w:rsidR="00D9479F" w:rsidRPr="005E7561" w14:paraId="315BEF0C"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567" w:type="dxa"/>
            <w:vMerge w:val="restart"/>
            <w:tcBorders>
              <w:top w:val="single" w:sz="6" w:space="0" w:color="auto"/>
              <w:left w:val="single" w:sz="6" w:space="0" w:color="auto"/>
              <w:right w:val="single" w:sz="6" w:space="0" w:color="auto"/>
            </w:tcBorders>
            <w:shd w:val="clear" w:color="auto" w:fill="auto"/>
            <w:vAlign w:val="center"/>
          </w:tcPr>
          <w:p w14:paraId="548EC31A" w14:textId="26A52490" w:rsidR="00D9479F" w:rsidRPr="00680D32" w:rsidRDefault="00D9479F">
            <w:pPr>
              <w:jc w:val="center"/>
              <w:textAlignment w:val="baseline"/>
              <w:rPr>
                <w:rFonts w:ascii="Segoe UI" w:hAnsi="Segoe UI" w:cs="Segoe UI"/>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3DFAC78" w14:textId="28785D24" w:rsidR="00D9479F" w:rsidRPr="00680D32" w:rsidRDefault="00D9479F">
            <w:pPr>
              <w:jc w:val="center"/>
              <w:textAlignment w:val="baseline"/>
              <w:rPr>
                <w:rFonts w:ascii="Segoe UI" w:hAnsi="Segoe UI" w:cs="Segoe UI"/>
                <w:sz w:val="18"/>
                <w:szCs w:val="18"/>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36E819E9" w14:textId="77777777" w:rsidR="00D9479F" w:rsidRDefault="00D9479F">
            <w:pPr>
              <w:jc w:val="left"/>
              <w:textAlignment w:val="baseline"/>
              <w:rPr>
                <w:rFonts w:ascii="Arial Narrow" w:hAnsi="Arial Narrow" w:cs="Segoe UI"/>
                <w:color w:val="333333"/>
                <w:sz w:val="20"/>
                <w:szCs w:val="20"/>
              </w:rPr>
            </w:pPr>
            <w:r w:rsidRPr="00680D32">
              <w:rPr>
                <w:rFonts w:ascii="Arial Narrow" w:hAnsi="Arial Narrow" w:cs="Segoe UI"/>
                <w:b/>
                <w:bCs/>
                <w:color w:val="333333"/>
                <w:sz w:val="20"/>
                <w:szCs w:val="20"/>
              </w:rPr>
              <w:t>Administrative Advice:</w:t>
            </w:r>
            <w:r w:rsidRPr="00680D32">
              <w:rPr>
                <w:rFonts w:ascii="Arial Narrow" w:hAnsi="Arial Narrow" w:cs="Segoe UI"/>
                <w:color w:val="333333"/>
                <w:sz w:val="20"/>
                <w:szCs w:val="20"/>
              </w:rPr>
              <w:t> </w:t>
            </w:r>
          </w:p>
          <w:p w14:paraId="0136E0D5" w14:textId="77777777" w:rsidR="00D9479F" w:rsidRPr="005E7561" w:rsidRDefault="00D9479F">
            <w:pPr>
              <w:jc w:val="left"/>
              <w:textAlignment w:val="baseline"/>
              <w:rPr>
                <w:rFonts w:ascii="Segoe UI" w:hAnsi="Segoe UI" w:cs="Segoe UI"/>
                <w:i/>
                <w:iCs/>
                <w:sz w:val="18"/>
                <w:szCs w:val="18"/>
              </w:rPr>
            </w:pPr>
            <w:r w:rsidRPr="009B3049">
              <w:rPr>
                <w:rFonts w:ascii="Arial Narrow" w:hAnsi="Arial Narrow" w:cs="Segoe UI"/>
                <w:sz w:val="20"/>
                <w:szCs w:val="20"/>
              </w:rPr>
              <w:t>Special Pricing Arrangements apply</w:t>
            </w:r>
            <w:r>
              <w:rPr>
                <w:rFonts w:ascii="Arial Narrow" w:hAnsi="Arial Narrow" w:cs="Segoe UI"/>
                <w:i/>
                <w:iCs/>
                <w:sz w:val="20"/>
                <w:szCs w:val="20"/>
              </w:rPr>
              <w:t>.</w:t>
            </w:r>
          </w:p>
        </w:tc>
      </w:tr>
      <w:tr w:rsidR="00D9479F" w:rsidRPr="00EE11DA" w14:paraId="0082AB95"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567" w:type="dxa"/>
            <w:vMerge/>
            <w:tcBorders>
              <w:left w:val="single" w:sz="6" w:space="0" w:color="auto"/>
              <w:right w:val="single" w:sz="6" w:space="0" w:color="auto"/>
            </w:tcBorders>
            <w:shd w:val="clear" w:color="auto" w:fill="auto"/>
            <w:vAlign w:val="center"/>
          </w:tcPr>
          <w:p w14:paraId="2EEE6485" w14:textId="77777777" w:rsidR="00D9479F" w:rsidRDefault="00D9479F">
            <w:pPr>
              <w:jc w:val="center"/>
              <w:rPr>
                <w:rFonts w:ascii="Arial Narrow" w:hAnsi="Arial Narrow" w:cs="Segoe UI"/>
                <w:sz w:val="20"/>
                <w:szCs w:val="2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A931A66" w14:textId="26C23282" w:rsidR="00D9479F" w:rsidRPr="002859E7" w:rsidRDefault="00D9479F">
            <w:pPr>
              <w:jc w:val="center"/>
              <w:rPr>
                <w:rFonts w:ascii="Arial Narrow" w:hAnsi="Arial Narrow" w:cs="Segoe UI"/>
                <w:i/>
                <w:iCs/>
                <w:color w:val="333333"/>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48686F3E" w14:textId="77777777" w:rsidR="00D9479F" w:rsidRPr="002859E7" w:rsidRDefault="00D9479F">
            <w:pPr>
              <w:jc w:val="left"/>
              <w:textAlignment w:val="baseline"/>
              <w:rPr>
                <w:rFonts w:ascii="Arial Narrow" w:hAnsi="Arial Narrow" w:cs="Segoe UI"/>
                <w:i/>
                <w:iCs/>
                <w:color w:val="333333"/>
                <w:sz w:val="20"/>
                <w:szCs w:val="20"/>
              </w:rPr>
            </w:pPr>
            <w:r w:rsidRPr="002859E7">
              <w:rPr>
                <w:rFonts w:ascii="Arial Narrow" w:hAnsi="Arial Narrow" w:cs="Segoe UI"/>
                <w:b/>
                <w:bCs/>
                <w:i/>
                <w:iCs/>
                <w:color w:val="333333"/>
                <w:sz w:val="20"/>
                <w:szCs w:val="20"/>
              </w:rPr>
              <w:t>Administrative Advice:</w:t>
            </w:r>
            <w:r w:rsidRPr="002859E7">
              <w:rPr>
                <w:rFonts w:ascii="Arial Narrow" w:hAnsi="Arial Narrow" w:cs="Segoe UI"/>
                <w:i/>
                <w:iCs/>
                <w:color w:val="333333"/>
                <w:sz w:val="20"/>
                <w:szCs w:val="20"/>
              </w:rPr>
              <w:t> </w:t>
            </w:r>
          </w:p>
          <w:p w14:paraId="698077D9" w14:textId="77777777" w:rsidR="00D9479F" w:rsidRPr="00EE11DA" w:rsidRDefault="00D9479F">
            <w:pPr>
              <w:jc w:val="left"/>
              <w:rPr>
                <w:rFonts w:ascii="Arial Narrow" w:hAnsi="Arial Narrow"/>
                <w:bCs/>
                <w:i/>
                <w:iCs/>
                <w:sz w:val="20"/>
                <w:szCs w:val="20"/>
              </w:rPr>
            </w:pPr>
            <w:r>
              <w:rPr>
                <w:rFonts w:ascii="Arial Narrow" w:hAnsi="Arial Narrow"/>
                <w:bCs/>
                <w:i/>
                <w:iCs/>
                <w:sz w:val="20"/>
                <w:szCs w:val="20"/>
              </w:rPr>
              <w:t>*</w:t>
            </w:r>
            <w:r w:rsidRPr="00BA62F2">
              <w:rPr>
                <w:rFonts w:ascii="Arial Narrow" w:hAnsi="Arial Narrow"/>
                <w:bCs/>
                <w:i/>
                <w:iCs/>
                <w:sz w:val="20"/>
                <w:szCs w:val="20"/>
              </w:rPr>
              <w:t xml:space="preserve">No increase </w:t>
            </w:r>
            <w:r w:rsidRPr="00FF6117">
              <w:rPr>
                <w:rFonts w:ascii="Arial Narrow" w:hAnsi="Arial Narrow"/>
                <w:bCs/>
                <w:i/>
                <w:iCs/>
                <w:sz w:val="20"/>
                <w:szCs w:val="20"/>
              </w:rPr>
              <w:t>in the maximum quantity or number of units may be authorised.</w:t>
            </w:r>
          </w:p>
        </w:tc>
      </w:tr>
      <w:tr w:rsidR="00D9479F" w:rsidRPr="002859E7" w14:paraId="14B77E19"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567" w:type="dxa"/>
            <w:vMerge/>
            <w:tcBorders>
              <w:left w:val="single" w:sz="6" w:space="0" w:color="auto"/>
              <w:right w:val="single" w:sz="6" w:space="0" w:color="auto"/>
            </w:tcBorders>
            <w:shd w:val="clear" w:color="auto" w:fill="auto"/>
            <w:vAlign w:val="center"/>
          </w:tcPr>
          <w:p w14:paraId="2FFD2E40" w14:textId="77777777" w:rsidR="00D9479F" w:rsidRDefault="00D9479F">
            <w:pPr>
              <w:jc w:val="center"/>
              <w:rPr>
                <w:rFonts w:ascii="Arial Narrow" w:hAnsi="Arial Narrow" w:cs="Segoe UI"/>
                <w:sz w:val="20"/>
                <w:szCs w:val="2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EE40CCB" w14:textId="03187A33" w:rsidR="00D9479F" w:rsidRPr="002859E7" w:rsidRDefault="00D9479F">
            <w:pPr>
              <w:jc w:val="center"/>
              <w:rPr>
                <w:rFonts w:ascii="Arial Narrow" w:hAnsi="Arial Narrow" w:cs="Segoe UI"/>
                <w:i/>
                <w:iCs/>
                <w:color w:val="333333"/>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2DCB87EC" w14:textId="77777777" w:rsidR="00D9479F" w:rsidRPr="002859E7" w:rsidRDefault="00D9479F">
            <w:pPr>
              <w:jc w:val="left"/>
              <w:textAlignment w:val="baseline"/>
              <w:rPr>
                <w:rFonts w:ascii="Arial Narrow" w:hAnsi="Arial Narrow" w:cs="Segoe UI"/>
                <w:i/>
                <w:iCs/>
                <w:color w:val="333333"/>
                <w:sz w:val="20"/>
                <w:szCs w:val="20"/>
              </w:rPr>
            </w:pPr>
            <w:r w:rsidRPr="002859E7">
              <w:rPr>
                <w:rFonts w:ascii="Arial Narrow" w:hAnsi="Arial Narrow" w:cs="Segoe UI"/>
                <w:b/>
                <w:bCs/>
                <w:i/>
                <w:iCs/>
                <w:color w:val="333333"/>
                <w:sz w:val="20"/>
                <w:szCs w:val="20"/>
              </w:rPr>
              <w:t>Administrative Advice:</w:t>
            </w:r>
            <w:r w:rsidRPr="002859E7">
              <w:rPr>
                <w:rFonts w:ascii="Arial Narrow" w:hAnsi="Arial Narrow" w:cs="Segoe UI"/>
                <w:i/>
                <w:iCs/>
                <w:color w:val="333333"/>
                <w:sz w:val="20"/>
                <w:szCs w:val="20"/>
              </w:rPr>
              <w:t> </w:t>
            </w:r>
          </w:p>
          <w:p w14:paraId="742A4575" w14:textId="77777777" w:rsidR="00D9479F" w:rsidRPr="002859E7" w:rsidRDefault="00D9479F">
            <w:pPr>
              <w:jc w:val="left"/>
              <w:textAlignment w:val="baseline"/>
              <w:rPr>
                <w:rFonts w:ascii="Arial Narrow" w:hAnsi="Arial Narrow" w:cs="Segoe UI"/>
                <w:b/>
                <w:bCs/>
                <w:i/>
                <w:iCs/>
                <w:color w:val="333333"/>
                <w:sz w:val="20"/>
                <w:szCs w:val="20"/>
              </w:rPr>
            </w:pPr>
            <w:r w:rsidRPr="00BA62F2">
              <w:rPr>
                <w:rFonts w:ascii="Arial Narrow" w:hAnsi="Arial Narrow"/>
                <w:bCs/>
                <w:i/>
                <w:iCs/>
                <w:sz w:val="20"/>
                <w:szCs w:val="20"/>
              </w:rPr>
              <w:t>No increase in the maximum number of repeats may be authorised.</w:t>
            </w:r>
          </w:p>
        </w:tc>
      </w:tr>
      <w:tr w:rsidR="00D9479F" w:rsidRPr="00FB6C73" w14:paraId="2C9D134C"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6D4631" w14:textId="5D14A941" w:rsidR="00D9479F" w:rsidRPr="00B27829" w:rsidRDefault="00D9479F">
            <w:pPr>
              <w:jc w:val="center"/>
              <w:textAlignment w:val="baseline"/>
              <w:rPr>
                <w:rFonts w:ascii="Arial Narrow" w:hAnsi="Arial Narrow" w:cs="Segoe UI"/>
                <w:i/>
                <w:iCs/>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212AC016" w14:textId="77777777" w:rsidR="00D9479F" w:rsidRDefault="00D9479F">
            <w:pPr>
              <w:jc w:val="left"/>
              <w:textAlignment w:val="baseline"/>
              <w:rPr>
                <w:rFonts w:ascii="Arial Narrow" w:hAnsi="Arial Narrow" w:cs="Segoe UI"/>
                <w:color w:val="333333"/>
                <w:sz w:val="20"/>
                <w:szCs w:val="20"/>
              </w:rPr>
            </w:pPr>
            <w:r w:rsidRPr="00680D32">
              <w:rPr>
                <w:rFonts w:ascii="Arial Narrow" w:hAnsi="Arial Narrow" w:cs="Segoe UI"/>
                <w:b/>
                <w:bCs/>
                <w:color w:val="333333"/>
                <w:sz w:val="20"/>
                <w:szCs w:val="20"/>
              </w:rPr>
              <w:t>Indication:</w:t>
            </w:r>
            <w:r w:rsidRPr="00680D32">
              <w:rPr>
                <w:rFonts w:ascii="Arial Narrow" w:hAnsi="Arial Narrow" w:cs="Segoe UI"/>
                <w:color w:val="333333"/>
                <w:sz w:val="20"/>
                <w:szCs w:val="20"/>
              </w:rPr>
              <w:t xml:space="preserve"> </w:t>
            </w:r>
            <w:r w:rsidRPr="009A0952">
              <w:rPr>
                <w:rFonts w:ascii="Arial Narrow" w:hAnsi="Arial Narrow" w:cs="Segoe UI"/>
                <w:strike/>
                <w:color w:val="333333"/>
                <w:sz w:val="20"/>
                <w:szCs w:val="20"/>
              </w:rPr>
              <w:t>Locally advanced or metastatic non-small cell lung cancer</w:t>
            </w:r>
            <w:r>
              <w:rPr>
                <w:rFonts w:ascii="Arial Narrow" w:hAnsi="Arial Narrow" w:cs="Segoe UI"/>
                <w:strike/>
                <w:color w:val="333333"/>
                <w:sz w:val="20"/>
                <w:szCs w:val="20"/>
              </w:rPr>
              <w:t xml:space="preserve"> (NSCLC)</w:t>
            </w:r>
          </w:p>
          <w:p w14:paraId="0017D042" w14:textId="77777777" w:rsidR="00D9479F" w:rsidRPr="00FB6C73" w:rsidRDefault="00D9479F">
            <w:pPr>
              <w:jc w:val="left"/>
              <w:textAlignment w:val="baseline"/>
              <w:rPr>
                <w:rFonts w:ascii="Segoe UI" w:hAnsi="Segoe UI" w:cs="Segoe UI"/>
                <w:i/>
                <w:iCs/>
                <w:sz w:val="18"/>
                <w:szCs w:val="18"/>
              </w:rPr>
            </w:pPr>
            <w:r>
              <w:rPr>
                <w:rFonts w:ascii="Arial Narrow" w:hAnsi="Arial Narrow" w:cs="Segoe UI"/>
                <w:i/>
                <w:iCs/>
                <w:color w:val="333333"/>
                <w:sz w:val="20"/>
                <w:szCs w:val="20"/>
              </w:rPr>
              <w:t>Stage IIIB (locally advanced) or Stage IV (metastatic) non-small cell lung cancer (NSCLC)</w:t>
            </w:r>
          </w:p>
        </w:tc>
      </w:tr>
      <w:tr w:rsidR="00D9479F" w:rsidRPr="00680D32" w14:paraId="7B8882C8"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FA219B" w14:textId="7CADFB54" w:rsidR="00D9479F" w:rsidRPr="00B27829"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36E7F400" w14:textId="77777777" w:rsidR="00D9479F" w:rsidRPr="00680D32" w:rsidRDefault="00D9479F">
            <w:pPr>
              <w:jc w:val="left"/>
              <w:textAlignment w:val="baseline"/>
              <w:rPr>
                <w:rFonts w:ascii="Segoe UI" w:hAnsi="Segoe UI" w:cs="Segoe UI"/>
                <w:sz w:val="18"/>
                <w:szCs w:val="18"/>
              </w:rPr>
            </w:pPr>
            <w:r w:rsidRPr="00680D32">
              <w:rPr>
                <w:rFonts w:ascii="Arial Narrow" w:hAnsi="Arial Narrow" w:cs="Segoe UI"/>
                <w:b/>
                <w:bCs/>
                <w:color w:val="333333"/>
                <w:sz w:val="20"/>
                <w:szCs w:val="20"/>
              </w:rPr>
              <w:t>Treatment Phase:</w:t>
            </w:r>
            <w:r w:rsidRPr="00680D32">
              <w:rPr>
                <w:rFonts w:ascii="Arial Narrow" w:hAnsi="Arial Narrow" w:cs="Segoe UI"/>
                <w:color w:val="FF0000"/>
                <w:sz w:val="20"/>
                <w:szCs w:val="20"/>
              </w:rPr>
              <w:t xml:space="preserve"> </w:t>
            </w:r>
            <w:r w:rsidRPr="00611C5D">
              <w:rPr>
                <w:rFonts w:ascii="Arial Narrow" w:hAnsi="Arial Narrow" w:cs="Segoe UI"/>
                <w:sz w:val="20"/>
                <w:szCs w:val="20"/>
              </w:rPr>
              <w:t xml:space="preserve">Initial treatment </w:t>
            </w:r>
          </w:p>
        </w:tc>
      </w:tr>
      <w:tr w:rsidR="00D9479F" w:rsidRPr="00680D32" w14:paraId="08095630"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0E2A3E" w14:textId="398FB8C2" w:rsidR="00D9479F" w:rsidRPr="00B27829" w:rsidRDefault="00D9479F">
            <w:pPr>
              <w:jc w:val="center"/>
              <w:textAlignment w:val="baseline"/>
              <w:rPr>
                <w:rFonts w:ascii="Arial Narrow" w:hAnsi="Arial Narrow" w:cs="Segoe UI"/>
                <w:color w:val="333333"/>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1D776278" w14:textId="77777777" w:rsidR="00D9479F" w:rsidRPr="00680D32" w:rsidRDefault="00D9479F">
            <w:pPr>
              <w:jc w:val="left"/>
              <w:textAlignment w:val="baseline"/>
              <w:rPr>
                <w:rFonts w:ascii="Arial Narrow" w:hAnsi="Arial Narrow" w:cs="Segoe UI"/>
                <w:b/>
                <w:bCs/>
                <w:color w:val="333333"/>
                <w:sz w:val="20"/>
                <w:szCs w:val="20"/>
              </w:rPr>
            </w:pPr>
            <w:r w:rsidRPr="00680D32">
              <w:rPr>
                <w:rFonts w:ascii="Arial Narrow" w:hAnsi="Arial Narrow" w:cs="Segoe UI"/>
                <w:b/>
                <w:bCs/>
                <w:color w:val="333333"/>
                <w:sz w:val="20"/>
                <w:szCs w:val="20"/>
              </w:rPr>
              <w:t>Clinical criteria:</w:t>
            </w:r>
          </w:p>
        </w:tc>
      </w:tr>
      <w:tr w:rsidR="00D9479F" w:rsidRPr="006C64C7" w14:paraId="12728C70"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3C1294" w14:textId="59AFAC0A" w:rsidR="00D9479F" w:rsidRPr="00B27829" w:rsidRDefault="00D9479F">
            <w:pPr>
              <w:jc w:val="center"/>
              <w:textAlignment w:val="baseline"/>
              <w:rPr>
                <w:rFonts w:ascii="Arial Narrow" w:hAnsi="Arial Narrow" w:cs="Segoe UI"/>
                <w:color w:val="333333"/>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40A198DF" w14:textId="77777777" w:rsidR="00D9479F" w:rsidRPr="006C64C7" w:rsidRDefault="00D9479F">
            <w:pPr>
              <w:pStyle w:val="Tabletext"/>
              <w:keepNext/>
              <w:rPr>
                <w:rFonts w:cs="Segoe UI"/>
                <w:i/>
                <w:iCs/>
              </w:rPr>
            </w:pPr>
            <w:r w:rsidRPr="6BDFCD56">
              <w:rPr>
                <w:rFonts w:cs="Segoe UI"/>
              </w:rPr>
              <w:t>The treatment must be the sole PBS-subsidised systemic anti-cancer therapy for this condition</w:t>
            </w:r>
            <w:r w:rsidRPr="6BDFCD56">
              <w:rPr>
                <w:rFonts w:cs="Segoe UI"/>
                <w:i/>
                <w:iCs/>
              </w:rPr>
              <w:t>,</w:t>
            </w:r>
          </w:p>
        </w:tc>
      </w:tr>
      <w:tr w:rsidR="00D9479F" w:rsidRPr="00681757" w14:paraId="71A32608"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826DF7" w14:textId="77777777" w:rsidR="00D9479F" w:rsidRPr="00B27829" w:rsidRDefault="00D9479F">
            <w:pPr>
              <w:jc w:val="center"/>
              <w:textAlignment w:val="baseline"/>
              <w:rPr>
                <w:rFonts w:ascii="Arial Narrow" w:hAnsi="Arial Narrow" w:cs="Segoe UI"/>
                <w:color w:val="333333"/>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59C18F4B" w14:textId="77777777" w:rsidR="00D9479F" w:rsidRPr="00681757" w:rsidRDefault="00D9479F">
            <w:pPr>
              <w:jc w:val="left"/>
              <w:textAlignment w:val="baseline"/>
              <w:rPr>
                <w:rFonts w:ascii="Arial Narrow" w:hAnsi="Arial Narrow" w:cs="Segoe UI"/>
                <w:b/>
                <w:bCs/>
                <w:color w:val="333333"/>
                <w:sz w:val="20"/>
                <w:szCs w:val="20"/>
              </w:rPr>
            </w:pPr>
            <w:r>
              <w:rPr>
                <w:rFonts w:ascii="Arial Narrow" w:hAnsi="Arial Narrow" w:cs="Segoe UI"/>
                <w:b/>
                <w:bCs/>
                <w:color w:val="333333"/>
                <w:sz w:val="20"/>
                <w:szCs w:val="20"/>
              </w:rPr>
              <w:t>AND</w:t>
            </w:r>
          </w:p>
        </w:tc>
      </w:tr>
      <w:tr w:rsidR="00D9479F" w:rsidRPr="00680D32" w14:paraId="14935989"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F6EF6E" w14:textId="4367D300" w:rsidR="00D9479F" w:rsidRPr="00B27829"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0E4BFF71" w14:textId="77777777" w:rsidR="00D9479F" w:rsidRPr="00680D32" w:rsidRDefault="00D9479F">
            <w:pPr>
              <w:jc w:val="left"/>
              <w:textAlignment w:val="baseline"/>
              <w:rPr>
                <w:rFonts w:ascii="Segoe UI" w:hAnsi="Segoe UI" w:cs="Segoe UI"/>
                <w:sz w:val="18"/>
                <w:szCs w:val="18"/>
              </w:rPr>
            </w:pPr>
            <w:r w:rsidRPr="00680D32">
              <w:rPr>
                <w:rFonts w:ascii="Arial Narrow" w:hAnsi="Arial Narrow" w:cs="Segoe UI"/>
                <w:b/>
                <w:bCs/>
                <w:color w:val="333333"/>
                <w:sz w:val="20"/>
                <w:szCs w:val="20"/>
              </w:rPr>
              <w:t xml:space="preserve">Clinical criteria: </w:t>
            </w:r>
          </w:p>
        </w:tc>
      </w:tr>
      <w:tr w:rsidR="00D9479F" w:rsidRPr="00680D32" w14:paraId="5E3BB560"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DE9B2F" w14:textId="011678E7" w:rsidR="00D9479F" w:rsidRPr="00B27829"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3DF43FAD" w14:textId="77777777" w:rsidR="00D9479F" w:rsidRPr="00680D32" w:rsidRDefault="00D9479F">
            <w:pPr>
              <w:jc w:val="left"/>
              <w:textAlignment w:val="baseline"/>
              <w:rPr>
                <w:rFonts w:ascii="Segoe UI" w:hAnsi="Segoe UI" w:cs="Segoe UI"/>
                <w:i/>
                <w:iCs/>
                <w:sz w:val="18"/>
                <w:szCs w:val="18"/>
              </w:rPr>
            </w:pPr>
            <w:r>
              <w:rPr>
                <w:rFonts w:ascii="Arial Narrow" w:hAnsi="Arial Narrow" w:cs="Segoe UI"/>
                <w:sz w:val="20"/>
                <w:szCs w:val="20"/>
              </w:rPr>
              <w:t>Patient must have a WHO performance status of 2 or less</w:t>
            </w:r>
            <w:r w:rsidRPr="6BDFCD56">
              <w:rPr>
                <w:rFonts w:ascii="Arial Narrow" w:hAnsi="Arial Narrow" w:cs="Segoe UI"/>
                <w:i/>
                <w:iCs/>
                <w:sz w:val="20"/>
                <w:szCs w:val="20"/>
              </w:rPr>
              <w:t>,</w:t>
            </w:r>
          </w:p>
        </w:tc>
      </w:tr>
      <w:tr w:rsidR="00D9479F" w:rsidRPr="00680D32" w14:paraId="6879EBAB"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AA0270" w14:textId="5628D77C" w:rsidR="00D9479F" w:rsidRPr="00B27829"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1C2C3F02" w14:textId="77777777" w:rsidR="00D9479F" w:rsidRPr="00680D32" w:rsidRDefault="00D9479F">
            <w:pPr>
              <w:jc w:val="left"/>
              <w:textAlignment w:val="baseline"/>
              <w:rPr>
                <w:rFonts w:ascii="Segoe UI" w:hAnsi="Segoe UI" w:cs="Segoe UI"/>
                <w:sz w:val="18"/>
                <w:szCs w:val="18"/>
              </w:rPr>
            </w:pPr>
            <w:r w:rsidRPr="00680D32">
              <w:rPr>
                <w:rFonts w:ascii="Arial Narrow" w:hAnsi="Arial Narrow" w:cs="Segoe UI"/>
                <w:b/>
                <w:bCs/>
                <w:color w:val="333333"/>
                <w:sz w:val="20"/>
                <w:szCs w:val="20"/>
              </w:rPr>
              <w:t>AND</w:t>
            </w:r>
            <w:r w:rsidRPr="00680D32">
              <w:rPr>
                <w:rFonts w:ascii="Arial Narrow" w:hAnsi="Arial Narrow" w:cs="Segoe UI"/>
                <w:color w:val="333333"/>
                <w:sz w:val="20"/>
                <w:szCs w:val="20"/>
              </w:rPr>
              <w:t> </w:t>
            </w:r>
          </w:p>
        </w:tc>
      </w:tr>
      <w:tr w:rsidR="00D9479F" w:rsidRPr="00680D32" w14:paraId="429AB287"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852E4F3" w14:textId="57E18DC5" w:rsidR="00D9479F" w:rsidRPr="00680D32" w:rsidRDefault="00D9479F">
            <w:pPr>
              <w:jc w:val="center"/>
              <w:textAlignment w:val="baseline"/>
              <w:rPr>
                <w:rFonts w:ascii="Segoe UI" w:hAnsi="Segoe UI" w:cs="Segoe UI"/>
                <w:sz w:val="18"/>
                <w:szCs w:val="18"/>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0F26125A" w14:textId="77777777" w:rsidR="00D9479F" w:rsidRPr="00680D32" w:rsidRDefault="00D9479F">
            <w:pPr>
              <w:jc w:val="left"/>
              <w:textAlignment w:val="baseline"/>
              <w:rPr>
                <w:rFonts w:ascii="Segoe UI" w:hAnsi="Segoe UI" w:cs="Segoe UI"/>
                <w:sz w:val="18"/>
                <w:szCs w:val="18"/>
              </w:rPr>
            </w:pPr>
            <w:r w:rsidRPr="00680D32">
              <w:rPr>
                <w:rFonts w:ascii="Arial Narrow" w:hAnsi="Arial Narrow" w:cs="Segoe UI"/>
                <w:b/>
                <w:bCs/>
                <w:color w:val="333333"/>
                <w:sz w:val="20"/>
                <w:szCs w:val="20"/>
              </w:rPr>
              <w:t>Clinical criteria:</w:t>
            </w:r>
            <w:r w:rsidRPr="00680D32">
              <w:rPr>
                <w:rFonts w:ascii="Arial Narrow" w:hAnsi="Arial Narrow" w:cs="Segoe UI"/>
                <w:color w:val="333333"/>
                <w:sz w:val="20"/>
                <w:szCs w:val="20"/>
              </w:rPr>
              <w:t> </w:t>
            </w:r>
          </w:p>
        </w:tc>
      </w:tr>
      <w:tr w:rsidR="00D9479F" w:rsidRPr="00BA1F23" w14:paraId="368149C7"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BFC8D9" w14:textId="03089E67" w:rsidR="00D9479F" w:rsidRPr="00252D3C" w:rsidRDefault="00D9479F">
            <w:pPr>
              <w:jc w:val="center"/>
              <w:textAlignment w:val="baseline"/>
              <w:rPr>
                <w:rFonts w:ascii="Arial Narrow" w:hAnsi="Arial Narrow" w:cs="Arabic Typesetting"/>
                <w:sz w:val="18"/>
                <w:szCs w:val="18"/>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2F890493" w14:textId="77777777" w:rsidR="00D9479F" w:rsidRPr="00BA1F23" w:rsidRDefault="00D9479F">
            <w:pPr>
              <w:pStyle w:val="Tabletext"/>
              <w:keepNext/>
              <w:rPr>
                <w:rFonts w:cs="Segoe UI"/>
                <w:i/>
                <w:iCs/>
              </w:rPr>
            </w:pPr>
            <w:r w:rsidRPr="6BDFCD56">
              <w:rPr>
                <w:rFonts w:cs="Segoe UI"/>
              </w:rPr>
              <w:t>The condition must be non-squamous type non-small cell lung cancer (NSCLC) or not otherwise specified type NSCLC</w:t>
            </w:r>
            <w:r w:rsidRPr="6BDFCD56">
              <w:rPr>
                <w:rFonts w:cs="Segoe UI"/>
                <w:i/>
                <w:iCs/>
              </w:rPr>
              <w:t>,</w:t>
            </w:r>
          </w:p>
        </w:tc>
      </w:tr>
      <w:tr w:rsidR="00D9479F" w:rsidRPr="00680D32" w14:paraId="22CA66CA"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F830FC" w14:textId="77777777" w:rsidR="00D9479F" w:rsidRPr="00680D32" w:rsidRDefault="00D9479F">
            <w:pPr>
              <w:jc w:val="center"/>
              <w:textAlignment w:val="baseline"/>
              <w:rPr>
                <w:rFonts w:ascii="Segoe UI" w:hAnsi="Segoe UI" w:cs="Segoe UI"/>
                <w:sz w:val="18"/>
                <w:szCs w:val="18"/>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047BF749" w14:textId="77777777" w:rsidR="00D9479F" w:rsidRPr="00680D32" w:rsidRDefault="00D9479F">
            <w:pPr>
              <w:jc w:val="left"/>
              <w:textAlignment w:val="baseline"/>
              <w:rPr>
                <w:rFonts w:ascii="Segoe UI" w:hAnsi="Segoe UI" w:cs="Segoe UI"/>
                <w:sz w:val="18"/>
                <w:szCs w:val="18"/>
              </w:rPr>
            </w:pPr>
            <w:r w:rsidRPr="00680D32">
              <w:rPr>
                <w:rFonts w:ascii="Arial Narrow" w:hAnsi="Arial Narrow" w:cs="Segoe UI"/>
                <w:b/>
                <w:bCs/>
                <w:color w:val="333333"/>
                <w:sz w:val="20"/>
                <w:szCs w:val="20"/>
              </w:rPr>
              <w:t>AND</w:t>
            </w:r>
            <w:r w:rsidRPr="00680D32">
              <w:rPr>
                <w:rFonts w:ascii="Arial Narrow" w:hAnsi="Arial Narrow" w:cs="Segoe UI"/>
                <w:color w:val="333333"/>
                <w:sz w:val="20"/>
                <w:szCs w:val="20"/>
              </w:rPr>
              <w:t> </w:t>
            </w:r>
          </w:p>
        </w:tc>
      </w:tr>
      <w:tr w:rsidR="00D9479F" w:rsidRPr="00680D32" w14:paraId="3585E3AB"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D620DC" w14:textId="7CB1951B" w:rsidR="00D9479F" w:rsidRPr="00F8454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36B76AB8" w14:textId="77777777" w:rsidR="00D9479F" w:rsidRPr="00680D32" w:rsidRDefault="00D9479F">
            <w:pPr>
              <w:jc w:val="left"/>
              <w:textAlignment w:val="baseline"/>
              <w:rPr>
                <w:rFonts w:ascii="Segoe UI" w:hAnsi="Segoe UI" w:cs="Segoe UI"/>
                <w:sz w:val="18"/>
                <w:szCs w:val="18"/>
              </w:rPr>
            </w:pPr>
            <w:r w:rsidRPr="00680D32">
              <w:rPr>
                <w:rFonts w:ascii="Arial Narrow" w:hAnsi="Arial Narrow" w:cs="Segoe UI"/>
                <w:b/>
                <w:bCs/>
                <w:color w:val="333333"/>
                <w:sz w:val="20"/>
                <w:szCs w:val="20"/>
              </w:rPr>
              <w:t>Clinical criteria:</w:t>
            </w:r>
            <w:r w:rsidRPr="00680D32">
              <w:rPr>
                <w:rFonts w:ascii="Arial Narrow" w:hAnsi="Arial Narrow" w:cs="Segoe UI"/>
                <w:color w:val="333333"/>
                <w:sz w:val="20"/>
                <w:szCs w:val="20"/>
              </w:rPr>
              <w:t> </w:t>
            </w:r>
          </w:p>
        </w:tc>
      </w:tr>
      <w:tr w:rsidR="00D9479F" w:rsidRPr="00C4316C" w14:paraId="0DAE8F5D"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7BF441" w14:textId="43B215C9" w:rsidR="00D9479F" w:rsidRPr="00F8454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6A565959" w14:textId="77777777" w:rsidR="00D9479F" w:rsidRPr="00C4316C" w:rsidRDefault="00D9479F">
            <w:pPr>
              <w:pStyle w:val="Tabletext"/>
              <w:keepNext/>
              <w:rPr>
                <w:rFonts w:cs="Segoe UI"/>
                <w:i/>
                <w:iCs/>
              </w:rPr>
            </w:pPr>
            <w:r w:rsidRPr="4499A447">
              <w:rPr>
                <w:rFonts w:cs="Segoe UI"/>
              </w:rPr>
              <w:t>Patient must have evidence of c-ROS proto-oncogene 1 (ROS1) gene rearrangement in tumour material, defined as either: (</w:t>
            </w:r>
            <w:proofErr w:type="spellStart"/>
            <w:r w:rsidRPr="4499A447">
              <w:rPr>
                <w:rFonts w:cs="Segoe UI"/>
              </w:rPr>
              <w:t>i</w:t>
            </w:r>
            <w:proofErr w:type="spellEnd"/>
            <w:r w:rsidRPr="4499A447">
              <w:rPr>
                <w:rFonts w:cs="Segoe UI"/>
              </w:rPr>
              <w:t>) 15% (or greater) positive cells by fluorescence in situ hybridisation (FISH) testing, (ii) positive next generation sequencing (NGS) testing</w:t>
            </w:r>
            <w:r w:rsidRPr="4499A447">
              <w:rPr>
                <w:rFonts w:cs="Segoe UI"/>
                <w:i/>
                <w:iCs/>
              </w:rPr>
              <w:t>,</w:t>
            </w:r>
          </w:p>
        </w:tc>
      </w:tr>
      <w:tr w:rsidR="00D9479F" w:rsidRPr="005D0853" w14:paraId="066ED11D"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BEA911" w14:textId="77777777" w:rsidR="00D9479F" w:rsidRPr="00F8454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3968D98D" w14:textId="77777777" w:rsidR="00D9479F" w:rsidRPr="005D0853" w:rsidRDefault="00D9479F">
            <w:pPr>
              <w:pStyle w:val="Tabletext"/>
              <w:keepNext/>
              <w:rPr>
                <w:rFonts w:cs="Segoe UI"/>
                <w:b/>
                <w:bCs/>
              </w:rPr>
            </w:pPr>
            <w:r>
              <w:rPr>
                <w:rFonts w:cs="Segoe UI"/>
                <w:b/>
                <w:bCs/>
              </w:rPr>
              <w:t>AND</w:t>
            </w:r>
          </w:p>
        </w:tc>
      </w:tr>
      <w:tr w:rsidR="00D9479F" w14:paraId="74402EC0"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5905AC" w14:textId="21FA9CDC" w:rsidR="00D9479F" w:rsidRPr="00F8454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463B83E8" w14:textId="77777777" w:rsidR="00D9479F" w:rsidRDefault="00D9479F">
            <w:pPr>
              <w:pStyle w:val="Tabletext"/>
              <w:keepNext/>
              <w:rPr>
                <w:rFonts w:cs="Segoe UI"/>
                <w:b/>
                <w:bCs/>
              </w:rPr>
            </w:pPr>
            <w:r>
              <w:rPr>
                <w:rFonts w:cs="Segoe UI"/>
                <w:b/>
                <w:bCs/>
              </w:rPr>
              <w:t>Clinical criteria:</w:t>
            </w:r>
          </w:p>
        </w:tc>
      </w:tr>
      <w:tr w:rsidR="00D9479F" w:rsidRPr="00680D32" w14:paraId="6927BBD7"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4E62ED" w14:textId="2660596C" w:rsidR="00D9479F" w:rsidRPr="00F8454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2335FC96" w14:textId="77777777" w:rsidR="00D9479F" w:rsidRPr="00680D32" w:rsidRDefault="00D9479F">
            <w:pPr>
              <w:jc w:val="left"/>
              <w:textAlignment w:val="baseline"/>
              <w:rPr>
                <w:rFonts w:ascii="Segoe UI" w:hAnsi="Segoe UI" w:cs="Segoe UI"/>
                <w:sz w:val="18"/>
                <w:szCs w:val="18"/>
              </w:rPr>
            </w:pPr>
            <w:r w:rsidRPr="004F704D">
              <w:rPr>
                <w:rFonts w:ascii="Arial Narrow" w:hAnsi="Arial Narrow" w:cs="Segoe UI"/>
                <w:sz w:val="20"/>
                <w:szCs w:val="20"/>
              </w:rPr>
              <w:t>Patient must not have received prior treatment with a c-ROS proto-oncogene 1 (ROS1) receptor tyrosine kinase inhibitor for this condition; or</w:t>
            </w:r>
          </w:p>
        </w:tc>
      </w:tr>
      <w:tr w:rsidR="00D9479F" w:rsidRPr="00284660" w14:paraId="27197284"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5E0D89" w14:textId="5953523C" w:rsidR="00D9479F" w:rsidRPr="00F8454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1739FFDD" w14:textId="77777777" w:rsidR="00D9479F" w:rsidRPr="00284660" w:rsidRDefault="00D9479F">
            <w:pPr>
              <w:pStyle w:val="Tabletext"/>
              <w:keepNext/>
            </w:pPr>
            <w:r w:rsidRPr="4499A447">
              <w:rPr>
                <w:rFonts w:cs="Segoe UI"/>
              </w:rPr>
              <w:t>Patient must have developed intolerance to a c-ROS proto-oncogene 1 (ROS1) receptor tyrosine kinase inhibitor necessitating permanent treatment withdrawal.</w:t>
            </w:r>
          </w:p>
        </w:tc>
      </w:tr>
      <w:tr w:rsidR="00D9479F" w:rsidRPr="00A11DD0" w14:paraId="5CC61D54"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41C842" w14:textId="14DBB4C8" w:rsidR="00D9479F" w:rsidRPr="00A11DD0" w:rsidRDefault="00D9479F">
            <w:pPr>
              <w:jc w:val="center"/>
              <w:textAlignment w:val="baseline"/>
              <w:rPr>
                <w:rFonts w:ascii="Arial Narrow" w:hAnsi="Arial Narrow" w:cs="Segoe UI"/>
                <w:i/>
                <w:iCs/>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7AAC7553" w14:textId="77777777" w:rsidR="00D9479F" w:rsidRPr="00A11DD0" w:rsidRDefault="00D9479F">
            <w:pPr>
              <w:jc w:val="left"/>
              <w:textAlignment w:val="baseline"/>
              <w:rPr>
                <w:rFonts w:ascii="Arial Narrow" w:hAnsi="Arial Narrow" w:cs="Segoe UI"/>
                <w:b/>
                <w:bCs/>
                <w:i/>
                <w:iCs/>
                <w:sz w:val="20"/>
                <w:szCs w:val="20"/>
              </w:rPr>
            </w:pPr>
            <w:r w:rsidRPr="00A11DD0">
              <w:rPr>
                <w:rFonts w:ascii="Arial Narrow" w:hAnsi="Arial Narrow" w:cs="Segoe UI"/>
                <w:b/>
                <w:bCs/>
                <w:i/>
                <w:iCs/>
                <w:sz w:val="20"/>
                <w:szCs w:val="20"/>
              </w:rPr>
              <w:t>Prescribing Instructions:</w:t>
            </w:r>
          </w:p>
          <w:p w14:paraId="451DD9D4" w14:textId="77777777" w:rsidR="00D9479F" w:rsidRPr="00A11DD0" w:rsidRDefault="00D9479F">
            <w:pPr>
              <w:jc w:val="left"/>
              <w:textAlignment w:val="baseline"/>
              <w:rPr>
                <w:rFonts w:ascii="Arial Narrow" w:hAnsi="Arial Narrow" w:cs="Segoe UI"/>
                <w:i/>
                <w:iCs/>
                <w:sz w:val="20"/>
                <w:szCs w:val="20"/>
              </w:rPr>
            </w:pPr>
            <w:r w:rsidRPr="4499A447">
              <w:rPr>
                <w:rFonts w:ascii="Arial Narrow" w:hAnsi="Arial Narrow" w:cs="Segoe UI"/>
                <w:i/>
                <w:iCs/>
                <w:sz w:val="20"/>
                <w:szCs w:val="20"/>
              </w:rPr>
              <w:t>Applications for authorisation of initial treatment must be made via the Online PBS Authorities System (real time assessment) or in writing via HPOS form upload or mail.</w:t>
            </w:r>
          </w:p>
          <w:p w14:paraId="253A6A6A" w14:textId="77777777" w:rsidR="00D9479F" w:rsidRPr="00A11DD0" w:rsidRDefault="00D9479F">
            <w:pPr>
              <w:jc w:val="left"/>
              <w:textAlignment w:val="baseline"/>
              <w:rPr>
                <w:rFonts w:ascii="Arial Narrow" w:hAnsi="Arial Narrow" w:cs="Segoe UI"/>
                <w:i/>
                <w:iCs/>
                <w:sz w:val="20"/>
                <w:szCs w:val="20"/>
              </w:rPr>
            </w:pPr>
            <w:r w:rsidRPr="4499A447">
              <w:rPr>
                <w:rFonts w:ascii="Arial Narrow" w:hAnsi="Arial Narrow" w:cs="Segoe UI"/>
                <w:i/>
                <w:iCs/>
                <w:sz w:val="20"/>
                <w:szCs w:val="20"/>
              </w:rPr>
              <w:t>If the application is submitted through HPOS form upload or mail, it must include:</w:t>
            </w:r>
          </w:p>
          <w:p w14:paraId="4D113A86" w14:textId="77777777" w:rsidR="00D9479F" w:rsidRPr="00A11DD0" w:rsidRDefault="00D9479F">
            <w:pPr>
              <w:jc w:val="left"/>
              <w:textAlignment w:val="baseline"/>
              <w:rPr>
                <w:rFonts w:ascii="Arial Narrow" w:hAnsi="Arial Narrow" w:cs="Segoe UI"/>
                <w:i/>
                <w:iCs/>
                <w:sz w:val="20"/>
                <w:szCs w:val="20"/>
              </w:rPr>
            </w:pPr>
            <w:r w:rsidRPr="00A11DD0">
              <w:rPr>
                <w:rFonts w:ascii="Arial Narrow" w:hAnsi="Arial Narrow" w:cs="Segoe UI"/>
                <w:i/>
                <w:iCs/>
                <w:sz w:val="20"/>
                <w:szCs w:val="20"/>
              </w:rPr>
              <w:t>(a) details of the proposed prescription; and</w:t>
            </w:r>
          </w:p>
          <w:p w14:paraId="28FF149A" w14:textId="77777777" w:rsidR="00D9479F" w:rsidRPr="00A11DD0" w:rsidRDefault="00D9479F">
            <w:pPr>
              <w:jc w:val="left"/>
              <w:textAlignment w:val="baseline"/>
              <w:rPr>
                <w:rFonts w:ascii="Segoe UI" w:hAnsi="Segoe UI" w:cs="Segoe UI"/>
                <w:i/>
                <w:iCs/>
                <w:sz w:val="18"/>
                <w:szCs w:val="18"/>
              </w:rPr>
            </w:pPr>
            <w:r w:rsidRPr="4499A447">
              <w:rPr>
                <w:rFonts w:ascii="Arial Narrow" w:hAnsi="Arial Narrow" w:cs="Segoe UI"/>
                <w:i/>
                <w:iCs/>
                <w:sz w:val="20"/>
                <w:szCs w:val="20"/>
              </w:rPr>
              <w:t>(b) a completed authority application form relevant to the indication and treatment phase (the latest version is located on the website specified in the Administrative Advice).</w:t>
            </w:r>
          </w:p>
        </w:tc>
      </w:tr>
      <w:tr w:rsidR="00D9479F" w:rsidRPr="00A11DD0" w14:paraId="77FB2E92"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600100" w14:textId="2BC7A795" w:rsidR="00D9479F" w:rsidRPr="00A11DD0" w:rsidRDefault="00D9479F">
            <w:pPr>
              <w:jc w:val="center"/>
              <w:textAlignment w:val="baseline"/>
              <w:rPr>
                <w:rFonts w:ascii="Arial Narrow" w:hAnsi="Arial Narrow" w:cs="Segoe UI"/>
                <w:i/>
                <w:iCs/>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79131C89" w14:textId="77777777" w:rsidR="00D9479F" w:rsidRPr="00A11DD0" w:rsidRDefault="00D9479F">
            <w:pPr>
              <w:pStyle w:val="TableText0"/>
              <w:rPr>
                <w:i/>
                <w:iCs/>
              </w:rPr>
            </w:pPr>
            <w:r w:rsidRPr="00A11DD0">
              <w:rPr>
                <w:b/>
                <w:i/>
                <w:iCs/>
              </w:rPr>
              <w:t>Prescribing Instructions:</w:t>
            </w:r>
          </w:p>
          <w:p w14:paraId="6D3AB52B" w14:textId="77777777" w:rsidR="00D9479F" w:rsidRPr="00A11DD0" w:rsidRDefault="00D9479F">
            <w:pPr>
              <w:pStyle w:val="TableText0"/>
              <w:rPr>
                <w:i/>
                <w:iCs/>
              </w:rPr>
            </w:pPr>
            <w:r w:rsidRPr="00A11DD0">
              <w:rPr>
                <w:i/>
                <w:iCs/>
              </w:rPr>
              <w:t>The following must be documented in the patient's medical records:</w:t>
            </w:r>
          </w:p>
          <w:p w14:paraId="00452724" w14:textId="77777777" w:rsidR="00D9479F" w:rsidRPr="00A11DD0" w:rsidRDefault="00D9479F">
            <w:pPr>
              <w:pStyle w:val="TableText0"/>
              <w:rPr>
                <w:i/>
                <w:iCs/>
              </w:rPr>
            </w:pPr>
            <w:r w:rsidRPr="00A11DD0">
              <w:rPr>
                <w:i/>
                <w:iCs/>
              </w:rPr>
              <w:t>(a) evidence of c-ROS proto-oncogene 1 (ROS1) gene rearrangement in tumour material.</w:t>
            </w:r>
          </w:p>
        </w:tc>
      </w:tr>
      <w:tr w:rsidR="00D9479F" w:rsidRPr="00A11DD0" w14:paraId="2F2AF01B"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1AEAAA5F" w14:textId="1E86BD50" w:rsidR="00D9479F" w:rsidRPr="00A11DD0" w:rsidRDefault="00D9479F">
            <w:pPr>
              <w:jc w:val="center"/>
              <w:textAlignment w:val="baseline"/>
              <w:rPr>
                <w:rFonts w:ascii="Arial Narrow" w:hAnsi="Arial Narrow" w:cs="Segoe UI"/>
                <w:i/>
                <w:iCs/>
                <w:sz w:val="20"/>
                <w:szCs w:val="20"/>
              </w:rPr>
            </w:pPr>
          </w:p>
        </w:tc>
        <w:tc>
          <w:tcPr>
            <w:tcW w:w="8029"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3796ABD8" w14:textId="77777777" w:rsidR="00D9479F" w:rsidRPr="00A11DD0" w:rsidRDefault="00D9479F">
            <w:pPr>
              <w:pStyle w:val="TableText0"/>
              <w:rPr>
                <w:i/>
                <w:iCs/>
              </w:rPr>
            </w:pPr>
            <w:r w:rsidRPr="00A11DD0">
              <w:rPr>
                <w:b/>
                <w:i/>
                <w:iCs/>
              </w:rPr>
              <w:t>Administrative Advice:</w:t>
            </w:r>
          </w:p>
          <w:p w14:paraId="2A4B5330" w14:textId="77777777" w:rsidR="00D9479F" w:rsidRPr="00A11DD0" w:rsidRDefault="00D9479F">
            <w:pPr>
              <w:pStyle w:val="TableText0"/>
              <w:rPr>
                <w:i/>
                <w:iCs/>
              </w:rPr>
            </w:pPr>
            <w:r w:rsidRPr="00A11DD0">
              <w:rPr>
                <w:i/>
                <w:iCs/>
              </w:rPr>
              <w:t>Any queries concerning the arrangements to prescribe may be directed to Services Australia on 1800 700 270 (hours of operation 8 a.m. to 5 p.m. Monday to Friday).</w:t>
            </w:r>
          </w:p>
          <w:p w14:paraId="26C32A7C" w14:textId="77777777" w:rsidR="00D9479F" w:rsidRPr="00A11DD0" w:rsidRDefault="00D9479F">
            <w:pPr>
              <w:pStyle w:val="TableText0"/>
              <w:rPr>
                <w:i/>
                <w:iCs/>
              </w:rPr>
            </w:pPr>
            <w:r w:rsidRPr="00A11DD0">
              <w:rPr>
                <w:i/>
                <w:iCs/>
              </w:rPr>
              <w:t>Prescribing information (including Authority Application forms and other relevant documentation as applicable) is available on the Services Australia website at www.servicesaustralia.gov.au</w:t>
            </w:r>
          </w:p>
          <w:p w14:paraId="2841ACEB" w14:textId="77777777" w:rsidR="00D9479F" w:rsidRPr="00A11DD0" w:rsidRDefault="00D9479F">
            <w:pPr>
              <w:pStyle w:val="TableText0"/>
              <w:rPr>
                <w:i/>
                <w:iCs/>
              </w:rPr>
            </w:pPr>
            <w:r w:rsidRPr="00A11DD0">
              <w:rPr>
                <w:i/>
                <w:iCs/>
              </w:rPr>
              <w:t>Applications for authorisation under this restriction should be made in real time using the Online PBS Authorities system (see www.servicesaustralia.gov.au/hpos)</w:t>
            </w:r>
          </w:p>
          <w:p w14:paraId="7A936CFD" w14:textId="77777777" w:rsidR="00D9479F" w:rsidRPr="00A11DD0" w:rsidRDefault="00D9479F">
            <w:pPr>
              <w:pStyle w:val="TableText0"/>
              <w:rPr>
                <w:i/>
                <w:iCs/>
              </w:rPr>
            </w:pPr>
            <w:r w:rsidRPr="4499A447">
              <w:rPr>
                <w:i/>
                <w:iCs/>
              </w:rPr>
              <w:t>Alternatively, applications for authority to prescribe can be submitted online using the form upload facility in Health Professional Online Services (HPOS) at www.servicesaustralia.gov.au/hpos</w:t>
            </w:r>
          </w:p>
          <w:p w14:paraId="04C919E7" w14:textId="77777777" w:rsidR="00D9479F" w:rsidRPr="00A11DD0" w:rsidRDefault="00D9479F">
            <w:pPr>
              <w:pStyle w:val="TableText0"/>
              <w:rPr>
                <w:i/>
                <w:iCs/>
              </w:rPr>
            </w:pPr>
            <w:r w:rsidRPr="00A11DD0">
              <w:rPr>
                <w:i/>
                <w:iCs/>
              </w:rPr>
              <w:t>Or mailed to:</w:t>
            </w:r>
          </w:p>
          <w:p w14:paraId="31F36D4A" w14:textId="77777777" w:rsidR="00D9479F" w:rsidRPr="00A11DD0" w:rsidRDefault="00D9479F">
            <w:pPr>
              <w:pStyle w:val="TableText0"/>
              <w:rPr>
                <w:i/>
                <w:iCs/>
              </w:rPr>
            </w:pPr>
            <w:r w:rsidRPr="00A11DD0">
              <w:rPr>
                <w:i/>
                <w:iCs/>
              </w:rPr>
              <w:t>Services Australia</w:t>
            </w:r>
          </w:p>
          <w:p w14:paraId="62B47677" w14:textId="77777777" w:rsidR="00D9479F" w:rsidRPr="00A11DD0" w:rsidRDefault="00D9479F">
            <w:pPr>
              <w:pStyle w:val="TableText0"/>
              <w:rPr>
                <w:i/>
                <w:iCs/>
              </w:rPr>
            </w:pPr>
            <w:r w:rsidRPr="00A11DD0">
              <w:rPr>
                <w:i/>
                <w:iCs/>
              </w:rPr>
              <w:t>Complex Drugs</w:t>
            </w:r>
          </w:p>
          <w:p w14:paraId="4031911E" w14:textId="77777777" w:rsidR="00D9479F" w:rsidRPr="00A11DD0" w:rsidRDefault="00D9479F">
            <w:pPr>
              <w:pStyle w:val="TableText0"/>
              <w:rPr>
                <w:i/>
                <w:iCs/>
              </w:rPr>
            </w:pPr>
            <w:r w:rsidRPr="00A11DD0">
              <w:rPr>
                <w:i/>
                <w:iCs/>
              </w:rPr>
              <w:t>Reply Paid 9826</w:t>
            </w:r>
          </w:p>
          <w:p w14:paraId="4898F63A" w14:textId="77777777" w:rsidR="00D9479F" w:rsidRPr="00A11DD0" w:rsidRDefault="00D9479F">
            <w:pPr>
              <w:pStyle w:val="TableText0"/>
              <w:rPr>
                <w:i/>
                <w:iCs/>
              </w:rPr>
            </w:pPr>
            <w:r w:rsidRPr="00A11DD0">
              <w:rPr>
                <w:i/>
                <w:iCs/>
              </w:rPr>
              <w:t>HOBART TAS 7001</w:t>
            </w:r>
          </w:p>
        </w:tc>
      </w:tr>
      <w:tr w:rsidR="00D9479F" w:rsidRPr="00EA7796" w14:paraId="39B82652"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22" w:type="dxa"/>
            <w:gridSpan w:val="13"/>
            <w:tcBorders>
              <w:top w:val="single" w:sz="4" w:space="0" w:color="auto"/>
              <w:left w:val="nil"/>
              <w:bottom w:val="single" w:sz="4" w:space="0" w:color="auto"/>
              <w:right w:val="nil"/>
            </w:tcBorders>
            <w:shd w:val="clear" w:color="auto" w:fill="auto"/>
            <w:vAlign w:val="center"/>
          </w:tcPr>
          <w:p w14:paraId="1D49F7E7" w14:textId="77777777" w:rsidR="00D9479F" w:rsidRPr="00EA7796" w:rsidRDefault="00D9479F">
            <w:pPr>
              <w:pStyle w:val="TableText0"/>
              <w:rPr>
                <w:b/>
                <w:bCs w:val="0"/>
              </w:rPr>
            </w:pPr>
          </w:p>
        </w:tc>
      </w:tr>
      <w:tr w:rsidR="00D9479F" w:rsidRPr="00EA7796" w14:paraId="4C02F758"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22" w:type="dxa"/>
            <w:gridSpan w:val="13"/>
            <w:tcBorders>
              <w:top w:val="single" w:sz="4" w:space="0" w:color="auto"/>
              <w:left w:val="single" w:sz="6" w:space="0" w:color="auto"/>
              <w:bottom w:val="single" w:sz="6" w:space="0" w:color="auto"/>
              <w:right w:val="single" w:sz="6" w:space="0" w:color="auto"/>
            </w:tcBorders>
            <w:shd w:val="clear" w:color="auto" w:fill="auto"/>
            <w:vAlign w:val="center"/>
          </w:tcPr>
          <w:p w14:paraId="68A2E39D" w14:textId="7A42B12D" w:rsidR="00D9479F" w:rsidRPr="00EA7796" w:rsidRDefault="00D9479F">
            <w:pPr>
              <w:pStyle w:val="TableText0"/>
              <w:rPr>
                <w:rFonts w:cs="Segoe UI"/>
                <w:b/>
                <w:bCs w:val="0"/>
              </w:rPr>
            </w:pPr>
            <w:r w:rsidRPr="5E23109F">
              <w:rPr>
                <w:rFonts w:cs="Segoe UI"/>
                <w:b/>
              </w:rPr>
              <w:t xml:space="preserve">Restriction Summary / Treatment of Concept: </w:t>
            </w:r>
          </w:p>
        </w:tc>
      </w:tr>
      <w:tr w:rsidR="00D9479F" w:rsidRPr="00EA7796" w14:paraId="1F63038E"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8D7C7BB" w14:textId="6B9408B3"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791625D3" w14:textId="77777777" w:rsidR="00D9479F" w:rsidRDefault="00D9479F">
            <w:pPr>
              <w:jc w:val="left"/>
              <w:textAlignment w:val="baseline"/>
              <w:rPr>
                <w:rFonts w:ascii="Arial Narrow" w:hAnsi="Arial Narrow" w:cs="Segoe UI"/>
                <w:color w:val="333333"/>
                <w:sz w:val="20"/>
                <w:szCs w:val="20"/>
              </w:rPr>
            </w:pPr>
            <w:r w:rsidRPr="00680D32">
              <w:rPr>
                <w:rFonts w:ascii="Arial Narrow" w:hAnsi="Arial Narrow" w:cs="Segoe UI"/>
                <w:b/>
                <w:bCs/>
                <w:color w:val="333333"/>
                <w:sz w:val="20"/>
                <w:szCs w:val="20"/>
              </w:rPr>
              <w:t>Indication:</w:t>
            </w:r>
            <w:r w:rsidRPr="00680D32">
              <w:rPr>
                <w:rFonts w:ascii="Arial Narrow" w:hAnsi="Arial Narrow" w:cs="Segoe UI"/>
                <w:color w:val="333333"/>
                <w:sz w:val="20"/>
                <w:szCs w:val="20"/>
              </w:rPr>
              <w:t xml:space="preserve"> </w:t>
            </w:r>
            <w:r w:rsidRPr="009A0952">
              <w:rPr>
                <w:rFonts w:ascii="Arial Narrow" w:hAnsi="Arial Narrow" w:cs="Segoe UI"/>
                <w:strike/>
                <w:color w:val="333333"/>
                <w:sz w:val="20"/>
                <w:szCs w:val="20"/>
              </w:rPr>
              <w:t>Locally advanced or metastatic non-small cell lung cancer</w:t>
            </w:r>
            <w:r>
              <w:rPr>
                <w:rFonts w:ascii="Arial Narrow" w:hAnsi="Arial Narrow" w:cs="Segoe UI"/>
                <w:strike/>
                <w:color w:val="333333"/>
                <w:sz w:val="20"/>
                <w:szCs w:val="20"/>
              </w:rPr>
              <w:t xml:space="preserve"> (NSCLC)</w:t>
            </w:r>
          </w:p>
          <w:p w14:paraId="61B60823" w14:textId="77777777" w:rsidR="00D9479F" w:rsidRPr="00EA7796" w:rsidRDefault="00D9479F">
            <w:pPr>
              <w:pStyle w:val="TableText0"/>
              <w:rPr>
                <w:b/>
                <w:bCs w:val="0"/>
              </w:rPr>
            </w:pPr>
            <w:r>
              <w:rPr>
                <w:rFonts w:cs="Segoe UI"/>
                <w:i/>
                <w:iCs/>
                <w:color w:val="333333"/>
              </w:rPr>
              <w:t>Stage IIIB (locally advanced) or Stage IV (metastatic) non-small cell lung cancer (NSCLC)</w:t>
            </w:r>
          </w:p>
        </w:tc>
      </w:tr>
      <w:tr w:rsidR="00D9479F" w:rsidRPr="001A4EAB" w14:paraId="6C81B67B"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8C1416" w14:textId="77777777"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7CEB5DFD" w14:textId="77777777" w:rsidR="00D9479F" w:rsidRPr="001A4EAB" w:rsidRDefault="00D9479F">
            <w:pPr>
              <w:pStyle w:val="TableText0"/>
              <w:rPr>
                <w:b/>
                <w:bCs w:val="0"/>
              </w:rPr>
            </w:pPr>
            <w:r w:rsidRPr="001A4EAB">
              <w:rPr>
                <w:rFonts w:cs="Segoe UI"/>
                <w:b/>
                <w:color w:val="333333"/>
              </w:rPr>
              <w:t>Treatment Phase:</w:t>
            </w:r>
            <w:r w:rsidRPr="001A4EAB">
              <w:rPr>
                <w:rFonts w:cs="Segoe UI"/>
                <w:color w:val="FF0000"/>
              </w:rPr>
              <w:t xml:space="preserve"> </w:t>
            </w:r>
            <w:r w:rsidRPr="001A4EAB">
              <w:rPr>
                <w:rFonts w:cs="Segoe UI"/>
              </w:rPr>
              <w:t xml:space="preserve">Continuing treatment </w:t>
            </w:r>
          </w:p>
        </w:tc>
      </w:tr>
      <w:tr w:rsidR="00D9479F" w:rsidRPr="001A4EAB" w14:paraId="59F85C29"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428B63" w14:textId="291EB6E3"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5EEA34CC" w14:textId="77777777" w:rsidR="00D9479F" w:rsidRPr="001A4EAB" w:rsidRDefault="00D9479F">
            <w:pPr>
              <w:pStyle w:val="TableText0"/>
              <w:rPr>
                <w:b/>
                <w:bCs w:val="0"/>
              </w:rPr>
            </w:pPr>
            <w:r w:rsidRPr="001A4EAB">
              <w:rPr>
                <w:rFonts w:cs="Segoe UI"/>
                <w:b/>
                <w:color w:val="333333"/>
              </w:rPr>
              <w:t>Clinical criteria:</w:t>
            </w:r>
          </w:p>
        </w:tc>
      </w:tr>
      <w:tr w:rsidR="00D9479F" w:rsidRPr="001A4EAB" w14:paraId="795CB465"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F479DF" w14:textId="1A5ADFAF"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68F425D8" w14:textId="77777777" w:rsidR="00D9479F" w:rsidRPr="001A4EAB" w:rsidRDefault="00D9479F">
            <w:pPr>
              <w:pStyle w:val="TableText0"/>
              <w:rPr>
                <w:b/>
                <w:bCs w:val="0"/>
              </w:rPr>
            </w:pPr>
            <w:r w:rsidRPr="001A4EAB">
              <w:rPr>
                <w:rFonts w:cs="Segoe UI"/>
              </w:rPr>
              <w:t>The treatment must be the sole PBS-subsidised systemic anti-cancer therapy for this condition</w:t>
            </w:r>
          </w:p>
        </w:tc>
      </w:tr>
      <w:tr w:rsidR="00D9479F" w:rsidRPr="001A4EAB" w14:paraId="41835FF8"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817A3A" w14:textId="77777777"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263B06DF" w14:textId="77777777" w:rsidR="00D9479F" w:rsidRPr="001A4EAB" w:rsidRDefault="00D9479F">
            <w:pPr>
              <w:pStyle w:val="TableText0"/>
              <w:rPr>
                <w:b/>
                <w:bCs w:val="0"/>
              </w:rPr>
            </w:pPr>
            <w:r w:rsidRPr="001A4EAB">
              <w:rPr>
                <w:rFonts w:cs="Segoe UI"/>
                <w:b/>
                <w:color w:val="333333"/>
              </w:rPr>
              <w:t>AND</w:t>
            </w:r>
          </w:p>
        </w:tc>
      </w:tr>
      <w:tr w:rsidR="00D9479F" w:rsidRPr="001A4EAB" w14:paraId="7207D6C2"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8058775" w14:textId="2B43FF69"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372A6F97" w14:textId="77777777" w:rsidR="00D9479F" w:rsidRPr="001A4EAB" w:rsidRDefault="00D9479F">
            <w:pPr>
              <w:pStyle w:val="TableText0"/>
              <w:rPr>
                <w:b/>
                <w:bCs w:val="0"/>
              </w:rPr>
            </w:pPr>
            <w:r w:rsidRPr="001A4EAB">
              <w:rPr>
                <w:rFonts w:cs="Segoe UI"/>
                <w:b/>
                <w:color w:val="333333"/>
              </w:rPr>
              <w:t xml:space="preserve">Clinical criteria: </w:t>
            </w:r>
          </w:p>
        </w:tc>
      </w:tr>
      <w:tr w:rsidR="00D9479F" w:rsidRPr="00AC3558" w14:paraId="19D2187C"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C6C7B0" w14:textId="6AAA39E1"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31E7847A" w14:textId="77777777" w:rsidR="00D9479F" w:rsidRPr="00AC3558" w:rsidRDefault="00D9479F">
            <w:pPr>
              <w:pStyle w:val="TableText0"/>
            </w:pPr>
            <w:r w:rsidRPr="00AC3558">
              <w:t>Patient must have previously received PBS-subsidised treatment with this drug for this condition</w:t>
            </w:r>
          </w:p>
        </w:tc>
      </w:tr>
      <w:tr w:rsidR="00D9479F" w:rsidRPr="00AC3558" w14:paraId="0EA068B1"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2108F" w14:textId="77777777"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66420AAC" w14:textId="77777777" w:rsidR="00D9479F" w:rsidRPr="00AC3558" w:rsidRDefault="00D9479F">
            <w:pPr>
              <w:pStyle w:val="TableText0"/>
              <w:rPr>
                <w:b/>
                <w:bCs w:val="0"/>
              </w:rPr>
            </w:pPr>
            <w:r w:rsidRPr="00AC3558">
              <w:rPr>
                <w:rFonts w:cs="Segoe UI"/>
                <w:b/>
                <w:color w:val="333333"/>
              </w:rPr>
              <w:t>AND</w:t>
            </w:r>
            <w:r w:rsidRPr="00AC3558">
              <w:rPr>
                <w:rFonts w:cs="Segoe UI"/>
                <w:color w:val="333333"/>
              </w:rPr>
              <w:t> </w:t>
            </w:r>
          </w:p>
        </w:tc>
      </w:tr>
      <w:tr w:rsidR="00D9479F" w:rsidRPr="00AC3558" w14:paraId="7A28C709"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DCF99C" w14:textId="1F7B6BAB"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4A60AF10" w14:textId="77777777" w:rsidR="00D9479F" w:rsidRPr="00AC3558" w:rsidRDefault="00D9479F">
            <w:pPr>
              <w:pStyle w:val="TableText0"/>
              <w:rPr>
                <w:b/>
                <w:bCs w:val="0"/>
              </w:rPr>
            </w:pPr>
            <w:r w:rsidRPr="00AC3558">
              <w:rPr>
                <w:rFonts w:cs="Segoe UI"/>
                <w:b/>
                <w:color w:val="333333"/>
              </w:rPr>
              <w:t>Clinical criteria:</w:t>
            </w:r>
            <w:r w:rsidRPr="00AC3558">
              <w:rPr>
                <w:rFonts w:cs="Segoe UI"/>
                <w:color w:val="333333"/>
              </w:rPr>
              <w:t> </w:t>
            </w:r>
          </w:p>
        </w:tc>
      </w:tr>
      <w:tr w:rsidR="00D9479F" w:rsidRPr="00AC3558" w14:paraId="11FF214F"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689664" w14:textId="5CDE4D6B" w:rsidR="00D9479F" w:rsidRDefault="00D9479F">
            <w:pPr>
              <w:jc w:val="center"/>
              <w:textAlignment w:val="baseline"/>
              <w:rPr>
                <w:rFonts w:ascii="Arial Narrow" w:hAnsi="Arial Narrow" w:cs="Segoe UI"/>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0C5E2005" w14:textId="77777777" w:rsidR="00D9479F" w:rsidRPr="00AC3558" w:rsidRDefault="00D9479F">
            <w:pPr>
              <w:pStyle w:val="TableText0"/>
              <w:rPr>
                <w:b/>
                <w:bCs w:val="0"/>
              </w:rPr>
            </w:pPr>
            <w:r w:rsidRPr="00AC3558">
              <w:rPr>
                <w:rFonts w:cs="Segoe UI"/>
              </w:rPr>
              <w:t>Patient must not have developed disease progression while receiving PBS-subsidised treatment with this drug for this condition.</w:t>
            </w:r>
          </w:p>
        </w:tc>
      </w:tr>
      <w:tr w:rsidR="00D9479F" w:rsidRPr="00A11DD0" w14:paraId="6358C4F1" w14:textId="77777777" w:rsidTr="0041324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BD6B51" w14:textId="14A45AB6" w:rsidR="00D9479F" w:rsidRPr="00A11DD0" w:rsidRDefault="00D9479F">
            <w:pPr>
              <w:jc w:val="center"/>
              <w:textAlignment w:val="baseline"/>
              <w:rPr>
                <w:rFonts w:ascii="Arial Narrow" w:hAnsi="Arial Narrow" w:cs="Segoe UI"/>
                <w:i/>
                <w:iCs/>
                <w:sz w:val="20"/>
                <w:szCs w:val="20"/>
              </w:rPr>
            </w:pPr>
          </w:p>
        </w:tc>
        <w:tc>
          <w:tcPr>
            <w:tcW w:w="8029"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4ACAC9FB" w14:textId="77777777" w:rsidR="00D9479F" w:rsidRPr="00A11DD0" w:rsidRDefault="00D9479F">
            <w:pPr>
              <w:pStyle w:val="TableText0"/>
              <w:rPr>
                <w:b/>
                <w:bCs w:val="0"/>
                <w:i/>
                <w:iCs/>
              </w:rPr>
            </w:pPr>
            <w:r w:rsidRPr="00A11DD0">
              <w:rPr>
                <w:b/>
                <w:i/>
                <w:iCs/>
              </w:rPr>
              <w:t>Administrative Advice:</w:t>
            </w:r>
          </w:p>
          <w:p w14:paraId="60B38DEE" w14:textId="77777777" w:rsidR="00D9479F" w:rsidRPr="00A11DD0" w:rsidRDefault="00D9479F">
            <w:pPr>
              <w:pStyle w:val="TableText0"/>
              <w:rPr>
                <w:i/>
                <w:iCs/>
              </w:rPr>
            </w:pPr>
            <w:r w:rsidRPr="00A11DD0">
              <w:rPr>
                <w:i/>
                <w:iCs/>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D9479F" w:rsidRPr="00EE11DA" w14:paraId="07C4382F" w14:textId="77777777" w:rsidTr="003E23A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022"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5F883774" w14:textId="4C82BAC0" w:rsidR="00D9479F" w:rsidRPr="00EE11DA" w:rsidRDefault="00D9479F">
            <w:pPr>
              <w:pStyle w:val="TableText0"/>
              <w:rPr>
                <w:b/>
                <w:bCs w:val="0"/>
                <w:sz w:val="18"/>
                <w:szCs w:val="18"/>
              </w:rPr>
            </w:pPr>
            <w:r w:rsidRPr="00EE11DA">
              <w:rPr>
                <w:sz w:val="18"/>
                <w:szCs w:val="18"/>
              </w:rPr>
              <w:t>*(note will be added only to repotrectinib 160mg listings)</w:t>
            </w:r>
          </w:p>
        </w:tc>
      </w:tr>
    </w:tbl>
    <w:p w14:paraId="2AD95E3E" w14:textId="4B7077EE" w:rsidR="00447655" w:rsidRPr="002B6CF7" w:rsidRDefault="000F704D" w:rsidP="00AB7BF2">
      <w:pPr>
        <w:pStyle w:val="ExecSumBodyText"/>
        <w:numPr>
          <w:ilvl w:val="1"/>
          <w:numId w:val="1"/>
        </w:numPr>
        <w:spacing w:before="120"/>
      </w:pPr>
      <w:r w:rsidRPr="002B6CF7">
        <w:t xml:space="preserve">The proposed PBS </w:t>
      </w:r>
      <w:r w:rsidR="0025506F" w:rsidRPr="002B6CF7">
        <w:t>listing</w:t>
      </w:r>
      <w:r w:rsidR="009E4E0C" w:rsidRPr="002B6CF7">
        <w:t>s</w:t>
      </w:r>
      <w:r w:rsidRPr="002B6CF7">
        <w:t xml:space="preserve"> for the initiation and continuation of repotrectinib treatment </w:t>
      </w:r>
      <w:r w:rsidR="009E4E0C" w:rsidRPr="002B6CF7">
        <w:t>are</w:t>
      </w:r>
      <w:r w:rsidR="009F14A6" w:rsidRPr="002B6CF7">
        <w:t xml:space="preserve"> generally</w:t>
      </w:r>
      <w:r w:rsidRPr="002B6CF7">
        <w:t xml:space="preserve"> </w:t>
      </w:r>
      <w:r w:rsidR="009E4E0C" w:rsidRPr="002B6CF7">
        <w:t>consistent with</w:t>
      </w:r>
      <w:r w:rsidRPr="002B6CF7">
        <w:t xml:space="preserve"> current listings for entrectinib and crizotinib. </w:t>
      </w:r>
    </w:p>
    <w:p w14:paraId="4DB2BDC7" w14:textId="0BC00AF1" w:rsidR="000F704D" w:rsidRPr="00A2025A" w:rsidRDefault="00CB174B" w:rsidP="00AB7BF2">
      <w:pPr>
        <w:pStyle w:val="ExecSumBodyText"/>
        <w:numPr>
          <w:ilvl w:val="1"/>
          <w:numId w:val="1"/>
        </w:numPr>
        <w:spacing w:before="120"/>
        <w:rPr>
          <w:i/>
          <w:iCs/>
        </w:rPr>
      </w:pPr>
      <w:r w:rsidRPr="00DD1E9B">
        <w:t>The National Comprehensive Cancer Network (NCCN) treatment guidelines</w:t>
      </w:r>
      <w:r w:rsidR="00D21B2D" w:rsidRPr="00DD1E9B">
        <w:rPr>
          <w:rStyle w:val="FootnoteReference"/>
        </w:rPr>
        <w:footnoteReference w:id="2"/>
      </w:r>
      <w:r w:rsidRPr="00DD1E9B">
        <w:t xml:space="preserve"> places entrectinib and crizotinib alongside repotrectinib as the preferred first-line treatment for patients with</w:t>
      </w:r>
      <w:r w:rsidRPr="00CB174B">
        <w:rPr>
          <w:i/>
          <w:iCs/>
        </w:rPr>
        <w:t xml:space="preserve"> ROS1</w:t>
      </w:r>
      <w:r w:rsidR="00AA21D6" w:rsidRPr="00AA21D6">
        <w:t>-</w:t>
      </w:r>
      <w:r w:rsidRPr="00AA21D6">
        <w:t>positive</w:t>
      </w:r>
      <w:r w:rsidRPr="00CB174B">
        <w:rPr>
          <w:i/>
          <w:iCs/>
        </w:rPr>
        <w:t xml:space="preserve"> </w:t>
      </w:r>
      <w:r w:rsidRPr="00DD1E9B">
        <w:t xml:space="preserve">NSCLC, while subsequent therapy with </w:t>
      </w:r>
      <w:r w:rsidRPr="00DD1E9B">
        <w:rPr>
          <w:i/>
          <w:iCs/>
        </w:rPr>
        <w:t>ROS1</w:t>
      </w:r>
      <w:r w:rsidRPr="00DD1E9B">
        <w:t xml:space="preserve"> inhibitors</w:t>
      </w:r>
      <w:r w:rsidR="00AF4F0F">
        <w:t xml:space="preserve"> may be </w:t>
      </w:r>
      <w:r w:rsidRPr="00DD1E9B">
        <w:t>recommended for patients with disease progression after treatment with repotrectinib, entrectinib or crizotinib.</w:t>
      </w:r>
    </w:p>
    <w:p w14:paraId="5D275C40" w14:textId="446DF289" w:rsidR="000F704D" w:rsidRPr="00DD1E9B" w:rsidRDefault="000F704D" w:rsidP="00AB7BF2">
      <w:pPr>
        <w:pStyle w:val="ExecSumBodyText"/>
        <w:numPr>
          <w:ilvl w:val="1"/>
          <w:numId w:val="1"/>
        </w:numPr>
        <w:spacing w:before="120"/>
      </w:pPr>
      <w:r w:rsidRPr="00DD1E9B">
        <w:t>Both the TGA-</w:t>
      </w:r>
      <w:r w:rsidR="00B63C9A">
        <w:t>proposed</w:t>
      </w:r>
      <w:r w:rsidR="00B63C9A" w:rsidRPr="00DD1E9B">
        <w:t xml:space="preserve"> </w:t>
      </w:r>
      <w:r w:rsidRPr="00DD1E9B">
        <w:t>indication and TRIDENT-1 study specify that those treated with repotrectinib must be adult patients (or ≥18 years as the study inclusion criteria). This is not specified in the proposed PBS listing</w:t>
      </w:r>
      <w:r w:rsidR="002B5C34" w:rsidRPr="00DD1E9B">
        <w:t>.</w:t>
      </w:r>
      <w:r w:rsidR="00BB2906" w:rsidRPr="00225DBD">
        <w:rPr>
          <w:i/>
          <w:iCs/>
        </w:rPr>
        <w:t xml:space="preserve"> </w:t>
      </w:r>
      <w:r w:rsidR="00F4154E" w:rsidRPr="00B23273">
        <w:t xml:space="preserve">The </w:t>
      </w:r>
      <w:r w:rsidR="00BB2906" w:rsidRPr="00B23273">
        <w:t>ESC note</w:t>
      </w:r>
      <w:r w:rsidR="00F4154E" w:rsidRPr="00B23273">
        <w:t>d</w:t>
      </w:r>
      <w:r w:rsidR="00BB2906" w:rsidRPr="00B23273">
        <w:t xml:space="preserve"> </w:t>
      </w:r>
      <w:r w:rsidR="00225DBD" w:rsidRPr="00B23273">
        <w:t xml:space="preserve">the proposed </w:t>
      </w:r>
      <w:r w:rsidR="003569FE" w:rsidRPr="00B23273">
        <w:t>indication is age agnostic and</w:t>
      </w:r>
      <w:r w:rsidR="00225DBD" w:rsidRPr="00B23273">
        <w:t xml:space="preserve"> is similar to current listing for entrectinib and crizotinib</w:t>
      </w:r>
      <w:r w:rsidR="00A708CA" w:rsidRPr="00B23273">
        <w:t xml:space="preserve"> and considered this was reasonable</w:t>
      </w:r>
      <w:r w:rsidR="00225DBD" w:rsidRPr="00B23273">
        <w:t>.</w:t>
      </w:r>
      <w:r w:rsidR="00225DBD" w:rsidRPr="00225DBD">
        <w:rPr>
          <w:i/>
          <w:iCs/>
        </w:rPr>
        <w:t xml:space="preserve"> </w:t>
      </w:r>
    </w:p>
    <w:p w14:paraId="4A0ADEBD" w14:textId="65F0A058" w:rsidR="000F704D" w:rsidRPr="00E400F7" w:rsidRDefault="000F704D" w:rsidP="00AB7BF2">
      <w:pPr>
        <w:pStyle w:val="ExecSumBodyText"/>
        <w:numPr>
          <w:ilvl w:val="1"/>
          <w:numId w:val="1"/>
        </w:numPr>
        <w:spacing w:before="120"/>
      </w:pPr>
      <w:r w:rsidRPr="00E400F7">
        <w:t xml:space="preserve">The proposed PBS listing specifies that the condition must be ‘non-squamous type NSCLC’, however a small proportion of patients (3%) in TRIDENT-1 had squamous histology and </w:t>
      </w:r>
      <w:proofErr w:type="spellStart"/>
      <w:r w:rsidRPr="00E400F7">
        <w:t>adenosquamous</w:t>
      </w:r>
      <w:proofErr w:type="spellEnd"/>
      <w:r w:rsidRPr="00E400F7">
        <w:t xml:space="preserve"> carcinoma. Additionally, the inclusion of ‘not otherwise specified type NSCLC’ in the proposed PBS listing has not been supported by adequate </w:t>
      </w:r>
      <w:proofErr w:type="gramStart"/>
      <w:r w:rsidRPr="00E400F7">
        <w:t>evidence, and</w:t>
      </w:r>
      <w:proofErr w:type="gramEnd"/>
      <w:r w:rsidRPr="00E400F7">
        <w:t xml:space="preserve"> is not mentioned in TRIDENT-1</w:t>
      </w:r>
      <w:r w:rsidR="00C13E73" w:rsidRPr="00E400F7">
        <w:t xml:space="preserve">; however, this </w:t>
      </w:r>
      <w:r w:rsidR="000E0C31" w:rsidRPr="00E400F7">
        <w:t>is consistent with the listings of entrectinib and crizotinib</w:t>
      </w:r>
      <w:r w:rsidRPr="00E400F7">
        <w:t>.</w:t>
      </w:r>
      <w:r w:rsidR="00391322" w:rsidRPr="00E400F7">
        <w:t xml:space="preserve"> </w:t>
      </w:r>
    </w:p>
    <w:p w14:paraId="0285E5E8" w14:textId="1895354D" w:rsidR="009172EB" w:rsidRDefault="00CD6CBB" w:rsidP="00AB7BF2">
      <w:pPr>
        <w:pStyle w:val="3-BodyText"/>
      </w:pPr>
      <w:r w:rsidRPr="000E3AE2">
        <w:t>If repotrectinib is listed on the PBS, the submission flagged potential flow</w:t>
      </w:r>
      <w:r w:rsidR="00634E3E" w:rsidRPr="000E3AE2">
        <w:t>-</w:t>
      </w:r>
      <w:r w:rsidRPr="000E3AE2">
        <w:t>on</w:t>
      </w:r>
      <w:r w:rsidRPr="00DD1E9B">
        <w:t xml:space="preserve"> effects to </w:t>
      </w:r>
      <w:r w:rsidR="00AC5400" w:rsidRPr="00DD1E9B">
        <w:t>2</w:t>
      </w:r>
      <w:r w:rsidRPr="00DD1E9B">
        <w:t xml:space="preserve"> </w:t>
      </w:r>
      <w:r w:rsidR="006A3FCB" w:rsidRPr="00DD1E9B">
        <w:t>immunotherapies</w:t>
      </w:r>
      <w:r w:rsidR="00101D76" w:rsidRPr="00DD1E9B">
        <w:t>—nivolumab and atez</w:t>
      </w:r>
      <w:r w:rsidR="00953A70" w:rsidRPr="00DD1E9B">
        <w:t>olizumab—</w:t>
      </w:r>
      <w:r w:rsidR="007E090C" w:rsidRPr="00DD1E9B">
        <w:t>used as second</w:t>
      </w:r>
      <w:r w:rsidR="00301710" w:rsidRPr="00DD1E9B">
        <w:t>-line (or later) treatment</w:t>
      </w:r>
      <w:r w:rsidR="00150069" w:rsidRPr="00DD1E9B">
        <w:t xml:space="preserve">s </w:t>
      </w:r>
      <w:r w:rsidR="00D14F77" w:rsidRPr="00DD1E9B">
        <w:t xml:space="preserve">for patients with </w:t>
      </w:r>
      <w:r w:rsidR="003D0FC9" w:rsidRPr="00DD1E9B">
        <w:t>S</w:t>
      </w:r>
      <w:r w:rsidR="00D14F77" w:rsidRPr="00DD1E9B">
        <w:t>tage IV (metastatic) N</w:t>
      </w:r>
      <w:r w:rsidR="00194BB0" w:rsidRPr="00DD1E9B">
        <w:t>SCLC</w:t>
      </w:r>
      <w:r w:rsidR="00390A6B" w:rsidRPr="00DD1E9B">
        <w:t xml:space="preserve">. </w:t>
      </w:r>
      <w:r w:rsidR="00CE451E" w:rsidRPr="00DD1E9B">
        <w:t xml:space="preserve">Based on </w:t>
      </w:r>
      <w:r w:rsidR="00877F4C" w:rsidRPr="00DD1E9B">
        <w:t xml:space="preserve">current </w:t>
      </w:r>
      <w:r w:rsidR="00436C49" w:rsidRPr="00DD1E9B">
        <w:t xml:space="preserve">PBS restrictions </w:t>
      </w:r>
      <w:r w:rsidR="006556F5" w:rsidRPr="00DD1E9B">
        <w:t>for</w:t>
      </w:r>
      <w:r w:rsidR="00877F4C" w:rsidRPr="00DD1E9B">
        <w:t xml:space="preserve"> </w:t>
      </w:r>
      <w:r w:rsidR="0077267B" w:rsidRPr="00DD1E9B">
        <w:t>nivolumab and atezolizumab</w:t>
      </w:r>
      <w:r w:rsidR="00877F4C" w:rsidRPr="00DD1E9B">
        <w:t xml:space="preserve">, </w:t>
      </w:r>
      <w:r w:rsidR="00A72A32" w:rsidRPr="00DD1E9B">
        <w:t xml:space="preserve">if patients have been pre-treated with </w:t>
      </w:r>
      <w:r w:rsidR="00ED5366" w:rsidRPr="00DD1E9B">
        <w:t>repotrectinib, entrectinib or crizotinib</w:t>
      </w:r>
      <w:r w:rsidR="00EC26F6" w:rsidRPr="00DD1E9B">
        <w:t xml:space="preserve">, </w:t>
      </w:r>
      <w:r w:rsidR="002337D4" w:rsidRPr="00DD1E9B">
        <w:t xml:space="preserve">they are ineligible to access </w:t>
      </w:r>
      <w:r w:rsidR="000806F4" w:rsidRPr="00DD1E9B">
        <w:t xml:space="preserve">these </w:t>
      </w:r>
      <w:r w:rsidR="009B173A" w:rsidRPr="00DD1E9B">
        <w:t>immunotherap</w:t>
      </w:r>
      <w:r w:rsidR="000806F4" w:rsidRPr="00DD1E9B">
        <w:t>ies</w:t>
      </w:r>
      <w:r w:rsidR="009B173A" w:rsidRPr="00DD1E9B">
        <w:t xml:space="preserve"> as a second-line treatmen</w:t>
      </w:r>
      <w:r w:rsidR="009B173A" w:rsidRPr="00E213CE">
        <w:t xml:space="preserve">t. </w:t>
      </w:r>
      <w:r w:rsidR="00023AB3" w:rsidRPr="00E213CE">
        <w:t xml:space="preserve">The </w:t>
      </w:r>
      <w:r w:rsidR="00470AA9" w:rsidRPr="00E213CE">
        <w:t xml:space="preserve">submission requests </w:t>
      </w:r>
      <w:r w:rsidR="00642EBE" w:rsidRPr="00E213CE">
        <w:t>that PBAC consider</w:t>
      </w:r>
      <w:r w:rsidR="00023AB3" w:rsidRPr="00E213CE">
        <w:t xml:space="preserve"> </w:t>
      </w:r>
      <w:r w:rsidR="0055054D" w:rsidRPr="00E213CE">
        <w:t>a flow</w:t>
      </w:r>
      <w:r w:rsidR="004769C7" w:rsidRPr="00E213CE">
        <w:t>-</w:t>
      </w:r>
      <w:r w:rsidR="0055054D" w:rsidRPr="00E213CE">
        <w:t xml:space="preserve">on change to the current PBS restriction for nivolumab </w:t>
      </w:r>
      <w:r w:rsidR="00D90A0C" w:rsidRPr="00E213CE">
        <w:t>(</w:t>
      </w:r>
      <w:r w:rsidR="0055054D" w:rsidRPr="00E213CE">
        <w:t>and atezolizumab</w:t>
      </w:r>
      <w:r w:rsidR="00D90A0C" w:rsidRPr="00E213CE">
        <w:t>)</w:t>
      </w:r>
      <w:r w:rsidR="0055054D" w:rsidRPr="00E213CE">
        <w:t xml:space="preserve"> used in a second-line setting.</w:t>
      </w:r>
      <w:r w:rsidR="00A6452F" w:rsidRPr="00DD1E9B">
        <w:t xml:space="preserve"> This change would allow </w:t>
      </w:r>
      <w:r w:rsidR="00A6452F" w:rsidRPr="00DD1E9B">
        <w:rPr>
          <w:i/>
          <w:iCs/>
        </w:rPr>
        <w:t>ROS1</w:t>
      </w:r>
      <w:r w:rsidR="00A6452F" w:rsidRPr="00520AD7">
        <w:t>-positive</w:t>
      </w:r>
      <w:r w:rsidR="00A6452F" w:rsidRPr="00DD1E9B">
        <w:t xml:space="preserve"> NSCLC </w:t>
      </w:r>
      <w:r w:rsidR="00DC7EA1" w:rsidRPr="00DD1E9B">
        <w:t xml:space="preserve">patients </w:t>
      </w:r>
      <w:r w:rsidR="00A6452F" w:rsidRPr="00DD1E9B">
        <w:t xml:space="preserve">treated with repotrectinib </w:t>
      </w:r>
      <w:r w:rsidR="00C45A68" w:rsidRPr="00DD1E9B">
        <w:t xml:space="preserve">(and </w:t>
      </w:r>
      <w:r w:rsidR="00F27F73" w:rsidRPr="00DD1E9B">
        <w:t xml:space="preserve">entrectinib or crizotinib) </w:t>
      </w:r>
      <w:r w:rsidR="00A6452F" w:rsidRPr="00DD1E9B">
        <w:t>as their first</w:t>
      </w:r>
      <w:r w:rsidR="00DC7EA1" w:rsidRPr="00DD1E9B">
        <w:t>-</w:t>
      </w:r>
      <w:r w:rsidR="00A6452F" w:rsidRPr="00DD1E9B">
        <w:lastRenderedPageBreak/>
        <w:t>line t</w:t>
      </w:r>
      <w:r w:rsidR="00111E52" w:rsidRPr="00DD1E9B">
        <w:t>herapy</w:t>
      </w:r>
      <w:r w:rsidR="00A6452F" w:rsidRPr="00DD1E9B">
        <w:t xml:space="preserve"> to access nivolumab </w:t>
      </w:r>
      <w:r w:rsidR="00621931" w:rsidRPr="00DD1E9B">
        <w:t xml:space="preserve">(and </w:t>
      </w:r>
      <w:r w:rsidR="00BB1747" w:rsidRPr="00DD1E9B">
        <w:t xml:space="preserve">atezolizumab) </w:t>
      </w:r>
      <w:r w:rsidR="00A6452F" w:rsidRPr="00DD1E9B">
        <w:t>as a potential second-line treatment upon disease progression.</w:t>
      </w:r>
      <w:r w:rsidR="00CC1626">
        <w:t xml:space="preserve"> </w:t>
      </w:r>
    </w:p>
    <w:p w14:paraId="29DC4BAF" w14:textId="2D57C140" w:rsidR="00F361CE" w:rsidRPr="00F361CE" w:rsidRDefault="00F361CE" w:rsidP="00F361CE">
      <w:pPr>
        <w:spacing w:before="60" w:after="60"/>
        <w:ind w:firstLine="720"/>
        <w:rPr>
          <w:i/>
          <w:iCs/>
        </w:rPr>
      </w:pPr>
      <w:bookmarkStart w:id="8" w:name="_Hlk76375324"/>
      <w:r w:rsidRPr="00F361CE">
        <w:rPr>
          <w:i/>
          <w:iCs/>
        </w:rPr>
        <w:t>For more detail on PBAC’s view, see section 7 PBAC outcome.</w:t>
      </w:r>
      <w:bookmarkEnd w:id="8"/>
    </w:p>
    <w:p w14:paraId="7075B85C" w14:textId="62A47B7B" w:rsidR="00B50DB8" w:rsidRPr="0098262F" w:rsidDel="00195452" w:rsidRDefault="00203181" w:rsidP="004E18E9">
      <w:pPr>
        <w:pStyle w:val="2-SectionHeading"/>
      </w:pPr>
      <w:bookmarkStart w:id="9" w:name="_Toc193124287"/>
      <w:r w:rsidRPr="0098262F" w:rsidDel="00195452">
        <w:t xml:space="preserve">Population and </w:t>
      </w:r>
      <w:r w:rsidR="008E0D3C" w:rsidRPr="0098262F" w:rsidDel="00195452">
        <w:t>d</w:t>
      </w:r>
      <w:r w:rsidRPr="0098262F" w:rsidDel="00195452">
        <w:t>isease</w:t>
      </w:r>
      <w:bookmarkEnd w:id="9"/>
    </w:p>
    <w:p w14:paraId="1FC5343D" w14:textId="37BD6F72" w:rsidR="0042577D" w:rsidRDefault="00EB78FD" w:rsidP="006E4155">
      <w:pPr>
        <w:pStyle w:val="3-BodyText"/>
      </w:pPr>
      <w:r w:rsidRPr="00F708A5">
        <w:t xml:space="preserve">Lung cancer is </w:t>
      </w:r>
      <w:r w:rsidR="00646375">
        <w:t xml:space="preserve">a prevalent </w:t>
      </w:r>
      <w:r w:rsidR="0084248B">
        <w:t xml:space="preserve">type of </w:t>
      </w:r>
      <w:r w:rsidR="00646375">
        <w:t>cancer</w:t>
      </w:r>
      <w:r w:rsidRPr="00F708A5">
        <w:t xml:space="preserve"> in Australia</w:t>
      </w:r>
      <w:r w:rsidR="00646375">
        <w:t>,</w:t>
      </w:r>
      <w:r w:rsidRPr="00F708A5">
        <w:t xml:space="preserve"> with an estimated 14,782 </w:t>
      </w:r>
      <w:r w:rsidR="006E3FA2">
        <w:t xml:space="preserve">incident cases </w:t>
      </w:r>
      <w:r w:rsidRPr="00F708A5">
        <w:t xml:space="preserve">in 2023. NSCLC </w:t>
      </w:r>
      <w:r w:rsidR="006E67EC">
        <w:t>is</w:t>
      </w:r>
      <w:r w:rsidRPr="00F708A5">
        <w:t xml:space="preserve"> the most common histological type </w:t>
      </w:r>
      <w:r w:rsidR="00805426">
        <w:t>of lung cancer,</w:t>
      </w:r>
      <w:r w:rsidRPr="00F708A5">
        <w:t xml:space="preserve"> making up 86.6% of all lung cancers. This equates to approximately 12,801 inciden</w:t>
      </w:r>
      <w:r w:rsidR="00ED219B">
        <w:t>t</w:t>
      </w:r>
      <w:r w:rsidRPr="00F708A5">
        <w:t xml:space="preserve"> cases of NSCLC in 2023. </w:t>
      </w:r>
    </w:p>
    <w:p w14:paraId="51C9A820" w14:textId="62ED8620" w:rsidR="00EB78FD" w:rsidRPr="00F708A5" w:rsidDel="00195452" w:rsidRDefault="00F51DFB" w:rsidP="006E4155">
      <w:pPr>
        <w:pStyle w:val="3-BodyText"/>
      </w:pPr>
      <w:r>
        <w:t>At diagnosis</w:t>
      </w:r>
      <w:r w:rsidR="00DA40B0" w:rsidRPr="00F708A5">
        <w:t xml:space="preserve">, </w:t>
      </w:r>
      <w:r>
        <w:t>65</w:t>
      </w:r>
      <w:r w:rsidR="00CD29EC">
        <w:t>.5%</w:t>
      </w:r>
      <w:r w:rsidR="00923BA8">
        <w:t xml:space="preserve"> of NSCLC</w:t>
      </w:r>
      <w:r w:rsidR="00DA40B0" w:rsidRPr="00F708A5">
        <w:t xml:space="preserve"> </w:t>
      </w:r>
      <w:r w:rsidR="0042577D">
        <w:t xml:space="preserve">are staged as </w:t>
      </w:r>
      <w:r w:rsidR="00EC60F5">
        <w:t>locally advanced</w:t>
      </w:r>
      <w:r w:rsidR="0042577D">
        <w:t xml:space="preserve"> (</w:t>
      </w:r>
      <w:r w:rsidR="00C5075B">
        <w:t>S</w:t>
      </w:r>
      <w:r w:rsidR="0042577D">
        <w:t>tage III</w:t>
      </w:r>
      <w:r w:rsidR="0057198B">
        <w:t>:</w:t>
      </w:r>
      <w:r w:rsidR="0042577D">
        <w:t xml:space="preserve"> 14</w:t>
      </w:r>
      <w:r w:rsidR="00DC54F2">
        <w:t>%</w:t>
      </w:r>
      <w:r w:rsidR="00EC60F5">
        <w:t xml:space="preserve">) </w:t>
      </w:r>
      <w:r w:rsidR="00DA40B0" w:rsidRPr="00F708A5">
        <w:t xml:space="preserve">or </w:t>
      </w:r>
      <w:r w:rsidR="00214136">
        <w:t>metastatic</w:t>
      </w:r>
      <w:r w:rsidR="0042577D">
        <w:t xml:space="preserve"> (</w:t>
      </w:r>
      <w:r w:rsidR="00C5075B">
        <w:t>S</w:t>
      </w:r>
      <w:r w:rsidR="0042577D">
        <w:t xml:space="preserve">tage </w:t>
      </w:r>
      <w:r w:rsidR="00DA40B0" w:rsidRPr="00F708A5">
        <w:t>IV</w:t>
      </w:r>
      <w:r w:rsidR="0057198B">
        <w:t>:</w:t>
      </w:r>
      <w:r w:rsidR="00DC54F2">
        <w:t xml:space="preserve"> </w:t>
      </w:r>
      <w:r w:rsidR="004A7DC0">
        <w:t>51.5%</w:t>
      </w:r>
      <w:r w:rsidR="00214136">
        <w:t>)</w:t>
      </w:r>
      <w:r w:rsidR="006959FE" w:rsidRPr="00F708A5">
        <w:t xml:space="preserve">, with </w:t>
      </w:r>
      <w:r w:rsidR="00AF10CE">
        <w:t xml:space="preserve">a </w:t>
      </w:r>
      <w:r w:rsidR="00F708A5" w:rsidRPr="00F708A5">
        <w:t>5-year</w:t>
      </w:r>
      <w:r w:rsidR="006959FE" w:rsidRPr="00F708A5">
        <w:t xml:space="preserve"> relative survival </w:t>
      </w:r>
      <w:r w:rsidR="00810E56">
        <w:t>rate of 17.1% and 3.2%</w:t>
      </w:r>
      <w:r w:rsidR="005B61F0">
        <w:t>,</w:t>
      </w:r>
      <w:r w:rsidR="00810E56">
        <w:t xml:space="preserve"> respectively.</w:t>
      </w:r>
    </w:p>
    <w:p w14:paraId="3B379A3F" w14:textId="60B9C46C" w:rsidR="0072209B" w:rsidRPr="00F708A5" w:rsidDel="00195452" w:rsidRDefault="007F124A" w:rsidP="006E4155">
      <w:pPr>
        <w:pStyle w:val="3-BodyText"/>
      </w:pPr>
      <w:r w:rsidRPr="00146F1D">
        <w:rPr>
          <w:i/>
          <w:iCs/>
        </w:rPr>
        <w:t xml:space="preserve">ROS1 </w:t>
      </w:r>
      <w:r>
        <w:t xml:space="preserve">rearrangements </w:t>
      </w:r>
      <w:r w:rsidR="00210B03">
        <w:t xml:space="preserve">occur in </w:t>
      </w:r>
      <w:r w:rsidR="0072209B">
        <w:t>approximately 1</w:t>
      </w:r>
      <w:r w:rsidR="00557EA2" w:rsidRPr="00557EA2">
        <w:t>–</w:t>
      </w:r>
      <w:r w:rsidR="00E249D7">
        <w:t xml:space="preserve">2% </w:t>
      </w:r>
      <w:r w:rsidR="00DC73DF">
        <w:t>of patients with lung adenocarcinoma</w:t>
      </w:r>
      <w:r w:rsidR="00070C76">
        <w:t>.</w:t>
      </w:r>
    </w:p>
    <w:p w14:paraId="2EA9DF0E" w14:textId="5FB8CB44" w:rsidR="00412E16" w:rsidRDefault="001E55E7" w:rsidP="006E4155">
      <w:pPr>
        <w:pStyle w:val="3-BodyText"/>
      </w:pPr>
      <w:r>
        <w:t xml:space="preserve">Risk factors </w:t>
      </w:r>
      <w:r w:rsidR="00A51F4C">
        <w:t xml:space="preserve">for lung cancers </w:t>
      </w:r>
      <w:r w:rsidR="00EB78FD" w:rsidRPr="00F708A5">
        <w:t>var</w:t>
      </w:r>
      <w:r w:rsidR="00D12254">
        <w:t>y</w:t>
      </w:r>
      <w:r w:rsidR="00EB78FD" w:rsidRPr="00F708A5">
        <w:t>;</w:t>
      </w:r>
      <w:r w:rsidR="00C14CA5" w:rsidRPr="00F708A5">
        <w:t xml:space="preserve"> however</w:t>
      </w:r>
      <w:r w:rsidR="002A7DBC">
        <w:t>,</w:t>
      </w:r>
      <w:r w:rsidR="00C14CA5" w:rsidRPr="00F708A5">
        <w:t xml:space="preserve"> tobacco smoking is the most common cause</w:t>
      </w:r>
      <w:r w:rsidR="00FF6E7D">
        <w:t xml:space="preserve"> of lung cancer</w:t>
      </w:r>
      <w:r w:rsidR="00C14CA5" w:rsidRPr="00F708A5">
        <w:t xml:space="preserve">. Other risk factors include exposure to </w:t>
      </w:r>
      <w:r w:rsidR="007C40D2" w:rsidRPr="00F708A5">
        <w:t>asbestos</w:t>
      </w:r>
      <w:r w:rsidR="00C14CA5" w:rsidRPr="00F708A5">
        <w:t xml:space="preserve">, </w:t>
      </w:r>
      <w:r w:rsidR="00E2232B">
        <w:t xml:space="preserve">radiation, </w:t>
      </w:r>
      <w:r w:rsidR="00C14CA5" w:rsidRPr="00F708A5">
        <w:t xml:space="preserve">arsenic and </w:t>
      </w:r>
      <w:r w:rsidR="007C40D2" w:rsidRPr="00F708A5">
        <w:t>non-tobacco</w:t>
      </w:r>
      <w:r w:rsidR="00E2232B">
        <w:t>-</w:t>
      </w:r>
      <w:r w:rsidR="007C40D2" w:rsidRPr="00F708A5">
        <w:t xml:space="preserve">related </w:t>
      </w:r>
      <w:r w:rsidR="006E0007">
        <w:t xml:space="preserve">polycyclic </w:t>
      </w:r>
      <w:r w:rsidR="007C40D2" w:rsidRPr="00F708A5">
        <w:t xml:space="preserve">aromatic hydrocarbons. </w:t>
      </w:r>
    </w:p>
    <w:p w14:paraId="7042D275" w14:textId="7900245F" w:rsidR="00E43D0E" w:rsidRDefault="00E00ABB" w:rsidP="006E4155">
      <w:pPr>
        <w:pStyle w:val="3-BodyText"/>
      </w:pPr>
      <w:r>
        <w:t>Early s</w:t>
      </w:r>
      <w:r w:rsidR="0021668A" w:rsidRPr="00F708A5">
        <w:t xml:space="preserve">ymptoms of lung cancer </w:t>
      </w:r>
      <w:r w:rsidR="00EB78FD" w:rsidRPr="00F708A5">
        <w:t>include</w:t>
      </w:r>
      <w:r w:rsidR="00853A6C" w:rsidRPr="00F708A5">
        <w:t xml:space="preserve"> chest discomfort or pain,</w:t>
      </w:r>
      <w:r w:rsidR="00EB78FD" w:rsidRPr="00F708A5">
        <w:t xml:space="preserve"> a</w:t>
      </w:r>
      <w:r w:rsidR="00853A6C" w:rsidRPr="00F708A5">
        <w:t xml:space="preserve"> persistent cough that may worsen over time, </w:t>
      </w:r>
      <w:r w:rsidR="000667E0" w:rsidRPr="00F708A5">
        <w:t>difficulty</w:t>
      </w:r>
      <w:r w:rsidR="00853A6C" w:rsidRPr="00F708A5">
        <w:t xml:space="preserve"> breathing, blood in sputum, loss of appetite</w:t>
      </w:r>
      <w:r w:rsidR="000667E0" w:rsidRPr="00F708A5">
        <w:t xml:space="preserve"> and </w:t>
      </w:r>
      <w:r w:rsidR="00EB78FD" w:rsidRPr="00F708A5">
        <w:t>un</w:t>
      </w:r>
      <w:r w:rsidR="00EF770F">
        <w:t>explained</w:t>
      </w:r>
      <w:r w:rsidR="00EB78FD" w:rsidRPr="00F708A5">
        <w:t xml:space="preserve"> </w:t>
      </w:r>
      <w:r w:rsidR="000667E0" w:rsidRPr="00F708A5">
        <w:t xml:space="preserve">weight loss. </w:t>
      </w:r>
    </w:p>
    <w:p w14:paraId="2AAC30F5" w14:textId="2A1DDE15" w:rsidR="00104F26" w:rsidRDefault="00A1056C" w:rsidP="006E4155">
      <w:pPr>
        <w:pStyle w:val="3-BodyText"/>
      </w:pPr>
      <w:r>
        <w:t xml:space="preserve">To confirm </w:t>
      </w:r>
      <w:r w:rsidR="000D3537">
        <w:t xml:space="preserve">a </w:t>
      </w:r>
      <w:r>
        <w:t>diagnosis of lung cancer, a</w:t>
      </w:r>
      <w:r w:rsidR="00893777">
        <w:t xml:space="preserve"> series of investigations</w:t>
      </w:r>
      <w:r w:rsidR="00FE1022">
        <w:t xml:space="preserve"> </w:t>
      </w:r>
      <w:r w:rsidR="00800F2D">
        <w:t>in</w:t>
      </w:r>
      <w:r w:rsidR="00391296">
        <w:t>cluding</w:t>
      </w:r>
      <w:r w:rsidR="00FE1022">
        <w:t xml:space="preserve"> </w:t>
      </w:r>
      <w:r w:rsidR="00B23ABE">
        <w:t>diagnostic work</w:t>
      </w:r>
      <w:r w:rsidR="000D3537">
        <w:t>-</w:t>
      </w:r>
      <w:r w:rsidR="00B23ABE">
        <w:t xml:space="preserve">up </w:t>
      </w:r>
      <w:r w:rsidR="00FE1022">
        <w:t xml:space="preserve">and staging </w:t>
      </w:r>
      <w:r w:rsidR="00B37EF0">
        <w:t>of NSCLC</w:t>
      </w:r>
      <w:r w:rsidR="00800F2D">
        <w:t xml:space="preserve"> </w:t>
      </w:r>
      <w:r w:rsidR="00E93F39">
        <w:t xml:space="preserve">may </w:t>
      </w:r>
      <w:r>
        <w:t>involve</w:t>
      </w:r>
      <w:r w:rsidR="000D3537">
        <w:t xml:space="preserve"> p</w:t>
      </w:r>
      <w:r w:rsidR="00F145A8">
        <w:t xml:space="preserve">hysical examination, </w:t>
      </w:r>
      <w:r w:rsidR="00FA6FF8">
        <w:t>complete medical hi</w:t>
      </w:r>
      <w:r w:rsidR="00984514">
        <w:t xml:space="preserve">story, </w:t>
      </w:r>
      <w:r w:rsidR="00022D85">
        <w:t>tissue p</w:t>
      </w:r>
      <w:r w:rsidR="00780385">
        <w:t xml:space="preserve">rocurement for pathologic evaluation, laboratory </w:t>
      </w:r>
      <w:r w:rsidR="001B360E">
        <w:t>examinations</w:t>
      </w:r>
      <w:r w:rsidR="00780385">
        <w:t>,</w:t>
      </w:r>
      <w:r w:rsidR="001B360E">
        <w:t xml:space="preserve"> diagnostic imaging studies and cardiopulmonary function studies.</w:t>
      </w:r>
      <w:r w:rsidR="00780385">
        <w:t xml:space="preserve"> </w:t>
      </w:r>
    </w:p>
    <w:p w14:paraId="7F05C952" w14:textId="2FE2BDF5" w:rsidR="00321FAC" w:rsidRDefault="00321FAC" w:rsidP="006E4155">
      <w:pPr>
        <w:pStyle w:val="3-BodyText"/>
      </w:pPr>
      <w:r w:rsidRPr="00321FAC">
        <w:t xml:space="preserve">The target population </w:t>
      </w:r>
      <w:r w:rsidR="006C2C80">
        <w:t xml:space="preserve">of the submission </w:t>
      </w:r>
      <w:r w:rsidRPr="00321FAC">
        <w:t xml:space="preserve">is adult patients diagnosed with locally advanced or metastatic </w:t>
      </w:r>
      <w:r w:rsidRPr="00F87233">
        <w:rPr>
          <w:i/>
          <w:iCs/>
        </w:rPr>
        <w:t>ROS1-positive</w:t>
      </w:r>
      <w:r w:rsidRPr="00321FAC">
        <w:t xml:space="preserve"> NSCLC</w:t>
      </w:r>
      <w:r w:rsidR="005730BF">
        <w:t>.</w:t>
      </w:r>
    </w:p>
    <w:p w14:paraId="67FA8E3E" w14:textId="642A9552" w:rsidR="00F16880" w:rsidRDefault="00957056" w:rsidP="006E4155">
      <w:pPr>
        <w:pStyle w:val="3-BodyText"/>
      </w:pPr>
      <w:r>
        <w:t xml:space="preserve">Details of the </w:t>
      </w:r>
      <w:r w:rsidR="00F16880">
        <w:t xml:space="preserve">proposed clinical management algorithm </w:t>
      </w:r>
      <w:r w:rsidR="002364DE">
        <w:t>are</w:t>
      </w:r>
      <w:r w:rsidR="00F16880">
        <w:t xml:space="preserve"> presented in </w:t>
      </w:r>
      <w:r w:rsidR="00F16880">
        <w:fldChar w:fldCharType="begin"/>
      </w:r>
      <w:r w:rsidR="00F16880">
        <w:instrText xml:space="preserve"> REF _Ref189229911 \h </w:instrText>
      </w:r>
      <w:r w:rsidR="00F16880">
        <w:fldChar w:fldCharType="separate"/>
      </w:r>
      <w:r w:rsidR="00D32E93">
        <w:t xml:space="preserve">Figure </w:t>
      </w:r>
      <w:r w:rsidR="00D32E93">
        <w:rPr>
          <w:noProof/>
        </w:rPr>
        <w:t>1</w:t>
      </w:r>
      <w:r w:rsidR="00F16880">
        <w:fldChar w:fldCharType="end"/>
      </w:r>
      <w:r w:rsidR="009F5875">
        <w:t>.</w:t>
      </w:r>
    </w:p>
    <w:p w14:paraId="56D0F977" w14:textId="62389244" w:rsidR="00957056" w:rsidRPr="00CE3E8A" w:rsidRDefault="00957056" w:rsidP="00957056">
      <w:pPr>
        <w:pStyle w:val="Caption"/>
        <w:rPr>
          <w:rFonts w:eastAsiaTheme="minorHAnsi"/>
          <w:noProof/>
          <w:szCs w:val="22"/>
        </w:rPr>
      </w:pPr>
      <w:bookmarkStart w:id="10" w:name="_Ref189229911"/>
      <w:r>
        <w:rPr>
          <w:bCs w:val="0"/>
          <w:noProof/>
        </w:rPr>
        <w:lastRenderedPageBreak/>
        <w:drawing>
          <wp:anchor distT="0" distB="0" distL="114300" distR="114300" simplePos="0" relativeHeight="251658240" behindDoc="0" locked="0" layoutInCell="1" allowOverlap="1" wp14:anchorId="6F819DB0" wp14:editId="2832B2FB">
            <wp:simplePos x="0" y="0"/>
            <wp:positionH relativeFrom="margin">
              <wp:posOffset>-635</wp:posOffset>
            </wp:positionH>
            <wp:positionV relativeFrom="paragraph">
              <wp:posOffset>172662</wp:posOffset>
            </wp:positionV>
            <wp:extent cx="5243830" cy="3744595"/>
            <wp:effectExtent l="0" t="0" r="0" b="8255"/>
            <wp:wrapTopAndBottom/>
            <wp:docPr id="1390608896" name="Picture 1" descr="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08896" name="Picture 1" descr="ure 1: Proposed clinical management algorithm"/>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830" cy="3744595"/>
                    </a:xfrm>
                    <a:prstGeom prst="rect">
                      <a:avLst/>
                    </a:prstGeom>
                    <a:noFill/>
                  </pic:spPr>
                </pic:pic>
              </a:graphicData>
            </a:graphic>
            <wp14:sizeRelH relativeFrom="margin">
              <wp14:pctWidth>0</wp14:pctWidth>
            </wp14:sizeRelH>
            <wp14:sizeRelV relativeFrom="margin">
              <wp14:pctHeight>0</wp14:pctHeight>
            </wp14:sizeRelV>
          </wp:anchor>
        </w:drawing>
      </w:r>
      <w:r>
        <w:t xml:space="preserve">Figure </w:t>
      </w:r>
      <w:r w:rsidR="007F7DF9">
        <w:fldChar w:fldCharType="begin"/>
      </w:r>
      <w:r w:rsidR="007F7DF9">
        <w:instrText xml:space="preserve"> SEQ Figure \* ARABIC </w:instrText>
      </w:r>
      <w:r w:rsidR="007F7DF9">
        <w:fldChar w:fldCharType="separate"/>
      </w:r>
      <w:r w:rsidR="00D32E93">
        <w:rPr>
          <w:noProof/>
        </w:rPr>
        <w:t>1</w:t>
      </w:r>
      <w:r w:rsidR="007F7DF9">
        <w:rPr>
          <w:noProof/>
        </w:rPr>
        <w:fldChar w:fldCharType="end"/>
      </w:r>
      <w:bookmarkEnd w:id="10"/>
      <w:r>
        <w:t xml:space="preserve">: </w:t>
      </w:r>
      <w:r w:rsidRPr="00F16880">
        <w:t>Proposed clinical management algorithm</w:t>
      </w:r>
    </w:p>
    <w:p w14:paraId="70237D7B" w14:textId="1AEC681C" w:rsidR="00C662B1" w:rsidRDefault="00C662B1" w:rsidP="00F511D9">
      <w:pPr>
        <w:pStyle w:val="TableFigureFooter"/>
      </w:pPr>
      <w:r w:rsidRPr="0092595E">
        <w:t>Source: Figure 5, p24 of the submission.</w:t>
      </w:r>
    </w:p>
    <w:p w14:paraId="548AFEA4" w14:textId="7D1F871B" w:rsidR="00C662B1" w:rsidRPr="00C662B1" w:rsidRDefault="00C662B1" w:rsidP="00F511D9">
      <w:pPr>
        <w:pStyle w:val="TableFigureFooter"/>
      </w:pPr>
      <w:r>
        <w:t>NSCL</w:t>
      </w:r>
      <w:r w:rsidR="00DA0651">
        <w:t xml:space="preserve">C = </w:t>
      </w:r>
      <w:r w:rsidR="005C340B">
        <w:t>n</w:t>
      </w:r>
      <w:r w:rsidR="005C340B" w:rsidRPr="005C340B">
        <w:t>on-small cell lung cancer</w:t>
      </w:r>
      <w:r w:rsidR="005C340B">
        <w:t>;</w:t>
      </w:r>
      <w:r w:rsidR="00DA0651">
        <w:t xml:space="preserve"> PBS = Pharmaceutical Benefit</w:t>
      </w:r>
      <w:r w:rsidR="005C340B">
        <w:t>s</w:t>
      </w:r>
      <w:r w:rsidR="00DA0651">
        <w:t xml:space="preserve"> Scheme</w:t>
      </w:r>
      <w:r w:rsidR="005C340B">
        <w:t xml:space="preserve">; </w:t>
      </w:r>
      <w:bookmarkStart w:id="11" w:name="_Hlk191475354"/>
      <w:r w:rsidR="005C340B">
        <w:t xml:space="preserve">ROS1 = </w:t>
      </w:r>
      <w:r w:rsidR="003C4B8F">
        <w:t>c-</w:t>
      </w:r>
      <w:r w:rsidR="00593D91" w:rsidRPr="00593D91">
        <w:t>ROS proto-oncogene 1</w:t>
      </w:r>
      <w:r w:rsidR="00593D91">
        <w:t>.</w:t>
      </w:r>
      <w:bookmarkEnd w:id="11"/>
    </w:p>
    <w:p w14:paraId="5F94EDAE" w14:textId="47B93694" w:rsidR="00DC4D62" w:rsidRDefault="00B63B76" w:rsidP="006E4155">
      <w:pPr>
        <w:pStyle w:val="3-BodyText"/>
      </w:pPr>
      <w:r>
        <w:t>The submission proposed r</w:t>
      </w:r>
      <w:r w:rsidR="00DC4D62">
        <w:t xml:space="preserve">epotrectinib as an alternative </w:t>
      </w:r>
      <w:r w:rsidR="0049236C">
        <w:t xml:space="preserve">treatment option </w:t>
      </w:r>
      <w:r w:rsidR="00DC4D62">
        <w:t xml:space="preserve">to current PBS-listed </w:t>
      </w:r>
      <w:r w:rsidR="00DC4D62" w:rsidRPr="007A38AF">
        <w:rPr>
          <w:i/>
          <w:iCs/>
        </w:rPr>
        <w:t>ROS1</w:t>
      </w:r>
      <w:r w:rsidR="00DC4D62">
        <w:t xml:space="preserve"> inhibitors entrectinib and crizotinib. </w:t>
      </w:r>
    </w:p>
    <w:p w14:paraId="44DA233B" w14:textId="516EB570" w:rsidR="00F16880" w:rsidRDefault="00AF27EF" w:rsidP="006E4155">
      <w:pPr>
        <w:pStyle w:val="3-BodyText"/>
      </w:pPr>
      <w:r>
        <w:t>Rep</w:t>
      </w:r>
      <w:r w:rsidR="00B87850">
        <w:t xml:space="preserve">otrectinib acts as an inhibitor of proto-oncogene </w:t>
      </w:r>
      <w:r w:rsidR="00A91CBB">
        <w:t>tyrosine-protein</w:t>
      </w:r>
      <w:r w:rsidR="00B87850">
        <w:t xml:space="preserve"> kinase </w:t>
      </w:r>
      <w:r w:rsidR="00B87850" w:rsidRPr="007A38AF">
        <w:rPr>
          <w:i/>
          <w:iCs/>
        </w:rPr>
        <w:t>ROS1</w:t>
      </w:r>
      <w:r w:rsidR="00B87850">
        <w:t xml:space="preserve"> and of </w:t>
      </w:r>
      <w:r w:rsidR="00A91CBB">
        <w:t xml:space="preserve">tropomyosin </w:t>
      </w:r>
      <w:r w:rsidR="004D6AA4">
        <w:t xml:space="preserve">receptor </w:t>
      </w:r>
      <w:r w:rsidR="00A91CBB">
        <w:t xml:space="preserve">tyrosine kinases (TRKs). </w:t>
      </w:r>
      <w:r w:rsidR="00710FC8">
        <w:t>T</w:t>
      </w:r>
      <w:r w:rsidR="0067382A" w:rsidRPr="0067382A">
        <w:t>yrosine kinase inhibitor</w:t>
      </w:r>
      <w:r w:rsidR="0067382A">
        <w:t>s</w:t>
      </w:r>
      <w:r w:rsidR="0067382A" w:rsidRPr="0067382A">
        <w:t xml:space="preserve"> (</w:t>
      </w:r>
      <w:r w:rsidR="000C34D4">
        <w:t>TKIs</w:t>
      </w:r>
      <w:r w:rsidR="0067382A" w:rsidRPr="0067382A">
        <w:t>)</w:t>
      </w:r>
      <w:r w:rsidR="000C34D4">
        <w:t xml:space="preserve"> can become </w:t>
      </w:r>
      <w:r w:rsidR="00F41267">
        <w:t>less effective if patients develop acquired resistance due to mutations</w:t>
      </w:r>
      <w:r w:rsidR="00E33F98">
        <w:t>.</w:t>
      </w:r>
      <w:r w:rsidR="00D6233A">
        <w:t xml:space="preserve"> </w:t>
      </w:r>
      <w:r w:rsidR="00E33F98">
        <w:t>R</w:t>
      </w:r>
      <w:r w:rsidR="003D464D">
        <w:t>epotrectinib</w:t>
      </w:r>
      <w:r w:rsidR="004A5579">
        <w:t xml:space="preserve"> was designed to </w:t>
      </w:r>
      <w:r w:rsidR="00416806" w:rsidRPr="00C15971">
        <w:rPr>
          <w:szCs w:val="28"/>
        </w:rPr>
        <w:t>mitigate the effects of treatment-resistant</w:t>
      </w:r>
      <w:r w:rsidR="00551CB9" w:rsidRPr="00C15971">
        <w:rPr>
          <w:szCs w:val="28"/>
        </w:rPr>
        <w:t xml:space="preserve"> mutations</w:t>
      </w:r>
      <w:r w:rsidR="00416806" w:rsidRPr="00C15971">
        <w:rPr>
          <w:szCs w:val="28"/>
        </w:rPr>
        <w:t xml:space="preserve"> underlying acquired resistance</w:t>
      </w:r>
      <w:r w:rsidR="00551CB9">
        <w:t xml:space="preserve">. </w:t>
      </w:r>
      <w:r w:rsidR="003D464D">
        <w:t>Repotrectinib</w:t>
      </w:r>
      <w:r w:rsidR="00551CB9">
        <w:t xml:space="preserve"> </w:t>
      </w:r>
      <w:r w:rsidR="00DA4E0B">
        <w:t xml:space="preserve">binds to the adenine binding site of </w:t>
      </w:r>
      <w:r w:rsidR="00DA4E0B" w:rsidRPr="002777AB">
        <w:rPr>
          <w:i/>
          <w:iCs/>
        </w:rPr>
        <w:t>ROS1</w:t>
      </w:r>
      <w:r w:rsidR="00DA4E0B">
        <w:t xml:space="preserve"> and TRK A-C</w:t>
      </w:r>
      <w:r w:rsidR="00196C6B">
        <w:t>,</w:t>
      </w:r>
      <w:r w:rsidR="00DA4E0B">
        <w:t xml:space="preserve"> preventing </w:t>
      </w:r>
      <w:r w:rsidR="008D666D">
        <w:t xml:space="preserve">the binding of ATP </w:t>
      </w:r>
      <w:r w:rsidR="00F7141A">
        <w:t xml:space="preserve">and </w:t>
      </w:r>
      <w:r w:rsidR="00954E61">
        <w:t xml:space="preserve">thereby inhibiting tumour </w:t>
      </w:r>
      <w:r w:rsidR="003B0287">
        <w:t xml:space="preserve">proliferation. </w:t>
      </w:r>
    </w:p>
    <w:p w14:paraId="0FA24DAD" w14:textId="1332D122" w:rsidR="00F505B3" w:rsidRPr="00F505B3" w:rsidRDefault="00F505B3" w:rsidP="00F505B3">
      <w:pPr>
        <w:spacing w:before="60" w:after="60"/>
        <w:ind w:firstLine="720"/>
        <w:rPr>
          <w:i/>
          <w:iCs/>
        </w:rPr>
      </w:pPr>
      <w:r w:rsidRPr="00F505B3">
        <w:rPr>
          <w:i/>
          <w:iCs/>
        </w:rPr>
        <w:t>For more detail on PBAC’s view, see section 7 PBAC outcome.</w:t>
      </w:r>
    </w:p>
    <w:p w14:paraId="51E5AE96" w14:textId="3494342D" w:rsidR="00B50DB8" w:rsidRPr="0098262F" w:rsidRDefault="00B50DB8" w:rsidP="004E18E9">
      <w:pPr>
        <w:pStyle w:val="2-SectionHeading"/>
      </w:pPr>
      <w:bookmarkStart w:id="12" w:name="_Toc193124288"/>
      <w:r w:rsidRPr="0098262F">
        <w:t>Comparator</w:t>
      </w:r>
      <w:bookmarkEnd w:id="12"/>
    </w:p>
    <w:p w14:paraId="65CAAFEF" w14:textId="4F963F10" w:rsidR="000831B8" w:rsidRPr="007A38AF" w:rsidRDefault="009C1A08" w:rsidP="00FA073E">
      <w:pPr>
        <w:pStyle w:val="3-BodyText"/>
      </w:pPr>
      <w:r w:rsidRPr="007A38AF">
        <w:t>The</w:t>
      </w:r>
      <w:r w:rsidR="009B3498" w:rsidRPr="007A38AF">
        <w:t xml:space="preserve"> submission nominated entrectinib as the</w:t>
      </w:r>
      <w:r w:rsidRPr="007A38AF">
        <w:t xml:space="preserve"> </w:t>
      </w:r>
      <w:r w:rsidR="00E5355E" w:rsidRPr="007A38AF">
        <w:t xml:space="preserve">primary comparator, </w:t>
      </w:r>
      <w:r w:rsidR="00FE3B31" w:rsidRPr="007A38AF">
        <w:t>and</w:t>
      </w:r>
      <w:r w:rsidR="00207C4F" w:rsidRPr="007A38AF">
        <w:t xml:space="preserve"> crizotinib as a supplementary comparator. </w:t>
      </w:r>
      <w:r w:rsidR="000831B8" w:rsidRPr="007A38AF">
        <w:t xml:space="preserve">The main arguments provided in support of the nomination were: </w:t>
      </w:r>
    </w:p>
    <w:p w14:paraId="2701B868" w14:textId="4E4963F0" w:rsidR="00496A10" w:rsidRPr="007A38AF" w:rsidRDefault="000831B8" w:rsidP="006E4155">
      <w:pPr>
        <w:pStyle w:val="3-BodyText"/>
        <w:numPr>
          <w:ilvl w:val="0"/>
          <w:numId w:val="8"/>
        </w:numPr>
        <w:ind w:left="1134" w:hanging="425"/>
      </w:pPr>
      <w:r w:rsidRPr="007A38AF">
        <w:t>E</w:t>
      </w:r>
      <w:r w:rsidR="007419AF" w:rsidRPr="007A38AF">
        <w:t>ntrectinib</w:t>
      </w:r>
      <w:r w:rsidR="00207C4F" w:rsidRPr="007A38AF">
        <w:t xml:space="preserve"> and crizotinib are </w:t>
      </w:r>
      <w:r w:rsidR="001473C0" w:rsidRPr="007A38AF">
        <w:rPr>
          <w:i/>
          <w:iCs/>
        </w:rPr>
        <w:t>ROS1</w:t>
      </w:r>
      <w:r w:rsidR="001473C0" w:rsidRPr="007A38AF">
        <w:t xml:space="preserve"> </w:t>
      </w:r>
      <w:r w:rsidR="00C7153A" w:rsidRPr="007A38AF">
        <w:t>inhibitors</w:t>
      </w:r>
      <w:r w:rsidR="001473C0" w:rsidRPr="007A38AF">
        <w:t xml:space="preserve"> currently </w:t>
      </w:r>
      <w:r w:rsidR="004900A3" w:rsidRPr="007A38AF">
        <w:t>listed</w:t>
      </w:r>
      <w:r w:rsidR="001473C0" w:rsidRPr="007A38AF">
        <w:t xml:space="preserve"> on the PBS</w:t>
      </w:r>
      <w:r w:rsidR="005033B7" w:rsidRPr="007A38AF">
        <w:t xml:space="preserve"> for the treatment of patients with </w:t>
      </w:r>
      <w:r w:rsidR="005033B7" w:rsidRPr="007A38AF">
        <w:rPr>
          <w:i/>
          <w:iCs/>
        </w:rPr>
        <w:t>ROS1</w:t>
      </w:r>
      <w:r w:rsidR="004900A3" w:rsidRPr="007E57C4">
        <w:t>-</w:t>
      </w:r>
      <w:r w:rsidR="005033B7" w:rsidRPr="007E57C4">
        <w:t>positive</w:t>
      </w:r>
      <w:r w:rsidR="005033B7" w:rsidRPr="007A38AF">
        <w:t xml:space="preserve"> NSCLC. </w:t>
      </w:r>
      <w:r w:rsidR="00581BE5" w:rsidRPr="007A38AF">
        <w:t>In 2023</w:t>
      </w:r>
      <w:r w:rsidR="009178A1" w:rsidRPr="007A38AF">
        <w:t>,</w:t>
      </w:r>
      <w:r w:rsidR="00581BE5" w:rsidRPr="007A38AF">
        <w:t xml:space="preserve"> 69% of</w:t>
      </w:r>
      <w:r w:rsidR="009178A1" w:rsidRPr="007E57C4">
        <w:rPr>
          <w:i/>
          <w:iCs/>
        </w:rPr>
        <w:t xml:space="preserve"> </w:t>
      </w:r>
      <w:r w:rsidR="00581BE5" w:rsidRPr="007E57C4">
        <w:rPr>
          <w:i/>
          <w:iCs/>
        </w:rPr>
        <w:t>ROS1</w:t>
      </w:r>
      <w:r w:rsidR="00581BE5" w:rsidRPr="007A38AF">
        <w:t xml:space="preserve"> inhibitor</w:t>
      </w:r>
      <w:r w:rsidR="009178A1" w:rsidRPr="007A38AF">
        <w:t xml:space="preserve"> PBS</w:t>
      </w:r>
      <w:r w:rsidR="00581BE5" w:rsidRPr="007A38AF">
        <w:t xml:space="preserve"> items were processed for entre</w:t>
      </w:r>
      <w:r w:rsidR="009178A1" w:rsidRPr="007A38AF">
        <w:t>c</w:t>
      </w:r>
      <w:r w:rsidR="00581BE5" w:rsidRPr="007A38AF">
        <w:t xml:space="preserve">tinib. </w:t>
      </w:r>
    </w:p>
    <w:p w14:paraId="0477F31E" w14:textId="7A929259" w:rsidR="0027062B" w:rsidRPr="007A38AF" w:rsidRDefault="007256C6" w:rsidP="006E4155">
      <w:pPr>
        <w:pStyle w:val="3-BodyText"/>
        <w:numPr>
          <w:ilvl w:val="0"/>
          <w:numId w:val="8"/>
        </w:numPr>
        <w:ind w:left="1134" w:hanging="425"/>
      </w:pPr>
      <w:r>
        <w:lastRenderedPageBreak/>
        <w:t>E</w:t>
      </w:r>
      <w:r w:rsidR="009D7397" w:rsidRPr="007A38AF">
        <w:t xml:space="preserve">ntrectinib and crizotinib </w:t>
      </w:r>
      <w:r w:rsidR="00F32DE6" w:rsidRPr="007A38AF">
        <w:t xml:space="preserve">approved TGA indications are similar to the proposed indication for </w:t>
      </w:r>
      <w:r w:rsidR="0054162C" w:rsidRPr="007A38AF">
        <w:t xml:space="preserve">repotrectinib. </w:t>
      </w:r>
    </w:p>
    <w:p w14:paraId="4417BA5D" w14:textId="689E1433" w:rsidR="00C507FD" w:rsidRPr="007A38AF" w:rsidRDefault="00154891" w:rsidP="006E4155">
      <w:pPr>
        <w:pStyle w:val="3-BodyText"/>
      </w:pPr>
      <w:r w:rsidRPr="007A38AF">
        <w:t xml:space="preserve">The choice of </w:t>
      </w:r>
      <w:r w:rsidR="00333CDA" w:rsidRPr="007A38AF">
        <w:t>ent</w:t>
      </w:r>
      <w:r w:rsidR="00E14541" w:rsidRPr="007A38AF">
        <w:t>rectinib as the primary comparator is appropriate</w:t>
      </w:r>
      <w:r w:rsidR="00F818EE" w:rsidRPr="007A38AF">
        <w:t xml:space="preserve"> </w:t>
      </w:r>
      <w:r w:rsidR="00F818EE" w:rsidRPr="007A38AF">
        <w:rPr>
          <w:rFonts w:cstheme="minorHAnsi"/>
        </w:rPr>
        <w:t xml:space="preserve">as the drug is approved for the treatment of </w:t>
      </w:r>
      <w:r w:rsidR="00F818EE" w:rsidRPr="007A38AF">
        <w:rPr>
          <w:rFonts w:cstheme="minorHAnsi"/>
          <w:i/>
          <w:iCs/>
        </w:rPr>
        <w:t>ROS1</w:t>
      </w:r>
      <w:r w:rsidR="00F818EE" w:rsidRPr="007A38AF">
        <w:rPr>
          <w:rFonts w:cstheme="minorHAnsi"/>
        </w:rPr>
        <w:t xml:space="preserve"> NSCLC (</w:t>
      </w:r>
      <w:r w:rsidR="00010685" w:rsidRPr="007A38AF">
        <w:rPr>
          <w:rFonts w:cstheme="minorHAnsi"/>
        </w:rPr>
        <w:t xml:space="preserve">para </w:t>
      </w:r>
      <w:r w:rsidR="003D3039" w:rsidRPr="007A38AF">
        <w:rPr>
          <w:rFonts w:cstheme="minorHAnsi"/>
        </w:rPr>
        <w:t xml:space="preserve">5.03, </w:t>
      </w:r>
      <w:r w:rsidR="001F7F8E" w:rsidRPr="007A38AF">
        <w:rPr>
          <w:rFonts w:cstheme="minorHAnsi"/>
        </w:rPr>
        <w:t xml:space="preserve">Public Summary Document </w:t>
      </w:r>
      <w:r w:rsidR="00113C92">
        <w:rPr>
          <w:rFonts w:cstheme="minorHAnsi"/>
        </w:rPr>
        <w:t>(</w:t>
      </w:r>
      <w:r w:rsidR="00F818EE" w:rsidRPr="007A38AF">
        <w:rPr>
          <w:rFonts w:cstheme="minorHAnsi"/>
        </w:rPr>
        <w:t>PSD</w:t>
      </w:r>
      <w:r w:rsidR="00113C92">
        <w:rPr>
          <w:rFonts w:cstheme="minorHAnsi"/>
        </w:rPr>
        <w:t>)</w:t>
      </w:r>
      <w:r w:rsidR="003D3039" w:rsidRPr="007A38AF">
        <w:rPr>
          <w:rFonts w:cstheme="minorHAnsi"/>
        </w:rPr>
        <w:t xml:space="preserve"> </w:t>
      </w:r>
      <w:r w:rsidR="00F818EE" w:rsidRPr="007A38AF">
        <w:rPr>
          <w:rFonts w:cstheme="minorHAnsi"/>
        </w:rPr>
        <w:t>entrectinib</w:t>
      </w:r>
      <w:r w:rsidR="003D3039" w:rsidRPr="007A38AF">
        <w:rPr>
          <w:rFonts w:cstheme="minorHAnsi"/>
        </w:rPr>
        <w:t>, March 2020</w:t>
      </w:r>
      <w:r w:rsidR="00F818EE" w:rsidRPr="007A38AF">
        <w:rPr>
          <w:rFonts w:cstheme="minorHAnsi"/>
        </w:rPr>
        <w:t>)</w:t>
      </w:r>
      <w:r w:rsidR="003D3022" w:rsidRPr="007A38AF">
        <w:rPr>
          <w:rFonts w:cstheme="minorHAnsi"/>
        </w:rPr>
        <w:t>.</w:t>
      </w:r>
      <w:r w:rsidR="008415B1">
        <w:rPr>
          <w:rFonts w:cstheme="minorHAnsi"/>
        </w:rPr>
        <w:t xml:space="preserve"> </w:t>
      </w:r>
    </w:p>
    <w:p w14:paraId="76C5B0FD" w14:textId="77777777" w:rsidR="00C507FD" w:rsidRPr="007A38AF" w:rsidRDefault="00C507FD" w:rsidP="006E4155">
      <w:pPr>
        <w:pStyle w:val="3-BodyText"/>
        <w:rPr>
          <w:color w:val="0066FF"/>
        </w:rPr>
      </w:pPr>
      <w:bookmarkStart w:id="13" w:name="_Ref107305379"/>
      <w:r w:rsidRPr="007A38AF">
        <w:t xml:space="preserve">In the context of the cost-minimisation approach taken by the submission, a further consideration for PBAC is that, under Section 101(3B) of the </w:t>
      </w:r>
      <w:r w:rsidRPr="000466C0">
        <w:rPr>
          <w:i/>
        </w:rPr>
        <w:t>National Health Act 1953</w:t>
      </w:r>
      <w:r w:rsidRPr="007A38AF">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3"/>
      <w:r w:rsidRPr="007A38AF">
        <w:t xml:space="preserve"> </w:t>
      </w:r>
    </w:p>
    <w:p w14:paraId="4599C962" w14:textId="354178EC" w:rsidR="00AB0D20" w:rsidRDefault="00AD0B0C" w:rsidP="006E4155">
      <w:pPr>
        <w:pStyle w:val="3-BodyText"/>
      </w:pPr>
      <w:bookmarkStart w:id="14" w:name="_Ref107305381"/>
      <w:r w:rsidRPr="007A38AF">
        <w:t>For the requested population, the PBS-listed medicines</w:t>
      </w:r>
      <w:r w:rsidR="005A6DB2">
        <w:t xml:space="preserve"> entrectinib and crizotinib </w:t>
      </w:r>
      <w:r w:rsidRPr="007A38AF">
        <w:t>may be considered alternative therapies</w:t>
      </w:r>
      <w:r w:rsidRPr="00CC1626">
        <w:t>.</w:t>
      </w:r>
      <w:r w:rsidR="00FF5E13" w:rsidRPr="00CC1626">
        <w:t xml:space="preserve"> The ESC </w:t>
      </w:r>
      <w:r w:rsidR="00BC6F25" w:rsidRPr="00CC1626">
        <w:t xml:space="preserve">advised it may be reasonable to not consider crizotinib an alternative therapy </w:t>
      </w:r>
      <w:r w:rsidR="00B34841" w:rsidRPr="00CC1626">
        <w:t>due to</w:t>
      </w:r>
      <w:r w:rsidR="00BC6F25" w:rsidRPr="00CC1626">
        <w:t xml:space="preserve"> differ</w:t>
      </w:r>
      <w:r w:rsidR="00E2595F" w:rsidRPr="00CC1626">
        <w:t>ences between repotrectinib and crizotinib, particularly with respect to their effectiveness in intracranial disease</w:t>
      </w:r>
      <w:r w:rsidR="009C4A91" w:rsidRPr="00CC1626">
        <w:t xml:space="preserve"> (with crizotinib being less effective in this </w:t>
      </w:r>
      <w:r w:rsidR="00B3172C" w:rsidRPr="00CC1626">
        <w:t>context)</w:t>
      </w:r>
      <w:r w:rsidR="00E2595F" w:rsidRPr="00CC1626">
        <w:t>.</w:t>
      </w:r>
      <w:bookmarkEnd w:id="14"/>
    </w:p>
    <w:p w14:paraId="536FFD43" w14:textId="1D05DEBC" w:rsidR="00C36091" w:rsidRPr="00C36091" w:rsidRDefault="00C36091" w:rsidP="00C36091">
      <w:pPr>
        <w:spacing w:before="60" w:after="60"/>
        <w:ind w:firstLine="720"/>
        <w:rPr>
          <w:i/>
          <w:iCs/>
        </w:rPr>
      </w:pPr>
      <w:r w:rsidRPr="00C36091">
        <w:rPr>
          <w:i/>
          <w:iCs/>
        </w:rPr>
        <w:t>For more detail on PBAC’s view, see section 7 PBAC outcome.</w:t>
      </w:r>
    </w:p>
    <w:p w14:paraId="7F9C27C8" w14:textId="77777777" w:rsidR="00223D5A" w:rsidRPr="007F1C07" w:rsidRDefault="00223D5A" w:rsidP="00223D5A">
      <w:pPr>
        <w:pStyle w:val="2-SectionHeading"/>
        <w:numPr>
          <w:ilvl w:val="0"/>
          <w:numId w:val="1"/>
        </w:numPr>
      </w:pPr>
      <w:bookmarkStart w:id="15" w:name="_Toc193124289"/>
      <w:bookmarkStart w:id="16" w:name="_Toc22897640"/>
      <w:r w:rsidRPr="007F1C07">
        <w:t>Consideration of the evidence</w:t>
      </w:r>
      <w:bookmarkEnd w:id="15"/>
    </w:p>
    <w:p w14:paraId="0E3BB490" w14:textId="77777777" w:rsidR="0007655C" w:rsidRPr="00F24853" w:rsidRDefault="0007655C" w:rsidP="0007655C">
      <w:pPr>
        <w:pStyle w:val="COMH2-non-numbered"/>
      </w:pPr>
      <w:bookmarkStart w:id="17" w:name="_Toc193124290"/>
      <w:r w:rsidRPr="00F24853">
        <w:t>Sponsor hearing</w:t>
      </w:r>
    </w:p>
    <w:p w14:paraId="238AB0BC" w14:textId="77777777" w:rsidR="0007655C" w:rsidRDefault="0007655C" w:rsidP="0007655C">
      <w:pPr>
        <w:widowControl w:val="0"/>
        <w:numPr>
          <w:ilvl w:val="1"/>
          <w:numId w:val="1"/>
        </w:numPr>
        <w:spacing w:after="120"/>
        <w:rPr>
          <w:rFonts w:cs="Calibri"/>
          <w:bCs/>
          <w:snapToGrid w:val="0"/>
        </w:rPr>
      </w:pPr>
      <w:r w:rsidRPr="00F24853">
        <w:rPr>
          <w:rFonts w:cs="Calibri"/>
          <w:bCs/>
          <w:snapToGrid w:val="0"/>
        </w:rPr>
        <w:t>There was no hearing for this item.</w:t>
      </w:r>
    </w:p>
    <w:p w14:paraId="1638D342" w14:textId="77777777" w:rsidR="0007655C" w:rsidRPr="000A2E3B" w:rsidRDefault="0007655C" w:rsidP="0007655C">
      <w:pPr>
        <w:pStyle w:val="COMH2-non-numbered"/>
      </w:pPr>
      <w:r w:rsidRPr="000A2E3B">
        <w:t>Consumer comments</w:t>
      </w:r>
    </w:p>
    <w:p w14:paraId="41000CF9" w14:textId="262752B3" w:rsidR="000B2DAA" w:rsidRDefault="0007655C" w:rsidP="00AB7BF2">
      <w:pPr>
        <w:widowControl w:val="0"/>
        <w:numPr>
          <w:ilvl w:val="1"/>
          <w:numId w:val="1"/>
        </w:numPr>
        <w:spacing w:before="120" w:after="120"/>
        <w:rPr>
          <w:rFonts w:asciiTheme="minorHAnsi" w:hAnsiTheme="minorHAnsi"/>
          <w:bCs/>
          <w:snapToGrid w:val="0"/>
        </w:rPr>
      </w:pPr>
      <w:r w:rsidRPr="00F80E35">
        <w:rPr>
          <w:rFonts w:asciiTheme="minorHAnsi" w:hAnsiTheme="minorHAnsi"/>
          <w:bCs/>
          <w:snapToGrid w:val="0"/>
        </w:rPr>
        <w:t>The PBAC noted and welcomed the input from individuals (</w:t>
      </w:r>
      <w:r w:rsidR="007E3C3D" w:rsidRPr="00F80E35">
        <w:rPr>
          <w:rFonts w:asciiTheme="minorHAnsi" w:hAnsiTheme="minorHAnsi"/>
          <w:bCs/>
          <w:snapToGrid w:val="0"/>
        </w:rPr>
        <w:t>2</w:t>
      </w:r>
      <w:r w:rsidRPr="00F80E35">
        <w:rPr>
          <w:rFonts w:asciiTheme="minorHAnsi" w:hAnsiTheme="minorHAnsi"/>
          <w:bCs/>
          <w:snapToGrid w:val="0"/>
        </w:rPr>
        <w:t xml:space="preserve">), </w:t>
      </w:r>
      <w:r w:rsidR="003B73A7" w:rsidRPr="00F80E35">
        <w:rPr>
          <w:rFonts w:asciiTheme="minorHAnsi" w:hAnsiTheme="minorHAnsi"/>
          <w:bCs/>
          <w:snapToGrid w:val="0"/>
        </w:rPr>
        <w:t>family member or person directly caring for an individual</w:t>
      </w:r>
      <w:r w:rsidR="00FF76B5" w:rsidRPr="00F80E35">
        <w:rPr>
          <w:rFonts w:asciiTheme="minorHAnsi" w:hAnsiTheme="minorHAnsi"/>
          <w:bCs/>
          <w:snapToGrid w:val="0"/>
        </w:rPr>
        <w:t xml:space="preserve"> (1)</w:t>
      </w:r>
      <w:r w:rsidR="00CA18E7" w:rsidRPr="00F80E35">
        <w:rPr>
          <w:rFonts w:asciiTheme="minorHAnsi" w:hAnsiTheme="minorHAnsi"/>
          <w:bCs/>
          <w:snapToGrid w:val="0"/>
        </w:rPr>
        <w:t xml:space="preserve">, health care professionals (1), </w:t>
      </w:r>
      <w:r w:rsidRPr="00F80E35">
        <w:rPr>
          <w:rFonts w:asciiTheme="minorHAnsi" w:hAnsiTheme="minorHAnsi"/>
          <w:bCs/>
          <w:snapToGrid w:val="0"/>
        </w:rPr>
        <w:t>and organisations (</w:t>
      </w:r>
      <w:r w:rsidR="007E3C3D" w:rsidRPr="00F80E35">
        <w:rPr>
          <w:rFonts w:asciiTheme="minorHAnsi" w:hAnsiTheme="minorHAnsi"/>
          <w:bCs/>
          <w:snapToGrid w:val="0"/>
        </w:rPr>
        <w:t>4</w:t>
      </w:r>
      <w:r w:rsidRPr="00F80E35">
        <w:rPr>
          <w:rFonts w:asciiTheme="minorHAnsi" w:hAnsiTheme="minorHAnsi"/>
          <w:bCs/>
          <w:snapToGrid w:val="0"/>
        </w:rPr>
        <w:t xml:space="preserve">) via the Consumer Comments facility on the PBS website. </w:t>
      </w:r>
      <w:r w:rsidR="005E66FD" w:rsidRPr="00F80E35">
        <w:rPr>
          <w:rFonts w:asciiTheme="minorHAnsi" w:hAnsiTheme="minorHAnsi"/>
          <w:bCs/>
          <w:snapToGrid w:val="0"/>
        </w:rPr>
        <w:t xml:space="preserve">The </w:t>
      </w:r>
      <w:r w:rsidR="00C77260" w:rsidRPr="00F80E35">
        <w:rPr>
          <w:rFonts w:asciiTheme="minorHAnsi" w:hAnsiTheme="minorHAnsi"/>
          <w:bCs/>
          <w:snapToGrid w:val="0"/>
        </w:rPr>
        <w:t>h</w:t>
      </w:r>
      <w:r w:rsidR="005E66FD" w:rsidRPr="00F80E35">
        <w:rPr>
          <w:rFonts w:asciiTheme="minorHAnsi" w:hAnsiTheme="minorHAnsi"/>
          <w:bCs/>
          <w:snapToGrid w:val="0"/>
        </w:rPr>
        <w:t xml:space="preserve">ealth </w:t>
      </w:r>
      <w:r w:rsidR="00C77260" w:rsidRPr="00F80E35">
        <w:rPr>
          <w:rFonts w:asciiTheme="minorHAnsi" w:hAnsiTheme="minorHAnsi"/>
          <w:bCs/>
          <w:snapToGrid w:val="0"/>
        </w:rPr>
        <w:t xml:space="preserve">care </w:t>
      </w:r>
      <w:r w:rsidR="005E66FD" w:rsidRPr="00F80E35">
        <w:rPr>
          <w:rFonts w:asciiTheme="minorHAnsi" w:hAnsiTheme="minorHAnsi"/>
          <w:bCs/>
          <w:snapToGrid w:val="0"/>
        </w:rPr>
        <w:t>professional noted</w:t>
      </w:r>
      <w:r w:rsidR="00DB19DA" w:rsidRPr="00F80E35">
        <w:rPr>
          <w:rFonts w:asciiTheme="minorHAnsi" w:hAnsiTheme="minorHAnsi"/>
          <w:bCs/>
          <w:snapToGrid w:val="0"/>
        </w:rPr>
        <w:t xml:space="preserve"> </w:t>
      </w:r>
      <w:r w:rsidR="00E84EDF" w:rsidRPr="00F80E35">
        <w:rPr>
          <w:rFonts w:asciiTheme="minorHAnsi" w:hAnsiTheme="minorHAnsi"/>
          <w:bCs/>
          <w:snapToGrid w:val="0"/>
        </w:rPr>
        <w:t xml:space="preserve">repotrectinib is a more potent </w:t>
      </w:r>
      <w:r w:rsidR="00E84EDF" w:rsidRPr="00F80E35">
        <w:rPr>
          <w:rFonts w:asciiTheme="minorHAnsi" w:hAnsiTheme="minorHAnsi"/>
          <w:bCs/>
          <w:i/>
          <w:iCs/>
          <w:snapToGrid w:val="0"/>
        </w:rPr>
        <w:t>ROS1</w:t>
      </w:r>
      <w:r w:rsidR="00E84EDF" w:rsidRPr="00F80E35">
        <w:rPr>
          <w:rFonts w:asciiTheme="minorHAnsi" w:hAnsiTheme="minorHAnsi"/>
          <w:bCs/>
          <w:snapToGrid w:val="0"/>
        </w:rPr>
        <w:t xml:space="preserve"> inhibitor with good brain penetration, which prolongs disease response and avoids the need to trea</w:t>
      </w:r>
      <w:r w:rsidR="00225ADA">
        <w:rPr>
          <w:rFonts w:asciiTheme="minorHAnsi" w:hAnsiTheme="minorHAnsi"/>
          <w:bCs/>
          <w:snapToGrid w:val="0"/>
        </w:rPr>
        <w:t>t</w:t>
      </w:r>
      <w:r w:rsidR="00E84EDF" w:rsidRPr="00F80E35">
        <w:rPr>
          <w:rFonts w:asciiTheme="minorHAnsi" w:hAnsiTheme="minorHAnsi"/>
          <w:bCs/>
          <w:snapToGrid w:val="0"/>
        </w:rPr>
        <w:t xml:space="preserve"> brain metastases. </w:t>
      </w:r>
      <w:r w:rsidR="00C77260" w:rsidRPr="00F80E35">
        <w:rPr>
          <w:rFonts w:asciiTheme="minorHAnsi" w:hAnsiTheme="minorHAnsi"/>
          <w:bCs/>
          <w:snapToGrid w:val="0"/>
        </w:rPr>
        <w:t xml:space="preserve">Comments from individuals noted </w:t>
      </w:r>
      <w:r w:rsidR="003B29C8" w:rsidRPr="00F80E35">
        <w:rPr>
          <w:rFonts w:asciiTheme="minorHAnsi" w:hAnsiTheme="minorHAnsi"/>
          <w:bCs/>
          <w:snapToGrid w:val="0"/>
        </w:rPr>
        <w:t xml:space="preserve">the need for additional therapies, as while their current treatment is </w:t>
      </w:r>
      <w:r w:rsidR="00F80E35">
        <w:rPr>
          <w:rFonts w:asciiTheme="minorHAnsi" w:hAnsiTheme="minorHAnsi"/>
          <w:bCs/>
          <w:snapToGrid w:val="0"/>
        </w:rPr>
        <w:t xml:space="preserve">effective, the disease eventually </w:t>
      </w:r>
      <w:r w:rsidR="00B814F0">
        <w:rPr>
          <w:rFonts w:asciiTheme="minorHAnsi" w:hAnsiTheme="minorHAnsi"/>
          <w:bCs/>
          <w:snapToGrid w:val="0"/>
        </w:rPr>
        <w:t>progresses,</w:t>
      </w:r>
      <w:r w:rsidR="00225ADA">
        <w:rPr>
          <w:rFonts w:asciiTheme="minorHAnsi" w:hAnsiTheme="minorHAnsi"/>
          <w:bCs/>
          <w:snapToGrid w:val="0"/>
        </w:rPr>
        <w:t xml:space="preserve"> </w:t>
      </w:r>
      <w:r w:rsidR="00B814F0">
        <w:rPr>
          <w:rFonts w:asciiTheme="minorHAnsi" w:hAnsiTheme="minorHAnsi"/>
          <w:bCs/>
          <w:snapToGrid w:val="0"/>
        </w:rPr>
        <w:t>and an alternate option is required for the opportunity to prolong life</w:t>
      </w:r>
      <w:r w:rsidR="008E68D7" w:rsidRPr="00F80E35">
        <w:rPr>
          <w:rFonts w:asciiTheme="minorHAnsi" w:hAnsiTheme="minorHAnsi"/>
          <w:bCs/>
          <w:snapToGrid w:val="0"/>
        </w:rPr>
        <w:t xml:space="preserve">. </w:t>
      </w:r>
      <w:r w:rsidR="005252CB">
        <w:rPr>
          <w:rFonts w:asciiTheme="minorHAnsi" w:hAnsiTheme="minorHAnsi"/>
          <w:bCs/>
          <w:snapToGrid w:val="0"/>
        </w:rPr>
        <w:t xml:space="preserve">All </w:t>
      </w:r>
      <w:r w:rsidR="00645644">
        <w:rPr>
          <w:rFonts w:asciiTheme="minorHAnsi" w:hAnsiTheme="minorHAnsi"/>
          <w:bCs/>
          <w:snapToGrid w:val="0"/>
        </w:rPr>
        <w:t xml:space="preserve">consumer </w:t>
      </w:r>
      <w:r w:rsidR="005252CB">
        <w:rPr>
          <w:rFonts w:asciiTheme="minorHAnsi" w:hAnsiTheme="minorHAnsi"/>
          <w:bCs/>
          <w:snapToGrid w:val="0"/>
        </w:rPr>
        <w:t xml:space="preserve">input was supportive of a PBS listing for repotrectinib. </w:t>
      </w:r>
    </w:p>
    <w:p w14:paraId="0BB182D7" w14:textId="77777777" w:rsidR="00AF3C9C" w:rsidRDefault="00AF3C9C" w:rsidP="00AB7BF2">
      <w:pPr>
        <w:widowControl w:val="0"/>
        <w:numPr>
          <w:ilvl w:val="1"/>
          <w:numId w:val="1"/>
        </w:numPr>
        <w:spacing w:before="120" w:after="120"/>
        <w:rPr>
          <w:rFonts w:asciiTheme="minorHAnsi" w:hAnsiTheme="minorHAnsi"/>
          <w:bCs/>
          <w:snapToGrid w:val="0"/>
        </w:rPr>
      </w:pPr>
      <w:r>
        <w:rPr>
          <w:rFonts w:asciiTheme="minorHAnsi" w:hAnsiTheme="minorHAnsi"/>
          <w:bCs/>
          <w:snapToGrid w:val="0"/>
        </w:rPr>
        <w:t>The</w:t>
      </w:r>
      <w:r w:rsidRPr="00600C92">
        <w:rPr>
          <w:rFonts w:asciiTheme="minorHAnsi" w:hAnsiTheme="minorHAnsi"/>
          <w:bCs/>
          <w:snapToGrid w:val="0"/>
        </w:rPr>
        <w:t xml:space="preserve"> Lung Foundation Australia </w:t>
      </w:r>
      <w:r>
        <w:rPr>
          <w:rFonts w:asciiTheme="minorHAnsi" w:hAnsiTheme="minorHAnsi"/>
          <w:bCs/>
          <w:snapToGrid w:val="0"/>
        </w:rPr>
        <w:t>noted lung cancer is the leading cause of cancer deaths, the 4</w:t>
      </w:r>
      <w:r w:rsidRPr="002F1D81">
        <w:rPr>
          <w:rFonts w:asciiTheme="minorHAnsi" w:hAnsiTheme="minorHAnsi"/>
          <w:bCs/>
          <w:snapToGrid w:val="0"/>
          <w:vertAlign w:val="superscript"/>
        </w:rPr>
        <w:t>th</w:t>
      </w:r>
      <w:r>
        <w:rPr>
          <w:rFonts w:asciiTheme="minorHAnsi" w:hAnsiTheme="minorHAnsi"/>
          <w:bCs/>
          <w:snapToGrid w:val="0"/>
        </w:rPr>
        <w:t xml:space="preserve"> leading cause of all death and the lowest survival rate compared to the most common cancers in Australia. It further noted the negative impact of lung cancer diagnosis on individuals’ mental health and wellbeing and the importance of new treatment options to improve prognosis. </w:t>
      </w:r>
    </w:p>
    <w:p w14:paraId="7143F02D" w14:textId="1B3A822B" w:rsidR="000E169D" w:rsidRDefault="000E169D" w:rsidP="00AB7BF2">
      <w:pPr>
        <w:widowControl w:val="0"/>
        <w:numPr>
          <w:ilvl w:val="1"/>
          <w:numId w:val="1"/>
        </w:numPr>
        <w:spacing w:before="120" w:after="120"/>
        <w:rPr>
          <w:rFonts w:asciiTheme="minorHAnsi" w:hAnsiTheme="minorHAnsi"/>
          <w:bCs/>
          <w:snapToGrid w:val="0"/>
        </w:rPr>
      </w:pPr>
      <w:r>
        <w:rPr>
          <w:rFonts w:asciiTheme="minorHAnsi" w:hAnsiTheme="minorHAnsi"/>
          <w:bCs/>
          <w:snapToGrid w:val="0"/>
        </w:rPr>
        <w:t xml:space="preserve">Rare Cancers Australia </w:t>
      </w:r>
      <w:r w:rsidR="007A1F1F">
        <w:rPr>
          <w:rFonts w:asciiTheme="minorHAnsi" w:hAnsiTheme="minorHAnsi"/>
          <w:bCs/>
          <w:snapToGrid w:val="0"/>
        </w:rPr>
        <w:t xml:space="preserve">noted patients experience social, emotional and </w:t>
      </w:r>
      <w:r w:rsidR="00664FB2">
        <w:rPr>
          <w:rFonts w:asciiTheme="minorHAnsi" w:hAnsiTheme="minorHAnsi"/>
          <w:bCs/>
          <w:snapToGrid w:val="0"/>
        </w:rPr>
        <w:t>financial</w:t>
      </w:r>
      <w:r w:rsidR="007A1F1F">
        <w:rPr>
          <w:rFonts w:asciiTheme="minorHAnsi" w:hAnsiTheme="minorHAnsi"/>
          <w:bCs/>
          <w:snapToGrid w:val="0"/>
        </w:rPr>
        <w:t xml:space="preserve"> impacts due to their diagnosis</w:t>
      </w:r>
      <w:r w:rsidR="00645644">
        <w:rPr>
          <w:rFonts w:asciiTheme="minorHAnsi" w:hAnsiTheme="minorHAnsi"/>
          <w:bCs/>
          <w:snapToGrid w:val="0"/>
        </w:rPr>
        <w:t xml:space="preserve"> and welcomes the PBS listing of repotrectinib. </w:t>
      </w:r>
    </w:p>
    <w:p w14:paraId="03F40726" w14:textId="37346CEF" w:rsidR="000B2DAA" w:rsidRPr="000B2DAA" w:rsidRDefault="004D0F94" w:rsidP="00AB7BF2">
      <w:pPr>
        <w:widowControl w:val="0"/>
        <w:numPr>
          <w:ilvl w:val="1"/>
          <w:numId w:val="1"/>
        </w:numPr>
        <w:spacing w:before="120" w:after="120"/>
        <w:rPr>
          <w:rFonts w:asciiTheme="minorHAnsi" w:hAnsiTheme="minorHAnsi"/>
          <w:bCs/>
          <w:snapToGrid w:val="0"/>
        </w:rPr>
      </w:pPr>
      <w:r w:rsidRPr="000B2DAA">
        <w:rPr>
          <w:rFonts w:asciiTheme="minorHAnsi" w:hAnsiTheme="minorHAnsi"/>
          <w:bCs/>
          <w:snapToGrid w:val="0"/>
        </w:rPr>
        <w:lastRenderedPageBreak/>
        <w:t>The Thoracic Oncology Group of Australasia</w:t>
      </w:r>
      <w:r w:rsidR="00530233" w:rsidRPr="000B2DAA">
        <w:rPr>
          <w:rFonts w:asciiTheme="minorHAnsi" w:hAnsiTheme="minorHAnsi"/>
          <w:bCs/>
          <w:snapToGrid w:val="0"/>
        </w:rPr>
        <w:t xml:space="preserve"> </w:t>
      </w:r>
      <w:r w:rsidR="00BC5E12">
        <w:rPr>
          <w:rFonts w:asciiTheme="minorHAnsi" w:hAnsiTheme="minorHAnsi"/>
          <w:bCs/>
          <w:snapToGrid w:val="0"/>
        </w:rPr>
        <w:t xml:space="preserve">(TOGA) </w:t>
      </w:r>
      <w:r w:rsidR="00530233" w:rsidRPr="000B2DAA">
        <w:rPr>
          <w:rFonts w:asciiTheme="minorHAnsi" w:hAnsiTheme="minorHAnsi"/>
          <w:bCs/>
          <w:snapToGrid w:val="0"/>
        </w:rPr>
        <w:t xml:space="preserve">noted acquired resistance mutations develop in at least 50% of patients treated with entrectinib and </w:t>
      </w:r>
      <w:r w:rsidR="002A2377" w:rsidRPr="000B2DAA">
        <w:rPr>
          <w:rFonts w:asciiTheme="minorHAnsi" w:hAnsiTheme="minorHAnsi"/>
          <w:bCs/>
          <w:snapToGrid w:val="0"/>
        </w:rPr>
        <w:t>crizotinib</w:t>
      </w:r>
      <w:r w:rsidR="00BC5E12">
        <w:rPr>
          <w:rFonts w:asciiTheme="minorHAnsi" w:hAnsiTheme="minorHAnsi"/>
          <w:bCs/>
          <w:snapToGrid w:val="0"/>
        </w:rPr>
        <w:t>, limiting the</w:t>
      </w:r>
      <w:r w:rsidR="002A2377" w:rsidRPr="000B2DAA">
        <w:rPr>
          <w:rFonts w:asciiTheme="minorHAnsi" w:hAnsiTheme="minorHAnsi"/>
          <w:bCs/>
          <w:snapToGrid w:val="0"/>
        </w:rPr>
        <w:t xml:space="preserve"> durability of response.</w:t>
      </w:r>
      <w:r w:rsidR="00BC5E12">
        <w:rPr>
          <w:rFonts w:asciiTheme="minorHAnsi" w:hAnsiTheme="minorHAnsi"/>
          <w:bCs/>
          <w:snapToGrid w:val="0"/>
        </w:rPr>
        <w:t xml:space="preserve"> TOGA noted repotrectinib </w:t>
      </w:r>
      <w:r w:rsidR="00C57E38">
        <w:rPr>
          <w:rFonts w:asciiTheme="minorHAnsi" w:hAnsiTheme="minorHAnsi"/>
          <w:bCs/>
          <w:snapToGrid w:val="0"/>
        </w:rPr>
        <w:t xml:space="preserve">has clinical activity </w:t>
      </w:r>
      <w:r w:rsidR="000B2DAA" w:rsidRPr="00C57E38">
        <w:rPr>
          <w:rFonts w:asciiTheme="minorHAnsi" w:hAnsiTheme="minorHAnsi"/>
          <w:bCs/>
          <w:snapToGrid w:val="0"/>
        </w:rPr>
        <w:t>against</w:t>
      </w:r>
      <w:r w:rsidR="000B2DAA" w:rsidRPr="00C57E38">
        <w:rPr>
          <w:rFonts w:asciiTheme="minorHAnsi" w:hAnsiTheme="minorHAnsi"/>
          <w:bCs/>
          <w:i/>
          <w:iCs/>
          <w:snapToGrid w:val="0"/>
        </w:rPr>
        <w:t xml:space="preserve"> ROS1</w:t>
      </w:r>
      <w:r w:rsidR="000B2DAA" w:rsidRPr="00C57E38">
        <w:rPr>
          <w:rFonts w:asciiTheme="minorHAnsi" w:hAnsiTheme="minorHAnsi"/>
          <w:bCs/>
          <w:snapToGrid w:val="0"/>
        </w:rPr>
        <w:t xml:space="preserve">–positive NSCLC, including </w:t>
      </w:r>
      <w:r w:rsidR="00A22F6D">
        <w:rPr>
          <w:rFonts w:asciiTheme="minorHAnsi" w:hAnsiTheme="minorHAnsi"/>
          <w:bCs/>
          <w:snapToGrid w:val="0"/>
        </w:rPr>
        <w:t xml:space="preserve">the most common </w:t>
      </w:r>
      <w:r w:rsidR="000B2DAA" w:rsidRPr="00C57E38">
        <w:rPr>
          <w:rFonts w:asciiTheme="minorHAnsi" w:hAnsiTheme="minorHAnsi"/>
          <w:bCs/>
          <w:snapToGrid w:val="0"/>
        </w:rPr>
        <w:t>resistance mutations</w:t>
      </w:r>
      <w:r w:rsidR="00C57E38">
        <w:rPr>
          <w:rFonts w:asciiTheme="minorHAnsi" w:hAnsiTheme="minorHAnsi"/>
          <w:bCs/>
          <w:snapToGrid w:val="0"/>
        </w:rPr>
        <w:t xml:space="preserve">, detected in approximately a third of </w:t>
      </w:r>
      <w:r w:rsidR="00C57E38" w:rsidRPr="00C57E38">
        <w:rPr>
          <w:rFonts w:asciiTheme="minorHAnsi" w:hAnsiTheme="minorHAnsi"/>
          <w:bCs/>
          <w:i/>
          <w:iCs/>
          <w:snapToGrid w:val="0"/>
        </w:rPr>
        <w:t>ROS1</w:t>
      </w:r>
      <w:r w:rsidR="00C57E38">
        <w:rPr>
          <w:rFonts w:asciiTheme="minorHAnsi" w:hAnsiTheme="minorHAnsi"/>
          <w:bCs/>
          <w:snapToGrid w:val="0"/>
        </w:rPr>
        <w:t xml:space="preserve"> cases. </w:t>
      </w:r>
    </w:p>
    <w:p w14:paraId="75577477" w14:textId="34AF4630" w:rsidR="00163F2C" w:rsidRPr="00163F2C" w:rsidRDefault="00163F2C" w:rsidP="00AB7BF2">
      <w:pPr>
        <w:widowControl w:val="0"/>
        <w:numPr>
          <w:ilvl w:val="1"/>
          <w:numId w:val="1"/>
        </w:numPr>
        <w:spacing w:before="120" w:after="120"/>
        <w:rPr>
          <w:rFonts w:asciiTheme="minorHAnsi" w:hAnsiTheme="minorHAnsi"/>
          <w:bCs/>
          <w:snapToGrid w:val="0"/>
        </w:rPr>
      </w:pPr>
      <w:r w:rsidRPr="00163F2C">
        <w:rPr>
          <w:bCs/>
          <w:snapToGrid w:val="0"/>
        </w:rPr>
        <w:t xml:space="preserve">The Medical Oncology Group of Australia (MOGA) also expressed its strong support for the </w:t>
      </w:r>
      <w:r w:rsidR="00213045">
        <w:rPr>
          <w:bCs/>
          <w:snapToGrid w:val="0"/>
        </w:rPr>
        <w:t>repotrectinib</w:t>
      </w:r>
      <w:r w:rsidRPr="00163F2C">
        <w:rPr>
          <w:bCs/>
          <w:snapToGrid w:val="0"/>
        </w:rPr>
        <w:t xml:space="preserve"> submission, categorising it as one of the therapies of “high priority for PBS listing” on the basis of the </w:t>
      </w:r>
      <w:r w:rsidR="00213045">
        <w:rPr>
          <w:bCs/>
          <w:snapToGrid w:val="0"/>
        </w:rPr>
        <w:t>TRIDENT-1</w:t>
      </w:r>
      <w:r w:rsidRPr="00163F2C">
        <w:rPr>
          <w:bCs/>
          <w:snapToGrid w:val="0"/>
        </w:rPr>
        <w:t xml:space="preserve"> trial. The PBAC noted that the MOGA presented a European Society for Medical Oncology Magnitude of Clinical Benefit Scale (ESMO-MCBS) </w:t>
      </w:r>
      <w:r w:rsidR="00E274F7">
        <w:rPr>
          <w:bCs/>
          <w:snapToGrid w:val="0"/>
        </w:rPr>
        <w:t>rating of</w:t>
      </w:r>
      <w:r w:rsidRPr="00163F2C">
        <w:rPr>
          <w:bCs/>
          <w:snapToGrid w:val="0"/>
        </w:rPr>
        <w:t xml:space="preserve"> </w:t>
      </w:r>
      <w:r w:rsidR="00C41BDE">
        <w:rPr>
          <w:bCs/>
          <w:snapToGrid w:val="0"/>
        </w:rPr>
        <w:t>3</w:t>
      </w:r>
      <w:r w:rsidR="00C35BFF">
        <w:rPr>
          <w:bCs/>
          <w:snapToGrid w:val="0"/>
        </w:rPr>
        <w:t xml:space="preserve"> (</w:t>
      </w:r>
      <w:r w:rsidRPr="00163F2C">
        <w:rPr>
          <w:bCs/>
          <w:snapToGrid w:val="0"/>
        </w:rPr>
        <w:t>out of a maximum of 5, where 5 and 4 represent the grades with substantial improvement)</w:t>
      </w:r>
      <w:r w:rsidR="00E26DA4" w:rsidRPr="00E26DA4">
        <w:rPr>
          <w:rStyle w:val="FootnoteReference"/>
          <w:bCs/>
          <w:snapToGrid w:val="0"/>
        </w:rPr>
        <w:t xml:space="preserve"> </w:t>
      </w:r>
      <w:r w:rsidR="00E26DA4">
        <w:rPr>
          <w:rStyle w:val="FootnoteReference"/>
          <w:bCs/>
          <w:snapToGrid w:val="0"/>
        </w:rPr>
        <w:footnoteReference w:id="3"/>
      </w:r>
      <w:r w:rsidR="00FB447A">
        <w:rPr>
          <w:bCs/>
          <w:snapToGrid w:val="0"/>
        </w:rPr>
        <w:t xml:space="preserve">. </w:t>
      </w:r>
    </w:p>
    <w:p w14:paraId="609C0765" w14:textId="19ECC0F7" w:rsidR="00B60939" w:rsidRPr="0098262F" w:rsidRDefault="00B60939" w:rsidP="002E4F02">
      <w:pPr>
        <w:pStyle w:val="4-SubsectionHeading"/>
      </w:pPr>
      <w:r w:rsidRPr="0098262F">
        <w:t xml:space="preserve">Clinical </w:t>
      </w:r>
      <w:r w:rsidR="00D5243B" w:rsidRPr="0098262F">
        <w:t>studies</w:t>
      </w:r>
      <w:bookmarkEnd w:id="16"/>
      <w:bookmarkEnd w:id="17"/>
    </w:p>
    <w:p w14:paraId="16358CE2" w14:textId="66F41873" w:rsidR="00A32A55" w:rsidRPr="00A32A55" w:rsidRDefault="00A73134" w:rsidP="006E4155">
      <w:pPr>
        <w:pStyle w:val="3-BodyText"/>
        <w:rPr>
          <w:color w:val="0066FF"/>
        </w:rPr>
      </w:pPr>
      <w:r w:rsidRPr="0098262F">
        <w:t xml:space="preserve">The submission </w:t>
      </w:r>
      <w:r w:rsidR="00D5243B" w:rsidRPr="0098262F">
        <w:t>wa</w:t>
      </w:r>
      <w:r w:rsidRPr="0098262F">
        <w:t xml:space="preserve">s based on </w:t>
      </w:r>
      <w:r w:rsidR="00613A9B">
        <w:t xml:space="preserve">one </w:t>
      </w:r>
      <w:r w:rsidR="005D270E">
        <w:t xml:space="preserve">non-comparative, </w:t>
      </w:r>
      <w:r w:rsidR="00613A9B">
        <w:t xml:space="preserve">open-label, multicentre </w:t>
      </w:r>
      <w:r w:rsidR="001A6E2D">
        <w:t>p</w:t>
      </w:r>
      <w:r w:rsidR="00613A9B">
        <w:t xml:space="preserve">hase </w:t>
      </w:r>
      <w:r w:rsidR="009E1068">
        <w:t>1/2 trial of repotrectini</w:t>
      </w:r>
      <w:r w:rsidR="00494252">
        <w:t>b</w:t>
      </w:r>
      <w:r w:rsidR="00651BCA">
        <w:t>,</w:t>
      </w:r>
      <w:r w:rsidR="00494252">
        <w:t xml:space="preserve"> </w:t>
      </w:r>
      <w:r w:rsidR="00BA648D">
        <w:t xml:space="preserve">termed </w:t>
      </w:r>
      <w:r w:rsidR="009E1068">
        <w:t>TRIDENT-1</w:t>
      </w:r>
      <w:r w:rsidR="00BA648D">
        <w:t xml:space="preserve"> (</w:t>
      </w:r>
      <w:r w:rsidR="00644121">
        <w:t>p</w:t>
      </w:r>
      <w:r w:rsidR="00FB2BF0">
        <w:t>hase 2</w:t>
      </w:r>
      <w:r w:rsidR="00BA648D">
        <w:t xml:space="preserve">, </w:t>
      </w:r>
      <w:r w:rsidR="00F43B25">
        <w:t>n</w:t>
      </w:r>
      <w:r w:rsidR="00644121">
        <w:t> </w:t>
      </w:r>
      <w:r w:rsidR="00F43B25">
        <w:t>=</w:t>
      </w:r>
      <w:r w:rsidR="00644121">
        <w:t> </w:t>
      </w:r>
      <w:r w:rsidR="000D38F8">
        <w:t xml:space="preserve">63 participants; </w:t>
      </w:r>
      <w:r w:rsidR="00644121">
        <w:t>p</w:t>
      </w:r>
      <w:r w:rsidR="000D38F8">
        <w:t xml:space="preserve">hase 1 </w:t>
      </w:r>
      <w:r w:rsidR="00B32076">
        <w:t xml:space="preserve">+ </w:t>
      </w:r>
      <w:r w:rsidR="00644121">
        <w:t>p</w:t>
      </w:r>
      <w:r w:rsidR="000D38F8">
        <w:t>hase 2</w:t>
      </w:r>
      <w:r w:rsidR="00B32076">
        <w:t>, n</w:t>
      </w:r>
      <w:r w:rsidR="00644121">
        <w:t> </w:t>
      </w:r>
      <w:r w:rsidR="00B32076">
        <w:t>=</w:t>
      </w:r>
      <w:r w:rsidR="00644121">
        <w:t> </w:t>
      </w:r>
      <w:r w:rsidR="00B32076">
        <w:t>71 parti</w:t>
      </w:r>
      <w:r w:rsidR="008303A5">
        <w:t>cipants</w:t>
      </w:r>
      <w:r w:rsidR="009E1068">
        <w:t>)</w:t>
      </w:r>
      <w:r w:rsidR="00395E97">
        <w:t>; and</w:t>
      </w:r>
      <w:r w:rsidR="00400F82">
        <w:t xml:space="preserve"> two non-comparative</w:t>
      </w:r>
      <w:r w:rsidR="00935668">
        <w:t xml:space="preserve"> </w:t>
      </w:r>
      <w:r w:rsidR="00811611">
        <w:t>studies</w:t>
      </w:r>
      <w:r w:rsidR="00B97AEF">
        <w:t xml:space="preserve"> of </w:t>
      </w:r>
      <w:r w:rsidR="001E6DDC">
        <w:t>entrectinib</w:t>
      </w:r>
      <w:r w:rsidR="00462CC5">
        <w:t xml:space="preserve">, </w:t>
      </w:r>
      <w:r w:rsidR="00A4187B">
        <w:t xml:space="preserve">which consisted of an integrated analysis of </w:t>
      </w:r>
      <w:r w:rsidR="00395E97">
        <w:t xml:space="preserve">the </w:t>
      </w:r>
      <w:r w:rsidR="00C90848" w:rsidRPr="00C90848">
        <w:t>ALKA, STARTRK</w:t>
      </w:r>
      <w:r w:rsidR="009908E0">
        <w:t>-</w:t>
      </w:r>
      <w:r w:rsidR="00C90848" w:rsidRPr="00C90848">
        <w:t>1 and STARTRK</w:t>
      </w:r>
      <w:r w:rsidR="009908E0">
        <w:t>-</w:t>
      </w:r>
      <w:r w:rsidR="00C90848" w:rsidRPr="00C90848">
        <w:t>2</w:t>
      </w:r>
      <w:r w:rsidR="00413928">
        <w:t xml:space="preserve"> </w:t>
      </w:r>
      <w:r w:rsidR="00C90848" w:rsidRPr="00C90848">
        <w:t>studies</w:t>
      </w:r>
      <w:r w:rsidR="00413928">
        <w:t xml:space="preserve"> (n</w:t>
      </w:r>
      <w:r w:rsidR="00395E97">
        <w:t> </w:t>
      </w:r>
      <w:r w:rsidR="00413928">
        <w:t>=</w:t>
      </w:r>
      <w:r w:rsidR="00395E97">
        <w:t> </w:t>
      </w:r>
      <w:r w:rsidR="00413928">
        <w:t>172 pooled participants)</w:t>
      </w:r>
      <w:r w:rsidR="00C90848" w:rsidRPr="00C90848">
        <w:t xml:space="preserve"> and the BFAST stud</w:t>
      </w:r>
      <w:r w:rsidR="006523B6">
        <w:t>y</w:t>
      </w:r>
      <w:r w:rsidR="00B96325">
        <w:t xml:space="preserve"> </w:t>
      </w:r>
      <w:r w:rsidR="0084142F">
        <w:t>(n</w:t>
      </w:r>
      <w:r w:rsidR="00075C3E">
        <w:t> </w:t>
      </w:r>
      <w:r w:rsidR="0084142F">
        <w:t>=</w:t>
      </w:r>
      <w:r w:rsidR="00075C3E">
        <w:t> </w:t>
      </w:r>
      <w:r w:rsidR="0084142F">
        <w:t>55</w:t>
      </w:r>
      <w:r w:rsidR="00DC3965">
        <w:t xml:space="preserve"> participants</w:t>
      </w:r>
      <w:r w:rsidR="0084142F">
        <w:t>)</w:t>
      </w:r>
      <w:r w:rsidR="00C90848">
        <w:t>.</w:t>
      </w:r>
    </w:p>
    <w:p w14:paraId="16AFE581" w14:textId="0AE817C1" w:rsidR="00D01D8D" w:rsidRPr="00FB42EB" w:rsidRDefault="00D01D8D" w:rsidP="006E4155">
      <w:pPr>
        <w:pStyle w:val="3-BodyText"/>
        <w:rPr>
          <w:color w:val="0066FF"/>
        </w:rPr>
      </w:pPr>
      <w:r w:rsidRPr="00D90AE0">
        <w:t xml:space="preserve">Two efficacy analysis sets </w:t>
      </w:r>
      <w:r>
        <w:t>we</w:t>
      </w:r>
      <w:r w:rsidRPr="00D90AE0">
        <w:t>re reported</w:t>
      </w:r>
      <w:r>
        <w:t xml:space="preserve"> from TRIDENT-1:</w:t>
      </w:r>
      <w:r w:rsidRPr="00D90AE0">
        <w:t xml:space="preserve"> </w:t>
      </w:r>
      <w:r>
        <w:t>n </w:t>
      </w:r>
      <w:r w:rsidRPr="00D90AE0">
        <w:t>=</w:t>
      </w:r>
      <w:r>
        <w:t> </w:t>
      </w:r>
      <w:r w:rsidRPr="00D90AE0">
        <w:t xml:space="preserve">63 from the </w:t>
      </w:r>
      <w:r>
        <w:t>p</w:t>
      </w:r>
      <w:r w:rsidRPr="00D90AE0">
        <w:t>hase 2 component</w:t>
      </w:r>
      <w:r>
        <w:t>,</w:t>
      </w:r>
      <w:r w:rsidRPr="00D90AE0">
        <w:t xml:space="preserve"> and </w:t>
      </w:r>
      <w:r>
        <w:t>n </w:t>
      </w:r>
      <w:r w:rsidRPr="00D90AE0">
        <w:t>=</w:t>
      </w:r>
      <w:r w:rsidR="00BF0E57">
        <w:t xml:space="preserve"> </w:t>
      </w:r>
      <w:r w:rsidRPr="00D90AE0">
        <w:t>7</w:t>
      </w:r>
      <w:r w:rsidR="00BF0E57">
        <w:t>1</w:t>
      </w:r>
      <w:r>
        <w:t xml:space="preserve">, </w:t>
      </w:r>
      <w:r w:rsidRPr="00D90AE0">
        <w:t xml:space="preserve">which includes all 63 patients from the </w:t>
      </w:r>
      <w:r>
        <w:t>p</w:t>
      </w:r>
      <w:r w:rsidRPr="00D90AE0">
        <w:t xml:space="preserve">hase 2 component plus an additional 8 patients who received the recommended </w:t>
      </w:r>
      <w:r>
        <w:t>p</w:t>
      </w:r>
      <w:r w:rsidRPr="00D90AE0">
        <w:t xml:space="preserve">hase 2 dose during the </w:t>
      </w:r>
      <w:r>
        <w:t>p</w:t>
      </w:r>
      <w:r w:rsidRPr="00D90AE0">
        <w:t>hase 1 component.</w:t>
      </w:r>
    </w:p>
    <w:p w14:paraId="2B59ABAC" w14:textId="13F6A6EA" w:rsidR="00862502" w:rsidRPr="0098262F" w:rsidRDefault="00A73134" w:rsidP="006E4155">
      <w:pPr>
        <w:pStyle w:val="3-BodyText"/>
      </w:pPr>
      <w:r w:rsidRPr="0098262F">
        <w:t xml:space="preserve">Details of the trials presented in the submission are provided in </w:t>
      </w:r>
      <w:r w:rsidR="00F051DC">
        <w:fldChar w:fldCharType="begin"/>
      </w:r>
      <w:r w:rsidR="00F051DC">
        <w:instrText xml:space="preserve"> REF _Ref104803956 \h </w:instrText>
      </w:r>
      <w:r w:rsidR="00F051DC">
        <w:fldChar w:fldCharType="separate"/>
      </w:r>
      <w:r w:rsidR="00D32E93" w:rsidRPr="00F051DC">
        <w:t xml:space="preserve">Table </w:t>
      </w:r>
      <w:r w:rsidR="00D32E93">
        <w:rPr>
          <w:noProof/>
        </w:rPr>
        <w:t>2</w:t>
      </w:r>
      <w:r w:rsidR="00F051DC">
        <w:fldChar w:fldCharType="end"/>
      </w:r>
      <w:r w:rsidR="00F051DC">
        <w:t>.</w:t>
      </w:r>
    </w:p>
    <w:p w14:paraId="7DE3A286" w14:textId="5DFCB1A7" w:rsidR="008E0D3C" w:rsidRPr="0098262F" w:rsidRDefault="00F051DC" w:rsidP="00F051DC">
      <w:pPr>
        <w:pStyle w:val="Caption"/>
        <w:jc w:val="left"/>
        <w:rPr>
          <w:rStyle w:val="CommentReference"/>
          <w:b/>
          <w:szCs w:val="24"/>
        </w:rPr>
      </w:pPr>
      <w:bookmarkStart w:id="18" w:name="_Ref104803956"/>
      <w:r w:rsidRPr="00F051DC">
        <w:lastRenderedPageBreak/>
        <w:t xml:space="preserve">Table </w:t>
      </w:r>
      <w:r w:rsidR="00C72CC6">
        <w:fldChar w:fldCharType="begin"/>
      </w:r>
      <w:r w:rsidR="00C72CC6">
        <w:instrText xml:space="preserve"> SEQ Table \* ARABIC </w:instrText>
      </w:r>
      <w:r w:rsidR="00C72CC6">
        <w:fldChar w:fldCharType="separate"/>
      </w:r>
      <w:r w:rsidR="00D32E93">
        <w:rPr>
          <w:noProof/>
        </w:rPr>
        <w:t>2</w:t>
      </w:r>
      <w:r w:rsidR="00C72CC6">
        <w:rPr>
          <w:noProof/>
        </w:rPr>
        <w:fldChar w:fldCharType="end"/>
      </w:r>
      <w:bookmarkEnd w:id="18"/>
      <w:r w:rsidRPr="00F051DC">
        <w:t xml:space="preserve">: </w:t>
      </w:r>
      <w:r w:rsidR="00643AC6" w:rsidRPr="00F051DC">
        <w:rPr>
          <w:rStyle w:val="CommentReference"/>
          <w:b/>
          <w:szCs w:val="24"/>
        </w:rPr>
        <w:t>S</w:t>
      </w:r>
      <w:r w:rsidR="00D5243B" w:rsidRPr="00F051DC">
        <w:rPr>
          <w:rStyle w:val="CommentReference"/>
          <w:b/>
          <w:szCs w:val="24"/>
        </w:rPr>
        <w:t>tudies</w:t>
      </w:r>
      <w:r w:rsidR="008E0D3C" w:rsidRPr="00F051DC">
        <w:rPr>
          <w:rStyle w:val="CommentReference"/>
          <w:b/>
          <w:szCs w:val="24"/>
        </w:rPr>
        <w:t xml:space="preserve"> and associated reports presented in the submission</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648"/>
        <w:gridCol w:w="2125"/>
      </w:tblGrid>
      <w:tr w:rsidR="008E0D3C" w:rsidRPr="0098262F" w14:paraId="6ACD35C4" w14:textId="77777777" w:rsidTr="00BB73A9">
        <w:trPr>
          <w:cantSplit/>
          <w:tblHeader/>
        </w:trPr>
        <w:tc>
          <w:tcPr>
            <w:tcW w:w="779" w:type="pct"/>
            <w:vAlign w:val="center"/>
          </w:tcPr>
          <w:p w14:paraId="20DEEB23" w14:textId="77777777" w:rsidR="008E0D3C" w:rsidRPr="0098262F" w:rsidRDefault="008E0D3C" w:rsidP="00EC5836">
            <w:pPr>
              <w:pStyle w:val="In-tableHeading"/>
              <w:jc w:val="center"/>
              <w:rPr>
                <w:lang w:val="en-AU"/>
              </w:rPr>
            </w:pPr>
            <w:r w:rsidRPr="0098262F">
              <w:rPr>
                <w:lang w:val="en-AU"/>
              </w:rPr>
              <w:t>Trial ID</w:t>
            </w:r>
          </w:p>
        </w:tc>
        <w:tc>
          <w:tcPr>
            <w:tcW w:w="3067" w:type="pct"/>
            <w:vAlign w:val="center"/>
          </w:tcPr>
          <w:p w14:paraId="22EF6C51" w14:textId="723439B3" w:rsidR="008E0D3C" w:rsidRPr="0098262F" w:rsidRDefault="008E0D3C" w:rsidP="002E4F02">
            <w:pPr>
              <w:pStyle w:val="In-tableHeading"/>
              <w:rPr>
                <w:lang w:val="en-AU"/>
              </w:rPr>
            </w:pPr>
            <w:r w:rsidRPr="0098262F">
              <w:rPr>
                <w:lang w:val="en-AU"/>
              </w:rPr>
              <w:t>Protocol/</w:t>
            </w:r>
            <w:r w:rsidR="007E3184">
              <w:rPr>
                <w:lang w:val="en-AU"/>
              </w:rPr>
              <w:t>p</w:t>
            </w:r>
            <w:r w:rsidRPr="0098262F">
              <w:rPr>
                <w:lang w:val="en-AU"/>
              </w:rPr>
              <w:t>ublication title</w:t>
            </w:r>
          </w:p>
        </w:tc>
        <w:tc>
          <w:tcPr>
            <w:tcW w:w="1155" w:type="pct"/>
            <w:vAlign w:val="center"/>
          </w:tcPr>
          <w:p w14:paraId="561B27A8" w14:textId="6D21B92A" w:rsidR="008E0D3C" w:rsidRPr="0098262F" w:rsidRDefault="008E0D3C" w:rsidP="002E4F02">
            <w:pPr>
              <w:pStyle w:val="In-tableHeading"/>
              <w:rPr>
                <w:lang w:val="en-AU"/>
              </w:rPr>
            </w:pPr>
            <w:r w:rsidRPr="0098262F">
              <w:rPr>
                <w:lang w:val="en-AU"/>
              </w:rPr>
              <w:t xml:space="preserve">Publication </w:t>
            </w:r>
            <w:r w:rsidR="005270FA">
              <w:rPr>
                <w:lang w:val="en-AU"/>
              </w:rPr>
              <w:t>type;</w:t>
            </w:r>
            <w:r w:rsidRPr="0098262F">
              <w:rPr>
                <w:lang w:val="en-AU"/>
              </w:rPr>
              <w:t xml:space="preserve"> citation</w:t>
            </w:r>
          </w:p>
        </w:tc>
      </w:tr>
      <w:tr w:rsidR="00282C5F" w:rsidRPr="0098262F" w14:paraId="5A9AB4CD" w14:textId="77777777" w:rsidTr="00BB73A9">
        <w:trPr>
          <w:cantSplit/>
          <w:trHeight w:val="54"/>
        </w:trPr>
        <w:tc>
          <w:tcPr>
            <w:tcW w:w="5000" w:type="pct"/>
            <w:gridSpan w:val="3"/>
            <w:vAlign w:val="center"/>
          </w:tcPr>
          <w:p w14:paraId="37EEAE1F" w14:textId="702A4C0B" w:rsidR="00282C5F" w:rsidRPr="00282C5F" w:rsidRDefault="00282C5F" w:rsidP="00EC5836">
            <w:pPr>
              <w:pStyle w:val="TableText0"/>
              <w:rPr>
                <w:b/>
                <w:bCs w:val="0"/>
              </w:rPr>
            </w:pPr>
            <w:r w:rsidRPr="00282C5F">
              <w:rPr>
                <w:b/>
                <w:bCs w:val="0"/>
              </w:rPr>
              <w:t>Repotrectinib</w:t>
            </w:r>
          </w:p>
        </w:tc>
      </w:tr>
      <w:tr w:rsidR="003C592B" w:rsidRPr="0098262F" w14:paraId="298351BA" w14:textId="77777777" w:rsidTr="00BB73A9">
        <w:trPr>
          <w:cantSplit/>
          <w:trHeight w:val="928"/>
        </w:trPr>
        <w:tc>
          <w:tcPr>
            <w:tcW w:w="779" w:type="pct"/>
            <w:vMerge w:val="restart"/>
            <w:vAlign w:val="center"/>
          </w:tcPr>
          <w:p w14:paraId="11A226F4" w14:textId="77777777" w:rsidR="003C592B" w:rsidRDefault="003C592B" w:rsidP="00FA2B60">
            <w:pPr>
              <w:pStyle w:val="TableText0"/>
              <w:jc w:val="center"/>
            </w:pPr>
            <w:r>
              <w:t>TRIDENT-1</w:t>
            </w:r>
          </w:p>
          <w:p w14:paraId="5D9482F5" w14:textId="14BD1C29" w:rsidR="003C592B" w:rsidRPr="0098262F" w:rsidRDefault="003C592B" w:rsidP="00EC5836">
            <w:pPr>
              <w:pStyle w:val="TableText0"/>
              <w:jc w:val="center"/>
              <w:rPr>
                <w:szCs w:val="20"/>
              </w:rPr>
            </w:pPr>
            <w:r>
              <w:t>(NCT03093166)</w:t>
            </w:r>
          </w:p>
        </w:tc>
        <w:tc>
          <w:tcPr>
            <w:tcW w:w="3067" w:type="pct"/>
            <w:tcBorders>
              <w:bottom w:val="nil"/>
            </w:tcBorders>
            <w:vAlign w:val="center"/>
          </w:tcPr>
          <w:p w14:paraId="2570DA6E" w14:textId="14892547" w:rsidR="003C592B" w:rsidRPr="0098262F" w:rsidRDefault="003C592B" w:rsidP="00EC5836">
            <w:pPr>
              <w:pStyle w:val="TableText0"/>
            </w:pPr>
            <w:r>
              <w:t xml:space="preserve">Bristol-Myers Squib. A </w:t>
            </w:r>
            <w:r w:rsidR="00B10BFC">
              <w:t>p</w:t>
            </w:r>
            <w:r w:rsidRPr="007E5337">
              <w:t xml:space="preserve">hase 1/2, </w:t>
            </w:r>
            <w:r w:rsidR="00B10BFC">
              <w:t>o</w:t>
            </w:r>
            <w:r w:rsidRPr="007E5337">
              <w:t>pen-</w:t>
            </w:r>
            <w:r w:rsidR="00B10BFC">
              <w:t>l</w:t>
            </w:r>
            <w:r w:rsidRPr="007E5337">
              <w:t xml:space="preserve">abel, </w:t>
            </w:r>
            <w:r w:rsidR="00B10BFC">
              <w:t>m</w:t>
            </w:r>
            <w:r w:rsidRPr="007E5337">
              <w:t>ulti-</w:t>
            </w:r>
            <w:proofErr w:type="spellStart"/>
            <w:r w:rsidR="00B10BFC">
              <w:t>c</w:t>
            </w:r>
            <w:r w:rsidRPr="007E5337">
              <w:t>enter</w:t>
            </w:r>
            <w:proofErr w:type="spellEnd"/>
            <w:r w:rsidRPr="007E5337">
              <w:t xml:space="preserve">, </w:t>
            </w:r>
            <w:r w:rsidR="00B10BFC">
              <w:t>f</w:t>
            </w:r>
            <w:r w:rsidRPr="007E5337">
              <w:t>irst-in-</w:t>
            </w:r>
            <w:r w:rsidR="00B10BFC">
              <w:t>h</w:t>
            </w:r>
            <w:r w:rsidRPr="007E5337">
              <w:t xml:space="preserve">uman </w:t>
            </w:r>
            <w:r w:rsidR="00B10BFC">
              <w:t>s</w:t>
            </w:r>
            <w:r w:rsidRPr="007E5337">
              <w:t xml:space="preserve">tudy of the </w:t>
            </w:r>
            <w:r w:rsidR="00B10BFC">
              <w:t>s</w:t>
            </w:r>
            <w:r w:rsidRPr="007E5337">
              <w:t xml:space="preserve">afety, </w:t>
            </w:r>
            <w:r w:rsidR="00B10BFC">
              <w:t>t</w:t>
            </w:r>
            <w:r w:rsidRPr="007E5337">
              <w:t xml:space="preserve">olerability, </w:t>
            </w:r>
            <w:r w:rsidR="00B10BFC">
              <w:t>p</w:t>
            </w:r>
            <w:r w:rsidRPr="007E5337">
              <w:t>harmacokinetics</w:t>
            </w:r>
            <w:r w:rsidR="00291D66">
              <w:t>,</w:t>
            </w:r>
            <w:r w:rsidRPr="007E5337">
              <w:t xml:space="preserve"> and </w:t>
            </w:r>
            <w:r w:rsidR="00B10BFC">
              <w:t>a</w:t>
            </w:r>
            <w:r w:rsidRPr="007E5337">
              <w:t>nti-</w:t>
            </w:r>
            <w:proofErr w:type="spellStart"/>
            <w:r w:rsidR="00B10BFC">
              <w:t>t</w:t>
            </w:r>
            <w:r w:rsidRPr="007E5337">
              <w:t>umor</w:t>
            </w:r>
            <w:proofErr w:type="spellEnd"/>
            <w:r w:rsidRPr="007E5337">
              <w:t xml:space="preserve"> </w:t>
            </w:r>
            <w:r w:rsidR="00B10BFC">
              <w:t>a</w:t>
            </w:r>
            <w:r w:rsidRPr="007E5337">
              <w:t xml:space="preserve">ctivity of TPX-0005 in </w:t>
            </w:r>
            <w:r w:rsidR="00B10BFC">
              <w:t>p</w:t>
            </w:r>
            <w:r w:rsidRPr="007E5337">
              <w:t xml:space="preserve">atients with </w:t>
            </w:r>
            <w:r w:rsidR="00B10BFC">
              <w:t>a</w:t>
            </w:r>
            <w:r w:rsidRPr="007E5337">
              <w:t xml:space="preserve">dvanced </w:t>
            </w:r>
            <w:r w:rsidR="00B10BFC">
              <w:t>s</w:t>
            </w:r>
            <w:r w:rsidRPr="007E5337">
              <w:t xml:space="preserve">olid </w:t>
            </w:r>
            <w:proofErr w:type="spellStart"/>
            <w:r w:rsidR="00B10BFC">
              <w:t>t</w:t>
            </w:r>
            <w:r w:rsidRPr="007E5337">
              <w:t>umors</w:t>
            </w:r>
            <w:proofErr w:type="spellEnd"/>
            <w:r w:rsidRPr="007E5337">
              <w:t xml:space="preserve"> </w:t>
            </w:r>
            <w:proofErr w:type="spellStart"/>
            <w:r w:rsidR="00B10BFC">
              <w:t>h</w:t>
            </w:r>
            <w:r w:rsidRPr="007E5337">
              <w:t>arboring</w:t>
            </w:r>
            <w:proofErr w:type="spellEnd"/>
            <w:r w:rsidRPr="007E5337">
              <w:t xml:space="preserve"> ALK, ROS1, or NTRK1-3 </w:t>
            </w:r>
            <w:r w:rsidR="00B10BFC">
              <w:t>r</w:t>
            </w:r>
            <w:r w:rsidRPr="007E5337">
              <w:t>earrangements (TRIDENT-1), Addendum 01</w:t>
            </w:r>
          </w:p>
        </w:tc>
        <w:tc>
          <w:tcPr>
            <w:tcW w:w="1155" w:type="pct"/>
            <w:tcBorders>
              <w:bottom w:val="nil"/>
            </w:tcBorders>
            <w:vAlign w:val="center"/>
          </w:tcPr>
          <w:p w14:paraId="7578773D" w14:textId="1FEB5D20" w:rsidR="003C592B" w:rsidRPr="00091649" w:rsidRDefault="003C592B" w:rsidP="00EC5836">
            <w:pPr>
              <w:pStyle w:val="TableText0"/>
              <w:rPr>
                <w:rFonts w:ascii="Times" w:hAnsi="Times"/>
              </w:rPr>
            </w:pPr>
            <w:r w:rsidRPr="00091649">
              <w:t>CSR; 15 August 2023</w:t>
            </w:r>
          </w:p>
        </w:tc>
      </w:tr>
      <w:tr w:rsidR="003C592B" w:rsidRPr="0098262F" w14:paraId="7F06C7BE" w14:textId="77777777" w:rsidTr="00BB73A9">
        <w:trPr>
          <w:cantSplit/>
        </w:trPr>
        <w:tc>
          <w:tcPr>
            <w:tcW w:w="779" w:type="pct"/>
            <w:vMerge/>
            <w:vAlign w:val="center"/>
          </w:tcPr>
          <w:p w14:paraId="2DE31C12" w14:textId="7BFA1DAD" w:rsidR="003C592B" w:rsidRPr="0098262F" w:rsidRDefault="003C592B" w:rsidP="00EC5836">
            <w:pPr>
              <w:pStyle w:val="TableText0"/>
              <w:jc w:val="center"/>
            </w:pPr>
          </w:p>
        </w:tc>
        <w:tc>
          <w:tcPr>
            <w:tcW w:w="3067" w:type="pct"/>
            <w:tcBorders>
              <w:top w:val="nil"/>
              <w:bottom w:val="nil"/>
            </w:tcBorders>
            <w:vAlign w:val="center"/>
          </w:tcPr>
          <w:p w14:paraId="7CB8ADA9" w14:textId="0F911798" w:rsidR="003C592B" w:rsidRPr="0098262F" w:rsidRDefault="003C592B" w:rsidP="00C8303F">
            <w:pPr>
              <w:pStyle w:val="TableText0"/>
            </w:pPr>
            <w:r w:rsidRPr="00C23F96">
              <w:t>Bristol-Myers Squib</w:t>
            </w:r>
            <w:r>
              <w:t xml:space="preserve">. </w:t>
            </w:r>
            <w:r w:rsidRPr="004053BC">
              <w:t xml:space="preserve">A </w:t>
            </w:r>
            <w:r w:rsidR="00291D66">
              <w:t>p</w:t>
            </w:r>
            <w:r w:rsidRPr="004053BC">
              <w:t xml:space="preserve">hase 1/2, </w:t>
            </w:r>
            <w:r w:rsidR="00291D66">
              <w:t>o</w:t>
            </w:r>
            <w:r w:rsidRPr="004053BC">
              <w:t>pen-</w:t>
            </w:r>
            <w:r w:rsidR="00291D66">
              <w:t>l</w:t>
            </w:r>
            <w:r w:rsidRPr="004053BC">
              <w:t xml:space="preserve">abel, </w:t>
            </w:r>
            <w:r w:rsidR="00291D66">
              <w:t>m</w:t>
            </w:r>
            <w:r w:rsidRPr="004053BC">
              <w:t>ulti-</w:t>
            </w:r>
            <w:proofErr w:type="spellStart"/>
            <w:r w:rsidR="00291D66">
              <w:t>c</w:t>
            </w:r>
            <w:r w:rsidRPr="004053BC">
              <w:t>enter</w:t>
            </w:r>
            <w:proofErr w:type="spellEnd"/>
            <w:r w:rsidRPr="004053BC">
              <w:t xml:space="preserve">, </w:t>
            </w:r>
            <w:r w:rsidR="004626A6">
              <w:t>f</w:t>
            </w:r>
            <w:r w:rsidRPr="004053BC">
              <w:t>irst-in-</w:t>
            </w:r>
            <w:r w:rsidR="004626A6">
              <w:t>h</w:t>
            </w:r>
            <w:r w:rsidRPr="004053BC">
              <w:t xml:space="preserve">uman </w:t>
            </w:r>
            <w:r w:rsidR="004626A6">
              <w:t>s</w:t>
            </w:r>
            <w:r w:rsidRPr="004053BC">
              <w:t xml:space="preserve">tudy of the </w:t>
            </w:r>
            <w:r w:rsidR="004626A6">
              <w:t>s</w:t>
            </w:r>
            <w:r w:rsidRPr="004053BC">
              <w:t xml:space="preserve">afety, </w:t>
            </w:r>
            <w:r w:rsidR="004626A6">
              <w:t>t</w:t>
            </w:r>
            <w:r w:rsidRPr="004053BC">
              <w:t xml:space="preserve">olerability, </w:t>
            </w:r>
            <w:r w:rsidR="004626A6">
              <w:t>p</w:t>
            </w:r>
            <w:r w:rsidRPr="004053BC">
              <w:t xml:space="preserve">harmacokinetics, and </w:t>
            </w:r>
            <w:r w:rsidR="004626A6">
              <w:t>a</w:t>
            </w:r>
            <w:r w:rsidRPr="004053BC">
              <w:t>nti-</w:t>
            </w:r>
            <w:proofErr w:type="spellStart"/>
            <w:r w:rsidR="004626A6">
              <w:t>t</w:t>
            </w:r>
            <w:r w:rsidRPr="004053BC">
              <w:t>umor</w:t>
            </w:r>
            <w:proofErr w:type="spellEnd"/>
            <w:r w:rsidRPr="004053BC">
              <w:t xml:space="preserve"> </w:t>
            </w:r>
            <w:r w:rsidR="004626A6">
              <w:t>a</w:t>
            </w:r>
            <w:r w:rsidRPr="004053BC">
              <w:t xml:space="preserve">ctivity of TPX-0005 in </w:t>
            </w:r>
            <w:r w:rsidR="004626A6">
              <w:t>p</w:t>
            </w:r>
            <w:r w:rsidRPr="004053BC">
              <w:t xml:space="preserve">atients with </w:t>
            </w:r>
            <w:r w:rsidR="004626A6">
              <w:t>a</w:t>
            </w:r>
            <w:r w:rsidRPr="004053BC">
              <w:t xml:space="preserve">dvanced </w:t>
            </w:r>
            <w:r w:rsidR="004626A6">
              <w:t>s</w:t>
            </w:r>
            <w:r w:rsidRPr="004053BC">
              <w:t xml:space="preserve">olid </w:t>
            </w:r>
            <w:proofErr w:type="spellStart"/>
            <w:r w:rsidR="004626A6">
              <w:t>t</w:t>
            </w:r>
            <w:r w:rsidRPr="004053BC">
              <w:t>umors</w:t>
            </w:r>
            <w:proofErr w:type="spellEnd"/>
            <w:r w:rsidRPr="004053BC">
              <w:t xml:space="preserve"> </w:t>
            </w:r>
            <w:proofErr w:type="spellStart"/>
            <w:r w:rsidR="004626A6">
              <w:t>h</w:t>
            </w:r>
            <w:r w:rsidRPr="004053BC">
              <w:t>arboring</w:t>
            </w:r>
            <w:proofErr w:type="spellEnd"/>
            <w:r w:rsidRPr="004053BC">
              <w:t xml:space="preserve"> ALK, ROS1, or NTRK1-3 </w:t>
            </w:r>
            <w:r w:rsidR="00C14D6A">
              <w:t>r</w:t>
            </w:r>
            <w:r w:rsidRPr="004053BC">
              <w:t>earrangements (TRIDENT-1), Addendum 02</w:t>
            </w:r>
          </w:p>
        </w:tc>
        <w:tc>
          <w:tcPr>
            <w:tcW w:w="1155" w:type="pct"/>
            <w:tcBorders>
              <w:top w:val="nil"/>
              <w:bottom w:val="nil"/>
            </w:tcBorders>
            <w:vAlign w:val="center"/>
          </w:tcPr>
          <w:p w14:paraId="53EB2567" w14:textId="0E8402E5" w:rsidR="003C592B" w:rsidRPr="00091649" w:rsidRDefault="003C592B" w:rsidP="00EC5836">
            <w:pPr>
              <w:pStyle w:val="TableText0"/>
            </w:pPr>
            <w:r w:rsidRPr="00091649">
              <w:t xml:space="preserve">CSR; 20 September 2024 </w:t>
            </w:r>
          </w:p>
        </w:tc>
      </w:tr>
      <w:tr w:rsidR="003C592B" w:rsidRPr="0098262F" w14:paraId="28A72EC8" w14:textId="77777777" w:rsidTr="00BB73A9">
        <w:trPr>
          <w:cantSplit/>
        </w:trPr>
        <w:tc>
          <w:tcPr>
            <w:tcW w:w="779" w:type="pct"/>
            <w:vMerge/>
            <w:vAlign w:val="center"/>
          </w:tcPr>
          <w:p w14:paraId="4229B05F" w14:textId="77777777" w:rsidR="003C592B" w:rsidRPr="0098262F" w:rsidRDefault="003C592B" w:rsidP="00EC5836">
            <w:pPr>
              <w:pStyle w:val="TableText0"/>
              <w:jc w:val="center"/>
            </w:pPr>
          </w:p>
        </w:tc>
        <w:tc>
          <w:tcPr>
            <w:tcW w:w="3067" w:type="pct"/>
            <w:tcBorders>
              <w:top w:val="nil"/>
              <w:bottom w:val="nil"/>
            </w:tcBorders>
            <w:vAlign w:val="center"/>
          </w:tcPr>
          <w:p w14:paraId="545FF92A" w14:textId="22DADF59" w:rsidR="003C592B" w:rsidRPr="0098262F" w:rsidRDefault="003C592B" w:rsidP="00EC5836">
            <w:pPr>
              <w:pStyle w:val="TableText0"/>
            </w:pPr>
            <w:r w:rsidRPr="00911CB6">
              <w:t xml:space="preserve">Drilon A, Camidge DR, Lin JJ, Kim SW, Solomon BJ, </w:t>
            </w:r>
            <w:proofErr w:type="spellStart"/>
            <w:r w:rsidRPr="00911CB6">
              <w:t>Dziadziuszko</w:t>
            </w:r>
            <w:proofErr w:type="spellEnd"/>
            <w:r w:rsidRPr="00911CB6">
              <w:t xml:space="preserve"> R, Besse B, Goto K, de Langen AJ, Wolf J and Lee KH, 2024. Repotrectinib in ROS1 </w:t>
            </w:r>
            <w:r w:rsidR="001F125D">
              <w:t>f</w:t>
            </w:r>
            <w:r w:rsidRPr="00911CB6">
              <w:t>usion-positive non-small-</w:t>
            </w:r>
            <w:r w:rsidR="001F125D">
              <w:t>c</w:t>
            </w:r>
            <w:r w:rsidRPr="00911CB6">
              <w:t>ell lung cancer.</w:t>
            </w:r>
          </w:p>
        </w:tc>
        <w:tc>
          <w:tcPr>
            <w:tcW w:w="1155" w:type="pct"/>
            <w:tcBorders>
              <w:top w:val="nil"/>
              <w:bottom w:val="nil"/>
            </w:tcBorders>
            <w:vAlign w:val="center"/>
          </w:tcPr>
          <w:p w14:paraId="00E69322" w14:textId="41B71F3E" w:rsidR="003C592B" w:rsidRPr="00091649" w:rsidRDefault="003C592B" w:rsidP="00EC5836">
            <w:pPr>
              <w:pStyle w:val="TableText0"/>
            </w:pPr>
            <w:r w:rsidRPr="00091649">
              <w:t>New England Journal of Medicine. 2024; 390(2), pp.118</w:t>
            </w:r>
            <w:r w:rsidR="001F125D">
              <w:t>–</w:t>
            </w:r>
            <w:r w:rsidRPr="00091649">
              <w:t>131.</w:t>
            </w:r>
          </w:p>
        </w:tc>
      </w:tr>
      <w:tr w:rsidR="003C592B" w:rsidRPr="0098262F" w14:paraId="7FEDA8C0" w14:textId="77777777" w:rsidTr="00BB73A9">
        <w:trPr>
          <w:cantSplit/>
        </w:trPr>
        <w:tc>
          <w:tcPr>
            <w:tcW w:w="779" w:type="pct"/>
            <w:vMerge/>
            <w:vAlign w:val="center"/>
          </w:tcPr>
          <w:p w14:paraId="6A310E32" w14:textId="77777777" w:rsidR="003C592B" w:rsidRPr="0098262F" w:rsidRDefault="003C592B" w:rsidP="00EC5836">
            <w:pPr>
              <w:pStyle w:val="TableText0"/>
              <w:jc w:val="center"/>
            </w:pPr>
          </w:p>
        </w:tc>
        <w:tc>
          <w:tcPr>
            <w:tcW w:w="3067" w:type="pct"/>
            <w:tcBorders>
              <w:top w:val="nil"/>
              <w:bottom w:val="single" w:sz="4" w:space="0" w:color="auto"/>
            </w:tcBorders>
            <w:vAlign w:val="center"/>
          </w:tcPr>
          <w:p w14:paraId="76FA7E7C" w14:textId="6D9C127C" w:rsidR="003C592B" w:rsidRPr="00911CB6" w:rsidRDefault="003C592B" w:rsidP="003C592B">
            <w:pPr>
              <w:pStyle w:val="Tabletext"/>
              <w:keepLines/>
            </w:pPr>
            <w:r w:rsidRPr="00235660">
              <w:rPr>
                <w:rFonts w:eastAsiaTheme="minorHAnsi"/>
              </w:rPr>
              <w:t>Drilon et al</w:t>
            </w:r>
            <w:r>
              <w:rPr>
                <w:rFonts w:eastAsiaTheme="minorHAnsi"/>
              </w:rPr>
              <w:t>.</w:t>
            </w:r>
            <w:r w:rsidR="00091649">
              <w:rPr>
                <w:rFonts w:eastAsiaTheme="minorHAnsi"/>
              </w:rPr>
              <w:t xml:space="preserve">, </w:t>
            </w:r>
            <w:r w:rsidRPr="00235660">
              <w:rPr>
                <w:rFonts w:eastAsiaTheme="minorHAnsi"/>
              </w:rPr>
              <w:t>2024</w:t>
            </w:r>
            <w:r w:rsidR="00091649">
              <w:rPr>
                <w:rFonts w:eastAsiaTheme="minorHAnsi"/>
              </w:rPr>
              <w:t>.</w:t>
            </w:r>
            <w:r>
              <w:rPr>
                <w:rFonts w:eastAsiaTheme="minorHAnsi"/>
              </w:rPr>
              <w:t xml:space="preserve"> </w:t>
            </w:r>
            <w:r w:rsidRPr="009E3380">
              <w:rPr>
                <w:rFonts w:eastAsiaTheme="minorHAnsi"/>
              </w:rPr>
              <w:t xml:space="preserve">Repotrectinib in tyrosine kinase inhibitor (TKI)-naïve patients (pts) with advanced </w:t>
            </w:r>
            <w:r w:rsidRPr="009E3380">
              <w:rPr>
                <w:rFonts w:eastAsiaTheme="minorHAnsi"/>
                <w:i/>
                <w:iCs/>
              </w:rPr>
              <w:t>ROS1</w:t>
            </w:r>
            <w:r w:rsidRPr="009E3380">
              <w:rPr>
                <w:rFonts w:eastAsiaTheme="minorHAnsi"/>
              </w:rPr>
              <w:t xml:space="preserve"> fusion-positive (</w:t>
            </w:r>
            <w:r w:rsidRPr="009E3380">
              <w:rPr>
                <w:rFonts w:eastAsiaTheme="minorHAnsi"/>
                <w:i/>
                <w:iCs/>
              </w:rPr>
              <w:t>ROS1+)</w:t>
            </w:r>
            <w:r w:rsidRPr="009E3380">
              <w:rPr>
                <w:rFonts w:eastAsiaTheme="minorHAnsi"/>
              </w:rPr>
              <w:t xml:space="preserve"> NSCLC in the phase 1/2 TRIDENT-1 trial: Clinical update, treatment beyond progression and subsequent therapies.</w:t>
            </w:r>
          </w:p>
        </w:tc>
        <w:tc>
          <w:tcPr>
            <w:tcW w:w="1155" w:type="pct"/>
            <w:tcBorders>
              <w:top w:val="nil"/>
              <w:bottom w:val="single" w:sz="4" w:space="0" w:color="auto"/>
            </w:tcBorders>
            <w:vAlign w:val="center"/>
          </w:tcPr>
          <w:p w14:paraId="02D35196" w14:textId="2936530F" w:rsidR="003C592B" w:rsidRPr="00091649" w:rsidRDefault="003C592B" w:rsidP="00EC5836">
            <w:pPr>
              <w:pStyle w:val="TableText0"/>
            </w:pPr>
            <w:r w:rsidRPr="00091649">
              <w:t xml:space="preserve">Conference abstract; </w:t>
            </w:r>
            <w:r w:rsidRPr="00091649">
              <w:rPr>
                <w:rFonts w:eastAsiaTheme="minorHAnsi"/>
              </w:rPr>
              <w:t>Journal Clinical Oncology 42, 8522</w:t>
            </w:r>
            <w:r w:rsidR="001F125D">
              <w:t>–</w:t>
            </w:r>
            <w:r w:rsidRPr="00091649">
              <w:rPr>
                <w:rFonts w:eastAsiaTheme="minorHAnsi"/>
              </w:rPr>
              <w:t>8522.</w:t>
            </w:r>
          </w:p>
        </w:tc>
      </w:tr>
      <w:tr w:rsidR="00282C5F" w:rsidRPr="0098262F" w14:paraId="29382AB8" w14:textId="77777777" w:rsidTr="00BB73A9">
        <w:trPr>
          <w:cantSplit/>
        </w:trPr>
        <w:tc>
          <w:tcPr>
            <w:tcW w:w="5000" w:type="pct"/>
            <w:gridSpan w:val="3"/>
            <w:tcBorders>
              <w:right w:val="single" w:sz="4" w:space="0" w:color="auto"/>
            </w:tcBorders>
            <w:vAlign w:val="center"/>
          </w:tcPr>
          <w:p w14:paraId="56F8FE14" w14:textId="06B1E9C4" w:rsidR="00282C5F" w:rsidRPr="00282C5F" w:rsidRDefault="00282C5F" w:rsidP="00EC5836">
            <w:pPr>
              <w:pStyle w:val="TableText0"/>
              <w:rPr>
                <w:b/>
                <w:bCs w:val="0"/>
              </w:rPr>
            </w:pPr>
            <w:r w:rsidRPr="00282C5F">
              <w:rPr>
                <w:b/>
                <w:bCs w:val="0"/>
              </w:rPr>
              <w:t>Entrectinib</w:t>
            </w:r>
          </w:p>
        </w:tc>
      </w:tr>
      <w:tr w:rsidR="0072426C" w:rsidRPr="0098262F" w14:paraId="634E54C6" w14:textId="77777777" w:rsidTr="00BB73A9">
        <w:trPr>
          <w:cantSplit/>
        </w:trPr>
        <w:tc>
          <w:tcPr>
            <w:tcW w:w="779" w:type="pct"/>
            <w:vMerge w:val="restart"/>
            <w:tcBorders>
              <w:right w:val="single" w:sz="4" w:space="0" w:color="auto"/>
            </w:tcBorders>
            <w:vAlign w:val="center"/>
          </w:tcPr>
          <w:p w14:paraId="627F6F4C" w14:textId="3E960CA8" w:rsidR="0072426C" w:rsidRPr="0098262F" w:rsidRDefault="00514568" w:rsidP="00EC5836">
            <w:pPr>
              <w:pStyle w:val="TableText0"/>
              <w:jc w:val="center"/>
            </w:pPr>
            <w:r w:rsidRPr="002A7438">
              <w:t>Integrated analysis of ALKA, STARTRK-1 and STARTRK-2</w:t>
            </w:r>
          </w:p>
        </w:tc>
        <w:tc>
          <w:tcPr>
            <w:tcW w:w="3067" w:type="pct"/>
            <w:tcBorders>
              <w:top w:val="single" w:sz="4" w:space="0" w:color="auto"/>
              <w:left w:val="single" w:sz="4" w:space="0" w:color="auto"/>
              <w:bottom w:val="nil"/>
              <w:right w:val="single" w:sz="4" w:space="0" w:color="auto"/>
            </w:tcBorders>
            <w:vAlign w:val="center"/>
          </w:tcPr>
          <w:p w14:paraId="4DDDAA13" w14:textId="531D95BD" w:rsidR="0072426C" w:rsidRPr="00937514" w:rsidRDefault="008933E7" w:rsidP="00EC5836">
            <w:pPr>
              <w:pStyle w:val="TableText0"/>
            </w:pPr>
            <w:r w:rsidRPr="00937514">
              <w:t xml:space="preserve">Drilon A, Siena S, </w:t>
            </w:r>
            <w:proofErr w:type="spellStart"/>
            <w:r w:rsidRPr="00937514">
              <w:t>Dziadziuszko</w:t>
            </w:r>
            <w:proofErr w:type="spellEnd"/>
            <w:r w:rsidRPr="00937514">
              <w:t xml:space="preserve"> R, </w:t>
            </w:r>
            <w:proofErr w:type="spellStart"/>
            <w:r w:rsidRPr="00937514">
              <w:t>Barlesi</w:t>
            </w:r>
            <w:proofErr w:type="spellEnd"/>
            <w:r w:rsidRPr="00937514">
              <w:t xml:space="preserve"> F, Krebs MG, Shaw AT, De Braud F, </w:t>
            </w:r>
            <w:proofErr w:type="spellStart"/>
            <w:r w:rsidRPr="00937514">
              <w:t>Rolfo</w:t>
            </w:r>
            <w:proofErr w:type="spellEnd"/>
            <w:r w:rsidRPr="00937514">
              <w:t xml:space="preserve"> C, Ahn MJ, Wolf J and Seto T. Entrectinib in ROS1 fusion-positive non-small-cell lung cancer: integrated analysis of three phase 1</w:t>
            </w:r>
            <w:r w:rsidR="000E2EDF">
              <w:t>–</w:t>
            </w:r>
            <w:r w:rsidRPr="00937514">
              <w:t>2 trials.</w:t>
            </w:r>
          </w:p>
        </w:tc>
        <w:tc>
          <w:tcPr>
            <w:tcW w:w="1155" w:type="pct"/>
            <w:tcBorders>
              <w:top w:val="single" w:sz="4" w:space="0" w:color="auto"/>
              <w:left w:val="single" w:sz="4" w:space="0" w:color="auto"/>
              <w:bottom w:val="nil"/>
              <w:right w:val="single" w:sz="4" w:space="0" w:color="auto"/>
            </w:tcBorders>
            <w:vAlign w:val="center"/>
          </w:tcPr>
          <w:p w14:paraId="4BD27138" w14:textId="31065704" w:rsidR="0072426C" w:rsidRPr="00091649" w:rsidRDefault="008933E7" w:rsidP="00EC5836">
            <w:pPr>
              <w:pStyle w:val="TableText0"/>
            </w:pPr>
            <w:r w:rsidRPr="00091649">
              <w:t>The Lancet Oncology, 2020; 21(2), pp.261</w:t>
            </w:r>
            <w:r w:rsidR="003A15AD">
              <w:t>–</w:t>
            </w:r>
            <w:r w:rsidRPr="00091649">
              <w:t>270.</w:t>
            </w:r>
          </w:p>
        </w:tc>
      </w:tr>
      <w:tr w:rsidR="008F0050" w:rsidRPr="0098262F" w14:paraId="532EDBF3" w14:textId="77777777" w:rsidTr="00BB73A9">
        <w:trPr>
          <w:cantSplit/>
        </w:trPr>
        <w:tc>
          <w:tcPr>
            <w:tcW w:w="779" w:type="pct"/>
            <w:vMerge/>
            <w:tcBorders>
              <w:right w:val="single" w:sz="4" w:space="0" w:color="auto"/>
            </w:tcBorders>
            <w:vAlign w:val="center"/>
          </w:tcPr>
          <w:p w14:paraId="197F92BE" w14:textId="77777777" w:rsidR="008F0050" w:rsidRPr="002A7438" w:rsidRDefault="008F0050" w:rsidP="008F0050">
            <w:pPr>
              <w:pStyle w:val="TableText0"/>
              <w:jc w:val="center"/>
            </w:pPr>
          </w:p>
        </w:tc>
        <w:tc>
          <w:tcPr>
            <w:tcW w:w="3067" w:type="pct"/>
            <w:tcBorders>
              <w:top w:val="nil"/>
              <w:left w:val="single" w:sz="4" w:space="0" w:color="auto"/>
              <w:bottom w:val="nil"/>
              <w:right w:val="single" w:sz="4" w:space="0" w:color="auto"/>
            </w:tcBorders>
            <w:vAlign w:val="center"/>
          </w:tcPr>
          <w:p w14:paraId="4E2D4EC7" w14:textId="317D0C96" w:rsidR="008F0050" w:rsidRPr="00937514" w:rsidRDefault="008F0050" w:rsidP="008F0050">
            <w:pPr>
              <w:pStyle w:val="TableText0"/>
            </w:pPr>
            <w:r w:rsidRPr="00937514">
              <w:t xml:space="preserve">Fan Y, Drilon A, Chiu CH, Loong HH, Siena S, </w:t>
            </w:r>
            <w:proofErr w:type="spellStart"/>
            <w:r w:rsidRPr="00937514">
              <w:t>Krzakowski</w:t>
            </w:r>
            <w:proofErr w:type="spellEnd"/>
            <w:r w:rsidRPr="00937514">
              <w:t xml:space="preserve"> M, </w:t>
            </w:r>
            <w:proofErr w:type="spellStart"/>
            <w:r w:rsidRPr="00937514">
              <w:t>Dziadziuszko</w:t>
            </w:r>
            <w:proofErr w:type="spellEnd"/>
            <w:r w:rsidRPr="00937514">
              <w:t xml:space="preserve"> R, Zeuner H, Xue C and Krebs MG. Brief </w:t>
            </w:r>
            <w:r w:rsidR="000E2EDF">
              <w:t>r</w:t>
            </w:r>
            <w:r w:rsidRPr="00937514">
              <w:t xml:space="preserve">eport: </w:t>
            </w:r>
            <w:r w:rsidR="000E2EDF">
              <w:t>u</w:t>
            </w:r>
            <w:r w:rsidRPr="00937514">
              <w:t xml:space="preserve">pdated </w:t>
            </w:r>
            <w:r w:rsidR="000E2EDF">
              <w:t>e</w:t>
            </w:r>
            <w:r w:rsidRPr="00937514">
              <w:t xml:space="preserve">fficacy and </w:t>
            </w:r>
            <w:r w:rsidR="000E2EDF">
              <w:t>s</w:t>
            </w:r>
            <w:r w:rsidRPr="00937514">
              <w:t xml:space="preserve">afety </w:t>
            </w:r>
            <w:r w:rsidR="000E2EDF">
              <w:t>d</w:t>
            </w:r>
            <w:r w:rsidRPr="00937514">
              <w:t xml:space="preserve">ata </w:t>
            </w:r>
            <w:r w:rsidR="000E2EDF">
              <w:t>f</w:t>
            </w:r>
            <w:r w:rsidRPr="00937514">
              <w:t xml:space="preserve">rom an </w:t>
            </w:r>
            <w:r w:rsidR="000E2EDF">
              <w:t>i</w:t>
            </w:r>
            <w:r w:rsidRPr="00937514">
              <w:t xml:space="preserve">ntegrated </w:t>
            </w:r>
            <w:r w:rsidR="000E2EDF">
              <w:t>a</w:t>
            </w:r>
            <w:r w:rsidRPr="00937514">
              <w:t xml:space="preserve">nalysis of </w:t>
            </w:r>
            <w:r w:rsidR="000E2EDF">
              <w:t>e</w:t>
            </w:r>
            <w:r w:rsidRPr="00937514">
              <w:t xml:space="preserve">ntrectinib in </w:t>
            </w:r>
            <w:r w:rsidR="003A15AD">
              <w:t>l</w:t>
            </w:r>
            <w:r w:rsidRPr="00937514">
              <w:t xml:space="preserve">ocally </w:t>
            </w:r>
            <w:r w:rsidR="003A15AD">
              <w:t>a</w:t>
            </w:r>
            <w:r w:rsidRPr="00937514">
              <w:t>dvanced/</w:t>
            </w:r>
            <w:r w:rsidR="003A15AD">
              <w:t>m</w:t>
            </w:r>
            <w:r w:rsidRPr="00937514">
              <w:t xml:space="preserve">etastatic ROS1 </w:t>
            </w:r>
            <w:r w:rsidR="003A15AD">
              <w:t>f</w:t>
            </w:r>
            <w:r w:rsidRPr="00937514">
              <w:t>usion-</w:t>
            </w:r>
            <w:r w:rsidR="003A15AD">
              <w:t>p</w:t>
            </w:r>
            <w:r w:rsidRPr="00937514">
              <w:t xml:space="preserve">ositive </w:t>
            </w:r>
            <w:r w:rsidR="003A15AD">
              <w:t>n</w:t>
            </w:r>
            <w:r w:rsidRPr="00937514">
              <w:t>on-</w:t>
            </w:r>
            <w:r w:rsidR="003A15AD">
              <w:t>s</w:t>
            </w:r>
            <w:r w:rsidRPr="00937514">
              <w:t>mall-</w:t>
            </w:r>
            <w:r w:rsidR="003A15AD">
              <w:t>c</w:t>
            </w:r>
            <w:r w:rsidRPr="00937514">
              <w:t xml:space="preserve">ell </w:t>
            </w:r>
            <w:r w:rsidR="003A15AD">
              <w:t>l</w:t>
            </w:r>
            <w:r w:rsidRPr="00937514">
              <w:t xml:space="preserve">ung </w:t>
            </w:r>
            <w:r w:rsidR="003A15AD">
              <w:t>c</w:t>
            </w:r>
            <w:r w:rsidRPr="00937514">
              <w:t>ancer.</w:t>
            </w:r>
          </w:p>
        </w:tc>
        <w:tc>
          <w:tcPr>
            <w:tcW w:w="1155" w:type="pct"/>
            <w:tcBorders>
              <w:top w:val="nil"/>
              <w:left w:val="single" w:sz="4" w:space="0" w:color="auto"/>
              <w:bottom w:val="nil"/>
              <w:right w:val="single" w:sz="4" w:space="0" w:color="auto"/>
            </w:tcBorders>
            <w:vAlign w:val="center"/>
          </w:tcPr>
          <w:p w14:paraId="3B33F445" w14:textId="526C6CD9" w:rsidR="008F0050" w:rsidRPr="00091649" w:rsidRDefault="008F0050" w:rsidP="008F0050">
            <w:pPr>
              <w:pStyle w:val="TableText0"/>
            </w:pPr>
            <w:r w:rsidRPr="00091649">
              <w:t>Clinical Lung Cancer,2024; 25(2), pp.e81</w:t>
            </w:r>
            <w:r w:rsidR="003A15AD">
              <w:t>–</w:t>
            </w:r>
            <w:r w:rsidRPr="00091649">
              <w:t>e86.</w:t>
            </w:r>
          </w:p>
        </w:tc>
      </w:tr>
      <w:tr w:rsidR="00BD2D84" w:rsidRPr="0098262F" w14:paraId="32524E17" w14:textId="77777777" w:rsidTr="00BB73A9">
        <w:trPr>
          <w:cantSplit/>
        </w:trPr>
        <w:tc>
          <w:tcPr>
            <w:tcW w:w="779" w:type="pct"/>
            <w:vMerge/>
            <w:tcBorders>
              <w:bottom w:val="single" w:sz="4" w:space="0" w:color="auto"/>
            </w:tcBorders>
            <w:vAlign w:val="center"/>
          </w:tcPr>
          <w:p w14:paraId="39599257" w14:textId="77777777" w:rsidR="00BD2D84" w:rsidRPr="0098262F" w:rsidRDefault="00BD2D84" w:rsidP="00EC5836">
            <w:pPr>
              <w:pStyle w:val="TableText0"/>
              <w:jc w:val="center"/>
            </w:pPr>
          </w:p>
        </w:tc>
        <w:tc>
          <w:tcPr>
            <w:tcW w:w="3067" w:type="pct"/>
            <w:tcBorders>
              <w:top w:val="nil"/>
              <w:bottom w:val="single" w:sz="4" w:space="0" w:color="auto"/>
            </w:tcBorders>
            <w:vAlign w:val="center"/>
          </w:tcPr>
          <w:p w14:paraId="3C4FF3D0" w14:textId="1ABB6FF8" w:rsidR="00BD2D84" w:rsidRPr="00A17306" w:rsidRDefault="00937514" w:rsidP="00EC5836">
            <w:pPr>
              <w:pStyle w:val="TableText0"/>
              <w:rPr>
                <w:i/>
                <w:iCs/>
              </w:rPr>
            </w:pPr>
            <w:r w:rsidRPr="00861BFA">
              <w:t xml:space="preserve">Drilon A, Chi, CH, Fan Y, Cho B C, Lu S, Ahn MJ, Krebs MG, Liu SV, John T, Otterson GA, Tan DSW, Patil T, </w:t>
            </w:r>
            <w:proofErr w:type="spellStart"/>
            <w:r w:rsidRPr="00861BFA">
              <w:t>Dziadziuszko</w:t>
            </w:r>
            <w:proofErr w:type="spellEnd"/>
            <w:r w:rsidRPr="00861BFA">
              <w:t xml:space="preserve"> R, Massarelli E, Seto T, Doebele RC, Pitcher B, </w:t>
            </w:r>
            <w:proofErr w:type="spellStart"/>
            <w:r w:rsidRPr="00861BFA">
              <w:t>Kurtsikidze</w:t>
            </w:r>
            <w:proofErr w:type="spellEnd"/>
            <w:r w:rsidRPr="00861BFA">
              <w:t xml:space="preserve"> N, Heinzmann S</w:t>
            </w:r>
            <w:r w:rsidR="003A15AD" w:rsidRPr="00861BFA">
              <w:t xml:space="preserve"> and</w:t>
            </w:r>
            <w:r w:rsidRPr="00861BFA">
              <w:t xml:space="preserve"> Siena S.</w:t>
            </w:r>
            <w:r w:rsidR="00061D9F" w:rsidRPr="00861BFA">
              <w:t xml:space="preserve"> </w:t>
            </w:r>
            <w:r w:rsidRPr="00861BFA">
              <w:t>2022. Long-</w:t>
            </w:r>
            <w:r w:rsidR="003A15AD" w:rsidRPr="00861BFA">
              <w:t>t</w:t>
            </w:r>
            <w:r w:rsidRPr="00861BFA">
              <w:t xml:space="preserve">erm </w:t>
            </w:r>
            <w:r w:rsidR="003A15AD" w:rsidRPr="00861BFA">
              <w:t>e</w:t>
            </w:r>
            <w:r w:rsidRPr="00861BFA">
              <w:t xml:space="preserve">fficacy and </w:t>
            </w:r>
            <w:r w:rsidR="003A15AD" w:rsidRPr="00861BFA">
              <w:t>s</w:t>
            </w:r>
            <w:r w:rsidRPr="00861BFA">
              <w:t xml:space="preserve">afety of </w:t>
            </w:r>
            <w:r w:rsidR="003A15AD" w:rsidRPr="00861BFA">
              <w:t>e</w:t>
            </w:r>
            <w:r w:rsidRPr="00861BFA">
              <w:t>ntrectinib in ROS1 </w:t>
            </w:r>
            <w:r w:rsidR="003A15AD" w:rsidRPr="00861BFA">
              <w:t>f</w:t>
            </w:r>
            <w:r w:rsidRPr="00861BFA">
              <w:t>usion-</w:t>
            </w:r>
            <w:r w:rsidR="003A15AD" w:rsidRPr="00861BFA">
              <w:t>p</w:t>
            </w:r>
            <w:r w:rsidRPr="00861BFA">
              <w:t>ositive NSCLC</w:t>
            </w:r>
            <w:r w:rsidRPr="00A17306">
              <w:rPr>
                <w:i/>
                <w:iCs/>
              </w:rPr>
              <w:t>.</w:t>
            </w:r>
          </w:p>
        </w:tc>
        <w:tc>
          <w:tcPr>
            <w:tcW w:w="1155" w:type="pct"/>
            <w:tcBorders>
              <w:top w:val="nil"/>
              <w:bottom w:val="single" w:sz="4" w:space="0" w:color="auto"/>
            </w:tcBorders>
            <w:vAlign w:val="center"/>
          </w:tcPr>
          <w:p w14:paraId="62495517" w14:textId="7B012E02" w:rsidR="00BD2D84" w:rsidRPr="00A17306" w:rsidRDefault="00061D9F" w:rsidP="00EC5836">
            <w:pPr>
              <w:pStyle w:val="TableText0"/>
              <w:rPr>
                <w:i/>
                <w:iCs/>
              </w:rPr>
            </w:pPr>
            <w:r w:rsidRPr="00A17306">
              <w:rPr>
                <w:i/>
                <w:iCs/>
              </w:rPr>
              <w:t>JTO clinical and research reports, 3(6), 100332.</w:t>
            </w:r>
          </w:p>
        </w:tc>
      </w:tr>
      <w:tr w:rsidR="00BD2D84" w:rsidRPr="0098262F" w14:paraId="2981D9C0" w14:textId="77777777" w:rsidTr="00BB73A9">
        <w:trPr>
          <w:cantSplit/>
        </w:trPr>
        <w:tc>
          <w:tcPr>
            <w:tcW w:w="779" w:type="pct"/>
            <w:tcBorders>
              <w:bottom w:val="single" w:sz="4" w:space="0" w:color="auto"/>
            </w:tcBorders>
            <w:vAlign w:val="center"/>
          </w:tcPr>
          <w:p w14:paraId="51A55E49" w14:textId="77777777" w:rsidR="00514568" w:rsidRDefault="00514568" w:rsidP="00514568">
            <w:pPr>
              <w:pStyle w:val="TableText0"/>
              <w:jc w:val="center"/>
            </w:pPr>
            <w:r>
              <w:t>BFAST</w:t>
            </w:r>
          </w:p>
          <w:p w14:paraId="12ABA583" w14:textId="501F07F6" w:rsidR="00BD2D84" w:rsidRPr="0098262F" w:rsidRDefault="00514568" w:rsidP="00EC5836">
            <w:pPr>
              <w:pStyle w:val="TableText0"/>
              <w:jc w:val="center"/>
            </w:pPr>
            <w:r>
              <w:t>(NCT03178552)</w:t>
            </w:r>
          </w:p>
        </w:tc>
        <w:tc>
          <w:tcPr>
            <w:tcW w:w="3067" w:type="pct"/>
            <w:tcBorders>
              <w:bottom w:val="single" w:sz="4" w:space="0" w:color="auto"/>
            </w:tcBorders>
            <w:vAlign w:val="center"/>
          </w:tcPr>
          <w:p w14:paraId="5DF94038" w14:textId="43169333" w:rsidR="00BD2D84" w:rsidRPr="00937514" w:rsidRDefault="008933E7" w:rsidP="00EC5836">
            <w:pPr>
              <w:pStyle w:val="TableText0"/>
            </w:pPr>
            <w:r w:rsidRPr="00937514">
              <w:t xml:space="preserve">Peters S, </w:t>
            </w:r>
            <w:proofErr w:type="spellStart"/>
            <w:r w:rsidRPr="00937514">
              <w:t>Gadgeel</w:t>
            </w:r>
            <w:proofErr w:type="spellEnd"/>
            <w:r w:rsidRPr="00937514">
              <w:t xml:space="preserve"> SM, Mok T, Nadal E, </w:t>
            </w:r>
            <w:proofErr w:type="spellStart"/>
            <w:r w:rsidRPr="00937514">
              <w:t>Kilickap</w:t>
            </w:r>
            <w:proofErr w:type="spellEnd"/>
            <w:r w:rsidRPr="00937514">
              <w:t xml:space="preserve"> S, </w:t>
            </w:r>
            <w:proofErr w:type="spellStart"/>
            <w:r w:rsidRPr="00937514">
              <w:t>Swalduz</w:t>
            </w:r>
            <w:proofErr w:type="spellEnd"/>
            <w:r w:rsidRPr="00937514">
              <w:t xml:space="preserve"> A, </w:t>
            </w:r>
            <w:proofErr w:type="spellStart"/>
            <w:r w:rsidRPr="00937514">
              <w:t>Cadranel</w:t>
            </w:r>
            <w:proofErr w:type="spellEnd"/>
            <w:r w:rsidRPr="00937514">
              <w:t xml:space="preserve"> J, Sugawara S, Chiu CH, Yu CJ and Moskovitz M. Entrectinib in ROS1-positive advanced non-small cell lung cancer: the phase 2/3 BFAST trial.</w:t>
            </w:r>
          </w:p>
        </w:tc>
        <w:tc>
          <w:tcPr>
            <w:tcW w:w="1155" w:type="pct"/>
            <w:tcBorders>
              <w:bottom w:val="single" w:sz="4" w:space="0" w:color="auto"/>
            </w:tcBorders>
            <w:vAlign w:val="center"/>
          </w:tcPr>
          <w:p w14:paraId="28F1853E" w14:textId="00B7B65E" w:rsidR="00272AEC" w:rsidRDefault="008933E7" w:rsidP="00EC5836">
            <w:pPr>
              <w:pStyle w:val="TableText0"/>
              <w:rPr>
                <w:rStyle w:val="normaltextrun"/>
                <w:color w:val="000000"/>
                <w:szCs w:val="20"/>
                <w:shd w:val="clear" w:color="auto" w:fill="FFFFFF"/>
              </w:rPr>
            </w:pPr>
            <w:r w:rsidRPr="00091649">
              <w:rPr>
                <w:rStyle w:val="normaltextrun"/>
                <w:color w:val="000000"/>
                <w:szCs w:val="20"/>
                <w:shd w:val="clear" w:color="auto" w:fill="FFFFFF"/>
              </w:rPr>
              <w:t xml:space="preserve">Nature Medicine, </w:t>
            </w:r>
            <w:r w:rsidRPr="00091649">
              <w:rPr>
                <w:rStyle w:val="normaltextrun"/>
                <w:color w:val="000000"/>
                <w:shd w:val="clear" w:color="auto" w:fill="FFFFFF"/>
              </w:rPr>
              <w:t xml:space="preserve">2024; </w:t>
            </w:r>
            <w:r w:rsidRPr="00091649">
              <w:rPr>
                <w:rStyle w:val="normaltextrun"/>
                <w:color w:val="000000"/>
                <w:szCs w:val="20"/>
                <w:shd w:val="clear" w:color="auto" w:fill="FFFFFF"/>
              </w:rPr>
              <w:t>pp.1</w:t>
            </w:r>
            <w:r w:rsidR="003A15AD">
              <w:t>–</w:t>
            </w:r>
          </w:p>
          <w:p w14:paraId="3E2195EF" w14:textId="22DBE59A" w:rsidR="00BD2D84" w:rsidRPr="00091649" w:rsidRDefault="008933E7" w:rsidP="00EC5836">
            <w:pPr>
              <w:pStyle w:val="TableText0"/>
            </w:pPr>
            <w:r w:rsidRPr="00091649">
              <w:rPr>
                <w:rStyle w:val="normaltextrun"/>
                <w:color w:val="000000"/>
                <w:szCs w:val="20"/>
                <w:shd w:val="clear" w:color="auto" w:fill="FFFFFF"/>
              </w:rPr>
              <w:t>10.</w:t>
            </w:r>
          </w:p>
        </w:tc>
      </w:tr>
    </w:tbl>
    <w:p w14:paraId="51D8173A" w14:textId="1EED16AC" w:rsidR="008E0D3C" w:rsidRDefault="008E0D3C" w:rsidP="00EC5836">
      <w:pPr>
        <w:pStyle w:val="FooterTableFigure"/>
      </w:pPr>
      <w:r w:rsidRPr="009C656B">
        <w:t>Source: Table</w:t>
      </w:r>
      <w:r w:rsidR="000942F1" w:rsidRPr="009C656B">
        <w:t xml:space="preserve"> 18 and Table 19</w:t>
      </w:r>
      <w:r w:rsidRPr="009C656B">
        <w:t>, pp</w:t>
      </w:r>
      <w:r w:rsidR="000942F1" w:rsidRPr="009C656B">
        <w:t xml:space="preserve">38-40 </w:t>
      </w:r>
      <w:r w:rsidRPr="009C656B">
        <w:t>of the submission.</w:t>
      </w:r>
    </w:p>
    <w:p w14:paraId="2E83684A" w14:textId="3D8F1969" w:rsidR="00B4224A" w:rsidRPr="0098262F" w:rsidRDefault="00B86B4C" w:rsidP="00E70A11">
      <w:pPr>
        <w:pStyle w:val="FooterTableFigure"/>
      </w:pPr>
      <w:r>
        <w:t>CSR = clinical study report</w:t>
      </w:r>
      <w:r w:rsidR="00DB61BC">
        <w:t>; ID = iden</w:t>
      </w:r>
      <w:r w:rsidR="00EA6CEA">
        <w:t>tification.</w:t>
      </w:r>
    </w:p>
    <w:p w14:paraId="1DD06D7D" w14:textId="0B4FAC1B" w:rsidR="007F1017" w:rsidRPr="00C61C7B" w:rsidRDefault="008F120A" w:rsidP="00EC5836">
      <w:pPr>
        <w:pStyle w:val="3-BodyText"/>
      </w:pPr>
      <w:r w:rsidRPr="0098262F">
        <w:t xml:space="preserve">The key features of the </w:t>
      </w:r>
      <w:r w:rsidR="00CA46A6">
        <w:t>included trials</w:t>
      </w:r>
      <w:r w:rsidRPr="0098262F">
        <w:t xml:space="preserve"> are summarised in</w:t>
      </w:r>
      <w:r w:rsidR="0048688A">
        <w:t xml:space="preserve"> </w:t>
      </w:r>
      <w:r w:rsidR="0048688A">
        <w:fldChar w:fldCharType="begin"/>
      </w:r>
      <w:r w:rsidR="0048688A">
        <w:instrText xml:space="preserve"> REF _Ref191471979 \h </w:instrText>
      </w:r>
      <w:r w:rsidR="0048688A">
        <w:fldChar w:fldCharType="separate"/>
      </w:r>
      <w:r w:rsidR="00D32E93" w:rsidRPr="00C61C7B">
        <w:rPr>
          <w:rFonts w:eastAsiaTheme="majorEastAsia"/>
        </w:rPr>
        <w:t>T</w:t>
      </w:r>
      <w:r w:rsidR="00D32E93">
        <w:rPr>
          <w:rFonts w:eastAsiaTheme="majorEastAsia"/>
        </w:rPr>
        <w:t xml:space="preserve">able </w:t>
      </w:r>
      <w:r w:rsidR="00D32E93">
        <w:rPr>
          <w:rStyle w:val="CommentReference"/>
          <w:rFonts w:eastAsiaTheme="majorEastAsia" w:cstheme="majorBidi"/>
          <w:b w:val="0"/>
          <w:noProof/>
          <w:szCs w:val="24"/>
        </w:rPr>
        <w:t>3</w:t>
      </w:r>
      <w:r w:rsidR="0048688A">
        <w:fldChar w:fldCharType="end"/>
      </w:r>
      <w:r w:rsidRPr="0098262F">
        <w:t>.</w:t>
      </w:r>
    </w:p>
    <w:p w14:paraId="63A45D63" w14:textId="10873F06" w:rsidR="0048688A" w:rsidRPr="0098262F" w:rsidRDefault="0048688A" w:rsidP="00AB7BF2">
      <w:pPr>
        <w:pStyle w:val="Caption"/>
        <w:rPr>
          <w:rStyle w:val="CommentReference"/>
          <w:b/>
          <w:szCs w:val="24"/>
        </w:rPr>
      </w:pPr>
      <w:bookmarkStart w:id="19" w:name="_Ref191471979"/>
      <w:r w:rsidRPr="00C61C7B">
        <w:rPr>
          <w:rFonts w:eastAsiaTheme="majorEastAsia"/>
        </w:rPr>
        <w:lastRenderedPageBreak/>
        <w:t>T</w:t>
      </w:r>
      <w:r>
        <w:rPr>
          <w:rFonts w:eastAsiaTheme="majorEastAsia"/>
        </w:rPr>
        <w:t xml:space="preserve">able </w:t>
      </w:r>
      <w:r>
        <w:rPr>
          <w:rFonts w:eastAsiaTheme="majorEastAsia"/>
        </w:rPr>
        <w:fldChar w:fldCharType="begin"/>
      </w:r>
      <w:r w:rsidRPr="0098262F">
        <w:rPr>
          <w:rStyle w:val="CommentReference"/>
          <w:rFonts w:eastAsiaTheme="majorEastAsia" w:cstheme="majorBidi"/>
          <w:b/>
          <w:szCs w:val="24"/>
        </w:rPr>
        <w:instrText xml:space="preserve"> SEQ Table \* ARABIC </w:instrText>
      </w:r>
      <w:r>
        <w:rPr>
          <w:rFonts w:eastAsiaTheme="majorEastAsia"/>
        </w:rPr>
        <w:fldChar w:fldCharType="separate"/>
      </w:r>
      <w:r w:rsidR="00D32E93">
        <w:rPr>
          <w:rStyle w:val="CommentReference"/>
          <w:rFonts w:eastAsiaTheme="majorEastAsia" w:cstheme="majorBidi"/>
          <w:b/>
          <w:noProof/>
          <w:szCs w:val="24"/>
        </w:rPr>
        <w:t>3</w:t>
      </w:r>
      <w:r>
        <w:rPr>
          <w:rFonts w:eastAsiaTheme="majorEastAsia"/>
        </w:rPr>
        <w:fldChar w:fldCharType="end"/>
      </w:r>
      <w:bookmarkEnd w:id="19"/>
      <w:r>
        <w:t xml:space="preserve">: </w:t>
      </w:r>
      <w:r w:rsidRPr="0098262F">
        <w:rPr>
          <w:rStyle w:val="CommentReference"/>
          <w:b/>
          <w:szCs w:val="24"/>
        </w:rPr>
        <w:t>Key features of the included evidence – indirect comparison</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840"/>
        <w:gridCol w:w="1597"/>
        <w:gridCol w:w="1081"/>
        <w:gridCol w:w="3285"/>
        <w:gridCol w:w="1276"/>
      </w:tblGrid>
      <w:tr w:rsidR="00033C83" w:rsidRPr="0098262F" w14:paraId="3DF34822" w14:textId="77777777" w:rsidTr="00BB73A9">
        <w:trPr>
          <w:tblHeader/>
        </w:trPr>
        <w:tc>
          <w:tcPr>
            <w:tcW w:w="613" w:type="pct"/>
            <w:shd w:val="clear" w:color="auto" w:fill="auto"/>
            <w:vAlign w:val="center"/>
          </w:tcPr>
          <w:p w14:paraId="339F8265" w14:textId="77777777" w:rsidR="0048688A" w:rsidRPr="0098262F" w:rsidRDefault="0048688A" w:rsidP="00AB7BF2">
            <w:pPr>
              <w:pStyle w:val="In-tableHeading"/>
              <w:rPr>
                <w:lang w:val="en-AU"/>
              </w:rPr>
            </w:pPr>
            <w:r w:rsidRPr="0098262F">
              <w:rPr>
                <w:lang w:val="en-AU"/>
              </w:rPr>
              <w:t>Trial</w:t>
            </w:r>
          </w:p>
        </w:tc>
        <w:tc>
          <w:tcPr>
            <w:tcW w:w="456" w:type="pct"/>
            <w:shd w:val="clear" w:color="auto" w:fill="auto"/>
            <w:vAlign w:val="center"/>
          </w:tcPr>
          <w:p w14:paraId="095A37F5" w14:textId="77777777" w:rsidR="0048688A" w:rsidRPr="0098262F" w:rsidRDefault="0048688A" w:rsidP="00AB7BF2">
            <w:pPr>
              <w:pStyle w:val="In-tableHeading"/>
              <w:jc w:val="center"/>
              <w:rPr>
                <w:lang w:val="en-AU"/>
              </w:rPr>
            </w:pPr>
            <w:r w:rsidRPr="0098262F">
              <w:rPr>
                <w:lang w:val="en-AU"/>
              </w:rPr>
              <w:t>N</w:t>
            </w:r>
          </w:p>
        </w:tc>
        <w:tc>
          <w:tcPr>
            <w:tcW w:w="867" w:type="pct"/>
            <w:shd w:val="clear" w:color="auto" w:fill="auto"/>
            <w:vAlign w:val="center"/>
          </w:tcPr>
          <w:p w14:paraId="65216E9E" w14:textId="77777777" w:rsidR="0048688A" w:rsidRPr="0098262F" w:rsidRDefault="0048688A" w:rsidP="00AB7BF2">
            <w:pPr>
              <w:pStyle w:val="In-tableHeading"/>
              <w:jc w:val="center"/>
              <w:rPr>
                <w:lang w:val="en-AU"/>
              </w:rPr>
            </w:pPr>
            <w:r w:rsidRPr="0098262F">
              <w:rPr>
                <w:lang w:val="en-AU"/>
              </w:rPr>
              <w:t>Design/ duration</w:t>
            </w:r>
          </w:p>
        </w:tc>
        <w:tc>
          <w:tcPr>
            <w:tcW w:w="587" w:type="pct"/>
            <w:shd w:val="clear" w:color="auto" w:fill="auto"/>
            <w:vAlign w:val="center"/>
          </w:tcPr>
          <w:p w14:paraId="4E9DA194" w14:textId="77777777" w:rsidR="0048688A" w:rsidRPr="0098262F" w:rsidRDefault="0048688A" w:rsidP="00AB7BF2">
            <w:pPr>
              <w:pStyle w:val="In-tableHeading"/>
              <w:jc w:val="center"/>
              <w:rPr>
                <w:lang w:val="en-AU"/>
              </w:rPr>
            </w:pPr>
            <w:r w:rsidRPr="0098262F">
              <w:rPr>
                <w:lang w:val="en-AU"/>
              </w:rPr>
              <w:t>Risk of bias</w:t>
            </w:r>
          </w:p>
        </w:tc>
        <w:tc>
          <w:tcPr>
            <w:tcW w:w="1784" w:type="pct"/>
            <w:shd w:val="clear" w:color="auto" w:fill="auto"/>
            <w:vAlign w:val="center"/>
          </w:tcPr>
          <w:p w14:paraId="104C801D" w14:textId="77777777" w:rsidR="0048688A" w:rsidRPr="0098262F" w:rsidRDefault="0048688A" w:rsidP="00AB7BF2">
            <w:pPr>
              <w:pStyle w:val="In-tableHeading"/>
              <w:jc w:val="center"/>
              <w:rPr>
                <w:lang w:val="en-AU"/>
              </w:rPr>
            </w:pPr>
            <w:r w:rsidRPr="0098262F">
              <w:rPr>
                <w:lang w:val="en-AU"/>
              </w:rPr>
              <w:t>Patient population</w:t>
            </w:r>
          </w:p>
        </w:tc>
        <w:tc>
          <w:tcPr>
            <w:tcW w:w="693" w:type="pct"/>
            <w:shd w:val="clear" w:color="auto" w:fill="auto"/>
            <w:vAlign w:val="center"/>
          </w:tcPr>
          <w:p w14:paraId="61DB87BD" w14:textId="77777777" w:rsidR="0048688A" w:rsidRPr="0098262F" w:rsidRDefault="0048688A" w:rsidP="00AB7BF2">
            <w:pPr>
              <w:pStyle w:val="In-tableHeading"/>
              <w:jc w:val="center"/>
              <w:rPr>
                <w:lang w:val="en-AU"/>
              </w:rPr>
            </w:pPr>
            <w:r w:rsidRPr="0098262F">
              <w:rPr>
                <w:lang w:val="en-AU"/>
              </w:rPr>
              <w:t>Outcome(s)</w:t>
            </w:r>
          </w:p>
        </w:tc>
      </w:tr>
      <w:tr w:rsidR="0048688A" w:rsidRPr="0098262F" w14:paraId="1354741B" w14:textId="77777777" w:rsidTr="00BB73A9">
        <w:tc>
          <w:tcPr>
            <w:tcW w:w="5000" w:type="pct"/>
            <w:gridSpan w:val="6"/>
            <w:shd w:val="clear" w:color="auto" w:fill="auto"/>
            <w:vAlign w:val="center"/>
          </w:tcPr>
          <w:p w14:paraId="39231E76" w14:textId="77777777" w:rsidR="0048688A" w:rsidRPr="0098262F" w:rsidRDefault="0048688A" w:rsidP="00AB7BF2">
            <w:pPr>
              <w:pStyle w:val="In-tableHeading"/>
              <w:rPr>
                <w:lang w:val="en-AU"/>
              </w:rPr>
            </w:pPr>
            <w:r>
              <w:rPr>
                <w:lang w:val="en-AU"/>
              </w:rPr>
              <w:t>Repotrectinib</w:t>
            </w:r>
          </w:p>
        </w:tc>
      </w:tr>
      <w:tr w:rsidR="00033C83" w:rsidRPr="0098262F" w14:paraId="6C6C5D5B" w14:textId="77777777" w:rsidTr="0066398F">
        <w:trPr>
          <w:cantSplit/>
        </w:trPr>
        <w:tc>
          <w:tcPr>
            <w:tcW w:w="613" w:type="pct"/>
            <w:tcBorders>
              <w:top w:val="single" w:sz="4" w:space="0" w:color="auto"/>
              <w:bottom w:val="single" w:sz="4" w:space="0" w:color="auto"/>
            </w:tcBorders>
            <w:vAlign w:val="center"/>
          </w:tcPr>
          <w:p w14:paraId="29F6DE1E" w14:textId="77777777" w:rsidR="0048688A" w:rsidRPr="0098262F" w:rsidRDefault="0048688A" w:rsidP="00AB7BF2">
            <w:pPr>
              <w:pStyle w:val="TableText0"/>
            </w:pPr>
            <w:r>
              <w:rPr>
                <w:rFonts w:eastAsiaTheme="minorHAnsi"/>
              </w:rPr>
              <w:t>TRIDENT-1 EXP-1 cohort</w:t>
            </w:r>
          </w:p>
        </w:tc>
        <w:tc>
          <w:tcPr>
            <w:tcW w:w="456" w:type="pct"/>
            <w:tcBorders>
              <w:top w:val="single" w:sz="4" w:space="0" w:color="auto"/>
              <w:bottom w:val="single" w:sz="4" w:space="0" w:color="auto"/>
            </w:tcBorders>
            <w:vAlign w:val="center"/>
          </w:tcPr>
          <w:p w14:paraId="7EB3E21D" w14:textId="3AEBEE21" w:rsidR="0048688A" w:rsidRPr="00741E24" w:rsidRDefault="00FD4B27" w:rsidP="00AB7BF2">
            <w:pPr>
              <w:pStyle w:val="Tabletext"/>
              <w:keepNext/>
              <w:keepLines/>
              <w:jc w:val="center"/>
              <w:rPr>
                <w:rFonts w:eastAsiaTheme="minorHAnsi"/>
              </w:rPr>
            </w:pPr>
            <w:r>
              <w:rPr>
                <w:rFonts w:eastAsiaTheme="minorHAnsi"/>
              </w:rPr>
              <w:t>P</w:t>
            </w:r>
            <w:r w:rsidR="00F95AEA">
              <w:rPr>
                <w:rFonts w:eastAsiaTheme="minorHAnsi"/>
              </w:rPr>
              <w:t>2</w:t>
            </w:r>
            <w:r w:rsidR="009E6236">
              <w:rPr>
                <w:rFonts w:eastAsiaTheme="minorHAnsi"/>
              </w:rPr>
              <w:t xml:space="preserve">: </w:t>
            </w:r>
            <w:r w:rsidR="0048688A" w:rsidRPr="00741E24">
              <w:rPr>
                <w:rFonts w:eastAsiaTheme="minorHAnsi"/>
              </w:rPr>
              <w:t>63</w:t>
            </w:r>
          </w:p>
          <w:p w14:paraId="55F65BBC" w14:textId="43655EBE" w:rsidR="0048688A" w:rsidRPr="00741E24" w:rsidRDefault="009E6236" w:rsidP="00AB7BF2">
            <w:pPr>
              <w:pStyle w:val="Tabletext"/>
              <w:keepNext/>
              <w:keepLines/>
              <w:jc w:val="center"/>
            </w:pPr>
            <w:r>
              <w:rPr>
                <w:rFonts w:eastAsiaTheme="minorHAnsi"/>
              </w:rPr>
              <w:t>P1</w:t>
            </w:r>
            <w:r w:rsidR="00130E05">
              <w:rPr>
                <w:rFonts w:eastAsiaTheme="minorHAnsi"/>
              </w:rPr>
              <w:t xml:space="preserve">+2: </w:t>
            </w:r>
            <w:r w:rsidR="0048688A" w:rsidRPr="00741E24">
              <w:rPr>
                <w:rFonts w:eastAsiaTheme="minorHAnsi"/>
              </w:rPr>
              <w:t>71</w:t>
            </w:r>
          </w:p>
        </w:tc>
        <w:tc>
          <w:tcPr>
            <w:tcW w:w="867" w:type="pct"/>
            <w:tcBorders>
              <w:top w:val="single" w:sz="4" w:space="0" w:color="auto"/>
              <w:bottom w:val="single" w:sz="4" w:space="0" w:color="auto"/>
            </w:tcBorders>
            <w:vAlign w:val="center"/>
          </w:tcPr>
          <w:p w14:paraId="672A1608" w14:textId="7F7E0901" w:rsidR="0048688A" w:rsidRPr="00741E24" w:rsidRDefault="0048688A" w:rsidP="00AB7BF2">
            <w:pPr>
              <w:pStyle w:val="Tabletext"/>
              <w:keepNext/>
              <w:keepLines/>
              <w:jc w:val="center"/>
              <w:rPr>
                <w:rFonts w:eastAsiaTheme="minorHAnsi"/>
              </w:rPr>
            </w:pPr>
            <w:r w:rsidRPr="00741E24">
              <w:rPr>
                <w:rFonts w:eastAsiaTheme="minorHAnsi"/>
              </w:rPr>
              <w:t>Single arm, OL</w:t>
            </w:r>
          </w:p>
          <w:p w14:paraId="549C2FD5" w14:textId="192202AE" w:rsidR="0048688A" w:rsidRPr="00741E24" w:rsidRDefault="0048688A" w:rsidP="00AB7BF2">
            <w:pPr>
              <w:pStyle w:val="Tabletext"/>
              <w:keepNext/>
              <w:keepLines/>
              <w:jc w:val="center"/>
              <w:rPr>
                <w:rFonts w:eastAsiaTheme="minorHAnsi"/>
              </w:rPr>
            </w:pPr>
            <w:r w:rsidRPr="00741E24">
              <w:rPr>
                <w:rFonts w:eastAsiaTheme="minorHAnsi"/>
              </w:rPr>
              <w:t>Median follow-up for patients analysed for efficacy: 33.9 (range</w:t>
            </w:r>
            <w:r w:rsidR="00607F9F">
              <w:rPr>
                <w:rFonts w:eastAsiaTheme="minorHAnsi"/>
              </w:rPr>
              <w:t>:</w:t>
            </w:r>
            <w:r w:rsidRPr="00741E24">
              <w:rPr>
                <w:rFonts w:eastAsiaTheme="minorHAnsi"/>
              </w:rPr>
              <w:t xml:space="preserve"> 24.0</w:t>
            </w:r>
            <w:r w:rsidR="00166BBA" w:rsidRPr="00557EA2">
              <w:t>–</w:t>
            </w:r>
            <w:r w:rsidRPr="00741E24">
              <w:rPr>
                <w:rFonts w:eastAsiaTheme="minorHAnsi"/>
              </w:rPr>
              <w:t>76.5)</w:t>
            </w:r>
            <w:r w:rsidR="00166BBA">
              <w:rPr>
                <w:rFonts w:eastAsiaTheme="minorHAnsi"/>
              </w:rPr>
              <w:t xml:space="preserve"> months</w:t>
            </w:r>
          </w:p>
        </w:tc>
        <w:tc>
          <w:tcPr>
            <w:tcW w:w="587" w:type="pct"/>
            <w:tcBorders>
              <w:top w:val="single" w:sz="4" w:space="0" w:color="auto"/>
              <w:bottom w:val="single" w:sz="4" w:space="0" w:color="auto"/>
            </w:tcBorders>
            <w:vAlign w:val="center"/>
          </w:tcPr>
          <w:p w14:paraId="06E3F30C" w14:textId="77777777" w:rsidR="0048688A" w:rsidRPr="00741E24" w:rsidRDefault="0048688A" w:rsidP="00AB7BF2">
            <w:pPr>
              <w:pStyle w:val="Tabletext"/>
              <w:keepNext/>
              <w:keepLines/>
              <w:jc w:val="center"/>
            </w:pPr>
            <w:r w:rsidRPr="00741E24">
              <w:rPr>
                <w:rFonts w:eastAsiaTheme="minorHAnsi"/>
              </w:rPr>
              <w:t>High</w:t>
            </w:r>
          </w:p>
        </w:tc>
        <w:tc>
          <w:tcPr>
            <w:tcW w:w="1784" w:type="pct"/>
            <w:tcBorders>
              <w:top w:val="single" w:sz="4" w:space="0" w:color="auto"/>
              <w:bottom w:val="single" w:sz="4" w:space="0" w:color="auto"/>
            </w:tcBorders>
            <w:vAlign w:val="center"/>
          </w:tcPr>
          <w:p w14:paraId="71EFBFB7" w14:textId="2F614EB3" w:rsidR="00C54680" w:rsidRPr="00C54680" w:rsidRDefault="0048688A" w:rsidP="00AB7BF2">
            <w:pPr>
              <w:pStyle w:val="Tabletext"/>
              <w:keepNext/>
              <w:keepLines/>
              <w:jc w:val="center"/>
              <w:rPr>
                <w:rFonts w:eastAsiaTheme="minorHAnsi"/>
              </w:rPr>
            </w:pPr>
            <w:r w:rsidRPr="00741E24">
              <w:rPr>
                <w:rFonts w:eastAsiaTheme="minorHAnsi"/>
              </w:rPr>
              <w:t>Patients with advanced/metastatic solid tumours including the relevant prespecified subgroup of patients (expansion cohort EXP-1) with ROS1 fusion-positive NSCLC who had not previously received ROS1 TKI.</w:t>
            </w:r>
          </w:p>
        </w:tc>
        <w:tc>
          <w:tcPr>
            <w:tcW w:w="693" w:type="pct"/>
            <w:tcBorders>
              <w:top w:val="single" w:sz="4" w:space="0" w:color="auto"/>
              <w:bottom w:val="single" w:sz="4" w:space="0" w:color="auto"/>
            </w:tcBorders>
            <w:vAlign w:val="center"/>
          </w:tcPr>
          <w:p w14:paraId="159ABDB4" w14:textId="7D3FAEA2" w:rsidR="0048688A" w:rsidRPr="00741E24" w:rsidRDefault="0048688A" w:rsidP="00AB7BF2">
            <w:pPr>
              <w:pStyle w:val="Tabletext"/>
              <w:keepNext/>
              <w:keepLines/>
              <w:jc w:val="center"/>
            </w:pPr>
            <w:r w:rsidRPr="00741E24">
              <w:rPr>
                <w:rFonts w:eastAsiaTheme="minorHAnsi"/>
              </w:rPr>
              <w:t>ORR, PFS</w:t>
            </w:r>
            <w:r w:rsidR="00BF14F4">
              <w:rPr>
                <w:rFonts w:eastAsiaTheme="minorHAnsi"/>
              </w:rPr>
              <w:t xml:space="preserve">, </w:t>
            </w:r>
            <w:r w:rsidRPr="00741E24">
              <w:rPr>
                <w:rFonts w:eastAsiaTheme="minorHAnsi"/>
              </w:rPr>
              <w:t>OS</w:t>
            </w:r>
          </w:p>
        </w:tc>
      </w:tr>
      <w:tr w:rsidR="0048688A" w:rsidRPr="0098262F" w14:paraId="6C6C3B64" w14:textId="77777777" w:rsidTr="00BB73A9">
        <w:tc>
          <w:tcPr>
            <w:tcW w:w="5000" w:type="pct"/>
            <w:gridSpan w:val="6"/>
            <w:shd w:val="clear" w:color="auto" w:fill="auto"/>
            <w:vAlign w:val="center"/>
          </w:tcPr>
          <w:p w14:paraId="14466A64" w14:textId="77777777" w:rsidR="0048688A" w:rsidRPr="00F45D17" w:rsidRDefault="0048688A" w:rsidP="00AB7BF2">
            <w:pPr>
              <w:pStyle w:val="Tabletext"/>
              <w:keepNext/>
              <w:keepLines/>
              <w:rPr>
                <w:b/>
                <w:bCs/>
              </w:rPr>
            </w:pPr>
            <w:r w:rsidRPr="00F45D17">
              <w:rPr>
                <w:b/>
                <w:bCs/>
              </w:rPr>
              <w:t>Entrectinib</w:t>
            </w:r>
          </w:p>
        </w:tc>
      </w:tr>
      <w:tr w:rsidR="00033C83" w:rsidRPr="0098262F" w14:paraId="4F564D69" w14:textId="77777777" w:rsidTr="0066398F">
        <w:trPr>
          <w:cantSplit/>
        </w:trPr>
        <w:tc>
          <w:tcPr>
            <w:tcW w:w="613" w:type="pct"/>
            <w:shd w:val="clear" w:color="auto" w:fill="auto"/>
            <w:vAlign w:val="center"/>
          </w:tcPr>
          <w:p w14:paraId="0F2F6CF5" w14:textId="77777777" w:rsidR="0048688A" w:rsidRPr="0098262F" w:rsidRDefault="0048688A" w:rsidP="00AB7BF2">
            <w:pPr>
              <w:pStyle w:val="TableText0"/>
            </w:pPr>
            <w:r>
              <w:t>ALKA</w:t>
            </w:r>
          </w:p>
        </w:tc>
        <w:tc>
          <w:tcPr>
            <w:tcW w:w="456" w:type="pct"/>
            <w:shd w:val="clear" w:color="auto" w:fill="auto"/>
            <w:vAlign w:val="center"/>
          </w:tcPr>
          <w:p w14:paraId="2973AFC6" w14:textId="77777777" w:rsidR="0048688A" w:rsidRPr="00741E24" w:rsidRDefault="0048688A" w:rsidP="00AB7BF2">
            <w:pPr>
              <w:pStyle w:val="Tabletext"/>
              <w:keepNext/>
              <w:keepLines/>
              <w:jc w:val="center"/>
            </w:pPr>
            <w:r w:rsidRPr="00741E24">
              <w:t>NR</w:t>
            </w:r>
          </w:p>
        </w:tc>
        <w:tc>
          <w:tcPr>
            <w:tcW w:w="867" w:type="pct"/>
            <w:shd w:val="clear" w:color="auto" w:fill="auto"/>
            <w:vAlign w:val="center"/>
          </w:tcPr>
          <w:p w14:paraId="562AFE51" w14:textId="702EE133" w:rsidR="0048688A" w:rsidRPr="00741E24" w:rsidRDefault="0048688A" w:rsidP="00AB7BF2">
            <w:pPr>
              <w:pStyle w:val="Tabletext"/>
              <w:keepNext/>
              <w:keepLines/>
              <w:jc w:val="center"/>
            </w:pPr>
            <w:r w:rsidRPr="00741E24">
              <w:t>Single arm, OL</w:t>
            </w:r>
          </w:p>
          <w:p w14:paraId="4A6B5CE4" w14:textId="54BA5BBA" w:rsidR="0048688A" w:rsidRPr="00741E24" w:rsidRDefault="0048688A" w:rsidP="00AB7BF2">
            <w:pPr>
              <w:pStyle w:val="Tabletext"/>
              <w:keepNext/>
              <w:keepLines/>
              <w:jc w:val="center"/>
            </w:pPr>
            <w:r w:rsidRPr="00741E24">
              <w:t>Trial-specific follow</w:t>
            </w:r>
            <w:r w:rsidR="00E36FE6">
              <w:t>-</w:t>
            </w:r>
            <w:r w:rsidRPr="00741E24">
              <w:t>up duration: NR</w:t>
            </w:r>
          </w:p>
        </w:tc>
        <w:tc>
          <w:tcPr>
            <w:tcW w:w="587" w:type="pct"/>
            <w:shd w:val="clear" w:color="auto" w:fill="auto"/>
            <w:vAlign w:val="center"/>
          </w:tcPr>
          <w:p w14:paraId="13D76D26" w14:textId="77777777" w:rsidR="0048688A" w:rsidRPr="00741E24" w:rsidRDefault="0048688A" w:rsidP="00AB7BF2">
            <w:pPr>
              <w:pStyle w:val="Tabletext"/>
              <w:keepNext/>
              <w:keepLines/>
              <w:jc w:val="center"/>
            </w:pPr>
            <w:r w:rsidRPr="00741E24">
              <w:t>High</w:t>
            </w:r>
          </w:p>
        </w:tc>
        <w:tc>
          <w:tcPr>
            <w:tcW w:w="1784" w:type="pct"/>
            <w:tcBorders>
              <w:top w:val="single" w:sz="4" w:space="0" w:color="auto"/>
            </w:tcBorders>
            <w:vAlign w:val="center"/>
          </w:tcPr>
          <w:p w14:paraId="4A8307DF" w14:textId="77777777" w:rsidR="0048688A" w:rsidRPr="00741E24" w:rsidRDefault="0048688A" w:rsidP="00AB7BF2">
            <w:pPr>
              <w:pStyle w:val="Tabletext"/>
              <w:keepNext/>
              <w:keepLines/>
              <w:jc w:val="center"/>
            </w:pPr>
            <w:r w:rsidRPr="00741E24">
              <w:rPr>
                <w:rFonts w:eastAsiaTheme="minorHAnsi"/>
              </w:rPr>
              <w:t>Patients with advanced/metastatic solid tumours with TRKA/B/C, ROS1 or ALK molecular alterations.</w:t>
            </w:r>
          </w:p>
        </w:tc>
        <w:tc>
          <w:tcPr>
            <w:tcW w:w="693" w:type="pct"/>
            <w:tcBorders>
              <w:top w:val="single" w:sz="4" w:space="0" w:color="auto"/>
            </w:tcBorders>
            <w:vAlign w:val="center"/>
          </w:tcPr>
          <w:p w14:paraId="1FD1D147" w14:textId="51825178" w:rsidR="0048688A" w:rsidRPr="00741E24" w:rsidRDefault="0048688A" w:rsidP="00AB7BF2">
            <w:pPr>
              <w:pStyle w:val="Tabletext"/>
              <w:keepNext/>
              <w:keepLines/>
              <w:jc w:val="center"/>
            </w:pPr>
            <w:r w:rsidRPr="00741E24">
              <w:rPr>
                <w:rFonts w:eastAsiaTheme="minorHAnsi"/>
              </w:rPr>
              <w:t>ORR, PFS</w:t>
            </w:r>
            <w:r w:rsidR="0040075D">
              <w:rPr>
                <w:rFonts w:eastAsiaTheme="minorHAnsi"/>
              </w:rPr>
              <w:t xml:space="preserve">, </w:t>
            </w:r>
            <w:r w:rsidRPr="00741E24">
              <w:rPr>
                <w:rFonts w:eastAsiaTheme="minorHAnsi"/>
              </w:rPr>
              <w:t>OS</w:t>
            </w:r>
          </w:p>
        </w:tc>
      </w:tr>
      <w:tr w:rsidR="00033C83" w:rsidRPr="0098262F" w14:paraId="50286F27" w14:textId="77777777" w:rsidTr="00BB73A9">
        <w:tc>
          <w:tcPr>
            <w:tcW w:w="613" w:type="pct"/>
            <w:shd w:val="clear" w:color="auto" w:fill="auto"/>
            <w:vAlign w:val="center"/>
          </w:tcPr>
          <w:p w14:paraId="3CE48CF6" w14:textId="77777777" w:rsidR="0048688A" w:rsidRPr="0098262F" w:rsidRDefault="0048688A" w:rsidP="0086116B">
            <w:pPr>
              <w:pStyle w:val="TableText0"/>
            </w:pPr>
            <w:r>
              <w:t>STARTRK-1</w:t>
            </w:r>
          </w:p>
        </w:tc>
        <w:tc>
          <w:tcPr>
            <w:tcW w:w="456" w:type="pct"/>
            <w:shd w:val="clear" w:color="auto" w:fill="auto"/>
            <w:vAlign w:val="center"/>
          </w:tcPr>
          <w:p w14:paraId="27008EB6" w14:textId="77777777" w:rsidR="0048688A" w:rsidRPr="00741E24" w:rsidRDefault="0048688A" w:rsidP="00741E24">
            <w:pPr>
              <w:pStyle w:val="Tabletext"/>
              <w:jc w:val="center"/>
            </w:pPr>
            <w:r w:rsidRPr="00741E24">
              <w:t>NR</w:t>
            </w:r>
          </w:p>
        </w:tc>
        <w:tc>
          <w:tcPr>
            <w:tcW w:w="867" w:type="pct"/>
            <w:shd w:val="clear" w:color="auto" w:fill="auto"/>
            <w:vAlign w:val="center"/>
          </w:tcPr>
          <w:p w14:paraId="5B6FB1AF" w14:textId="0F7C50D3" w:rsidR="0048688A" w:rsidRPr="00741E24" w:rsidRDefault="0048688A" w:rsidP="00912AFB">
            <w:pPr>
              <w:pStyle w:val="Tabletext"/>
              <w:jc w:val="center"/>
            </w:pPr>
            <w:r w:rsidRPr="00741E24">
              <w:t>Single arm, OL</w:t>
            </w:r>
          </w:p>
          <w:p w14:paraId="6700710C" w14:textId="7C2C5C5D" w:rsidR="0048688A" w:rsidRPr="00741E24" w:rsidRDefault="0048688A" w:rsidP="00912AFB">
            <w:pPr>
              <w:pStyle w:val="Tabletext"/>
              <w:jc w:val="center"/>
            </w:pPr>
            <w:r w:rsidRPr="00741E24">
              <w:t>Trial-specific follow</w:t>
            </w:r>
            <w:r w:rsidR="00E36FE6">
              <w:t>-</w:t>
            </w:r>
            <w:r w:rsidRPr="00741E24">
              <w:t>up duration: NR</w:t>
            </w:r>
          </w:p>
        </w:tc>
        <w:tc>
          <w:tcPr>
            <w:tcW w:w="587" w:type="pct"/>
            <w:shd w:val="clear" w:color="auto" w:fill="auto"/>
            <w:vAlign w:val="center"/>
          </w:tcPr>
          <w:p w14:paraId="16FDB779" w14:textId="77777777" w:rsidR="0048688A" w:rsidRPr="00741E24" w:rsidRDefault="0048688A" w:rsidP="00912AFB">
            <w:pPr>
              <w:pStyle w:val="Tabletext"/>
              <w:jc w:val="center"/>
            </w:pPr>
            <w:r w:rsidRPr="00741E24">
              <w:t>High</w:t>
            </w:r>
          </w:p>
        </w:tc>
        <w:tc>
          <w:tcPr>
            <w:tcW w:w="1784" w:type="pct"/>
            <w:vAlign w:val="center"/>
          </w:tcPr>
          <w:p w14:paraId="1E7455D4" w14:textId="77777777" w:rsidR="0048688A" w:rsidRPr="00741E24" w:rsidRDefault="0048688A" w:rsidP="00912AFB">
            <w:pPr>
              <w:pStyle w:val="Tabletext"/>
              <w:jc w:val="center"/>
            </w:pPr>
            <w:r w:rsidRPr="00741E24">
              <w:rPr>
                <w:rFonts w:eastAsiaTheme="minorHAnsi"/>
              </w:rPr>
              <w:t>Patients with any locally advanced or metastatic solid tumour preferably with NTRK1/2/3, ROS1 or ALK gene rearrangement</w:t>
            </w:r>
          </w:p>
        </w:tc>
        <w:tc>
          <w:tcPr>
            <w:tcW w:w="693" w:type="pct"/>
            <w:vAlign w:val="center"/>
          </w:tcPr>
          <w:p w14:paraId="700D7AAF" w14:textId="2F35552B" w:rsidR="0048688A" w:rsidRPr="00741E24" w:rsidRDefault="0048688A" w:rsidP="00912AFB">
            <w:pPr>
              <w:pStyle w:val="Tabletext"/>
              <w:jc w:val="center"/>
            </w:pPr>
            <w:r w:rsidRPr="00741E24">
              <w:rPr>
                <w:rFonts w:eastAsiaTheme="minorHAnsi"/>
              </w:rPr>
              <w:t>ORR, PFS</w:t>
            </w:r>
            <w:r w:rsidR="0040075D">
              <w:rPr>
                <w:rFonts w:eastAsiaTheme="minorHAnsi"/>
              </w:rPr>
              <w:t xml:space="preserve">, </w:t>
            </w:r>
            <w:r w:rsidRPr="00741E24">
              <w:rPr>
                <w:rFonts w:eastAsiaTheme="minorHAnsi"/>
              </w:rPr>
              <w:t>OS</w:t>
            </w:r>
          </w:p>
        </w:tc>
      </w:tr>
      <w:tr w:rsidR="00033C83" w:rsidRPr="0098262F" w14:paraId="2F1A5ABB" w14:textId="77777777" w:rsidTr="00BB73A9">
        <w:tc>
          <w:tcPr>
            <w:tcW w:w="613" w:type="pct"/>
            <w:shd w:val="clear" w:color="auto" w:fill="auto"/>
            <w:vAlign w:val="center"/>
          </w:tcPr>
          <w:p w14:paraId="3A3D1471" w14:textId="77777777" w:rsidR="0048688A" w:rsidRPr="0098262F" w:rsidRDefault="0048688A" w:rsidP="0086116B">
            <w:pPr>
              <w:pStyle w:val="TableText0"/>
            </w:pPr>
            <w:r w:rsidRPr="00851FAA">
              <w:t>STARTRK-</w:t>
            </w:r>
            <w:r>
              <w:t>2</w:t>
            </w:r>
          </w:p>
        </w:tc>
        <w:tc>
          <w:tcPr>
            <w:tcW w:w="456" w:type="pct"/>
            <w:shd w:val="clear" w:color="auto" w:fill="auto"/>
            <w:vAlign w:val="center"/>
          </w:tcPr>
          <w:p w14:paraId="544614C2" w14:textId="77777777" w:rsidR="0048688A" w:rsidRPr="00741E24" w:rsidRDefault="0048688A" w:rsidP="00741E24">
            <w:pPr>
              <w:pStyle w:val="Tabletext"/>
              <w:jc w:val="center"/>
            </w:pPr>
            <w:r w:rsidRPr="00741E24">
              <w:t>NR</w:t>
            </w:r>
          </w:p>
        </w:tc>
        <w:tc>
          <w:tcPr>
            <w:tcW w:w="867" w:type="pct"/>
            <w:shd w:val="clear" w:color="auto" w:fill="auto"/>
            <w:vAlign w:val="center"/>
          </w:tcPr>
          <w:p w14:paraId="1F972AEC" w14:textId="2C111409" w:rsidR="0048688A" w:rsidRPr="00741E24" w:rsidRDefault="0048688A" w:rsidP="00912AFB">
            <w:pPr>
              <w:pStyle w:val="Tabletext"/>
              <w:jc w:val="center"/>
            </w:pPr>
            <w:r w:rsidRPr="00741E24">
              <w:t>Single arm, OL</w:t>
            </w:r>
          </w:p>
          <w:p w14:paraId="05566E6A" w14:textId="3B4990A3" w:rsidR="0048688A" w:rsidRPr="00741E24" w:rsidRDefault="0048688A" w:rsidP="00912AFB">
            <w:pPr>
              <w:pStyle w:val="Tabletext"/>
              <w:jc w:val="center"/>
            </w:pPr>
            <w:r w:rsidRPr="00741E24">
              <w:t>Trial-specific follow</w:t>
            </w:r>
            <w:r w:rsidR="00E36FE6">
              <w:t>-</w:t>
            </w:r>
            <w:r w:rsidRPr="00741E24">
              <w:t>up duration: NR</w:t>
            </w:r>
          </w:p>
        </w:tc>
        <w:tc>
          <w:tcPr>
            <w:tcW w:w="587" w:type="pct"/>
            <w:shd w:val="clear" w:color="auto" w:fill="auto"/>
            <w:vAlign w:val="center"/>
          </w:tcPr>
          <w:p w14:paraId="5FD68158" w14:textId="77777777" w:rsidR="0048688A" w:rsidRPr="00741E24" w:rsidRDefault="0048688A" w:rsidP="00912AFB">
            <w:pPr>
              <w:pStyle w:val="Tabletext"/>
              <w:jc w:val="center"/>
            </w:pPr>
            <w:r w:rsidRPr="00741E24">
              <w:t>High</w:t>
            </w:r>
          </w:p>
        </w:tc>
        <w:tc>
          <w:tcPr>
            <w:tcW w:w="1784" w:type="pct"/>
            <w:vAlign w:val="center"/>
          </w:tcPr>
          <w:p w14:paraId="432CE695" w14:textId="77777777" w:rsidR="0048688A" w:rsidRPr="00741E24" w:rsidRDefault="0048688A" w:rsidP="00912AFB">
            <w:pPr>
              <w:pStyle w:val="Tabletext"/>
              <w:jc w:val="center"/>
            </w:pPr>
            <w:r w:rsidRPr="00741E24">
              <w:rPr>
                <w:rFonts w:eastAsiaTheme="minorHAnsi"/>
              </w:rPr>
              <w:t>Patients with locally advanced or metastatic solid tumours harbouring a NTRK1/2/3, ROS1 or ALK gene rearrangement.</w:t>
            </w:r>
          </w:p>
        </w:tc>
        <w:tc>
          <w:tcPr>
            <w:tcW w:w="693" w:type="pct"/>
            <w:vAlign w:val="center"/>
          </w:tcPr>
          <w:p w14:paraId="2C96C543" w14:textId="263A66B3" w:rsidR="0048688A" w:rsidRPr="00741E24" w:rsidRDefault="0048688A" w:rsidP="00912AFB">
            <w:pPr>
              <w:pStyle w:val="Tabletext"/>
              <w:jc w:val="center"/>
            </w:pPr>
            <w:r w:rsidRPr="00741E24">
              <w:rPr>
                <w:rFonts w:eastAsiaTheme="minorHAnsi"/>
              </w:rPr>
              <w:t>ORR, PFS</w:t>
            </w:r>
            <w:r w:rsidR="00CB1B50">
              <w:rPr>
                <w:rFonts w:eastAsiaTheme="minorHAnsi"/>
              </w:rPr>
              <w:t xml:space="preserve">, </w:t>
            </w:r>
            <w:r w:rsidRPr="00741E24">
              <w:rPr>
                <w:rFonts w:eastAsiaTheme="minorHAnsi"/>
              </w:rPr>
              <w:t>OS</w:t>
            </w:r>
          </w:p>
        </w:tc>
      </w:tr>
      <w:tr w:rsidR="0048688A" w:rsidRPr="0098262F" w14:paraId="230A8200" w14:textId="77777777" w:rsidTr="00BB73A9">
        <w:tc>
          <w:tcPr>
            <w:tcW w:w="613" w:type="pct"/>
            <w:shd w:val="clear" w:color="auto" w:fill="auto"/>
            <w:vAlign w:val="center"/>
          </w:tcPr>
          <w:p w14:paraId="21178509" w14:textId="0A33FA5B" w:rsidR="0048688A" w:rsidRPr="0098262F" w:rsidRDefault="0048688A" w:rsidP="0086116B">
            <w:pPr>
              <w:pStyle w:val="TableText0"/>
            </w:pPr>
            <w:r>
              <w:t xml:space="preserve">Pooled </w:t>
            </w:r>
            <w:r w:rsidR="0004642D">
              <w:t xml:space="preserve">ALKA, </w:t>
            </w:r>
            <w:r w:rsidR="0004642D" w:rsidRPr="00851FAA">
              <w:t>STARTRK-</w:t>
            </w:r>
            <w:r w:rsidR="00B52BA7">
              <w:t>1 and -</w:t>
            </w:r>
            <w:r w:rsidR="0004642D">
              <w:t>2</w:t>
            </w:r>
            <w:r w:rsidR="00B52BA7">
              <w:t xml:space="preserve"> </w:t>
            </w:r>
            <w:r>
              <w:t>data</w:t>
            </w:r>
          </w:p>
        </w:tc>
        <w:tc>
          <w:tcPr>
            <w:tcW w:w="456" w:type="pct"/>
            <w:shd w:val="clear" w:color="auto" w:fill="auto"/>
            <w:vAlign w:val="center"/>
          </w:tcPr>
          <w:p w14:paraId="1E578097" w14:textId="77777777" w:rsidR="0048688A" w:rsidRPr="00741E24" w:rsidRDefault="0048688A" w:rsidP="00741E24">
            <w:pPr>
              <w:pStyle w:val="Tabletext"/>
              <w:jc w:val="center"/>
            </w:pPr>
            <w:r w:rsidRPr="00741E24">
              <w:t>172</w:t>
            </w:r>
          </w:p>
        </w:tc>
        <w:tc>
          <w:tcPr>
            <w:tcW w:w="3931" w:type="pct"/>
            <w:gridSpan w:val="4"/>
            <w:shd w:val="clear" w:color="auto" w:fill="auto"/>
            <w:vAlign w:val="center"/>
          </w:tcPr>
          <w:p w14:paraId="1DECDDED" w14:textId="41E55225" w:rsidR="0048688A" w:rsidRPr="00741E24" w:rsidRDefault="0048688A" w:rsidP="00912AFB">
            <w:pPr>
              <w:pStyle w:val="Tabletext"/>
              <w:jc w:val="center"/>
            </w:pPr>
            <w:r w:rsidRPr="00741E24">
              <w:t xml:space="preserve">ROS1 NSCLC Efficacy Evaluable Analysis Set including relevant subgroups from the above </w:t>
            </w:r>
            <w:r w:rsidR="00CB1B50">
              <w:t>3</w:t>
            </w:r>
            <w:r w:rsidR="00CB1B50" w:rsidRPr="00741E24">
              <w:t xml:space="preserve"> </w:t>
            </w:r>
            <w:r w:rsidRPr="00741E24">
              <w:t xml:space="preserve">entrectinib studies, defined as ROS1-positive TKI naïve NSCLC patients with measurable disease at </w:t>
            </w:r>
            <w:r w:rsidR="006D3658">
              <w:t>BL</w:t>
            </w:r>
            <w:r w:rsidRPr="00741E24">
              <w:t xml:space="preserve"> and ≥12 months follow-up from onset of response or had discontinued study treatment at CCOD. Median follow-up for patients included in the integrated analysis: 37.8 months.</w:t>
            </w:r>
          </w:p>
        </w:tc>
      </w:tr>
      <w:tr w:rsidR="00033C83" w:rsidRPr="0098262F" w14:paraId="2321B709" w14:textId="77777777" w:rsidTr="00BB73A9">
        <w:tc>
          <w:tcPr>
            <w:tcW w:w="613" w:type="pct"/>
            <w:shd w:val="clear" w:color="auto" w:fill="auto"/>
            <w:vAlign w:val="center"/>
          </w:tcPr>
          <w:p w14:paraId="44288955" w14:textId="77777777" w:rsidR="00130E05" w:rsidRDefault="0048688A" w:rsidP="0086116B">
            <w:pPr>
              <w:pStyle w:val="TableText0"/>
            </w:pPr>
            <w:r>
              <w:t xml:space="preserve">BFAST </w:t>
            </w:r>
          </w:p>
          <w:p w14:paraId="6529F69D" w14:textId="071823F8" w:rsidR="0048688A" w:rsidRDefault="00CB5C02" w:rsidP="0086116B">
            <w:pPr>
              <w:pStyle w:val="TableText0"/>
            </w:pPr>
            <w:r>
              <w:t>C</w:t>
            </w:r>
            <w:r w:rsidR="0048688A">
              <w:t>ohort D</w:t>
            </w:r>
          </w:p>
        </w:tc>
        <w:tc>
          <w:tcPr>
            <w:tcW w:w="456" w:type="pct"/>
            <w:shd w:val="clear" w:color="auto" w:fill="auto"/>
            <w:vAlign w:val="center"/>
          </w:tcPr>
          <w:p w14:paraId="15E6E338" w14:textId="77777777" w:rsidR="0048688A" w:rsidRPr="00741E24" w:rsidRDefault="0048688A" w:rsidP="00741E24">
            <w:pPr>
              <w:pStyle w:val="Tabletext"/>
              <w:jc w:val="center"/>
            </w:pPr>
            <w:r w:rsidRPr="00741E24">
              <w:t>55</w:t>
            </w:r>
          </w:p>
        </w:tc>
        <w:tc>
          <w:tcPr>
            <w:tcW w:w="867" w:type="pct"/>
            <w:shd w:val="clear" w:color="auto" w:fill="auto"/>
            <w:vAlign w:val="center"/>
          </w:tcPr>
          <w:p w14:paraId="55A78A53" w14:textId="52818D6A" w:rsidR="0048688A" w:rsidRPr="00741E24" w:rsidRDefault="0048688A" w:rsidP="00912AFB">
            <w:pPr>
              <w:pStyle w:val="Tabletext"/>
              <w:jc w:val="center"/>
            </w:pPr>
            <w:r w:rsidRPr="00741E24">
              <w:t>Single arm, OL</w:t>
            </w:r>
          </w:p>
          <w:p w14:paraId="177267B9" w14:textId="4472944C" w:rsidR="0048688A" w:rsidRPr="00741E24" w:rsidRDefault="0048688A" w:rsidP="00912AFB">
            <w:pPr>
              <w:pStyle w:val="Tabletext"/>
              <w:jc w:val="center"/>
            </w:pPr>
            <w:r w:rsidRPr="00741E24">
              <w:t>Median follow</w:t>
            </w:r>
            <w:r w:rsidR="00E36FE6">
              <w:t>-</w:t>
            </w:r>
            <w:r w:rsidRPr="00741E24">
              <w:t>up duration:</w:t>
            </w:r>
            <w:r w:rsidR="00E36FE6">
              <w:t xml:space="preserve"> </w:t>
            </w:r>
            <w:r w:rsidRPr="00741E24">
              <w:t>18.3 months</w:t>
            </w:r>
          </w:p>
        </w:tc>
        <w:tc>
          <w:tcPr>
            <w:tcW w:w="587" w:type="pct"/>
            <w:shd w:val="clear" w:color="auto" w:fill="auto"/>
            <w:vAlign w:val="center"/>
          </w:tcPr>
          <w:p w14:paraId="1B01E852" w14:textId="77777777" w:rsidR="0048688A" w:rsidRPr="00741E24" w:rsidRDefault="0048688A" w:rsidP="00912AFB">
            <w:pPr>
              <w:pStyle w:val="Tabletext"/>
              <w:jc w:val="center"/>
            </w:pPr>
            <w:r w:rsidRPr="00741E24">
              <w:t>High</w:t>
            </w:r>
          </w:p>
        </w:tc>
        <w:tc>
          <w:tcPr>
            <w:tcW w:w="1784" w:type="pct"/>
            <w:vAlign w:val="center"/>
          </w:tcPr>
          <w:p w14:paraId="333A4989" w14:textId="32F564A8" w:rsidR="0048688A" w:rsidRPr="00741E24" w:rsidRDefault="0048688A" w:rsidP="00912AFB">
            <w:pPr>
              <w:pStyle w:val="Tabletext"/>
              <w:jc w:val="center"/>
            </w:pPr>
            <w:r w:rsidRPr="00741E24">
              <w:rPr>
                <w:rFonts w:eastAsiaTheme="minorHAnsi"/>
              </w:rPr>
              <w:t xml:space="preserve">Patients with </w:t>
            </w:r>
            <w:r w:rsidR="00C5075B">
              <w:rPr>
                <w:rFonts w:eastAsiaTheme="minorHAnsi"/>
              </w:rPr>
              <w:t>S</w:t>
            </w:r>
            <w:r w:rsidRPr="00741E24">
              <w:rPr>
                <w:rFonts w:eastAsiaTheme="minorHAnsi"/>
              </w:rPr>
              <w:t>tage IIIB/IV, ROS1-positive NSCLC who could have received previous systemic therapies (chemotherapy, immunotherapy), but no prior TKI treatment specifically targeting the ROS1 rearrangement.</w:t>
            </w:r>
          </w:p>
        </w:tc>
        <w:tc>
          <w:tcPr>
            <w:tcW w:w="693" w:type="pct"/>
            <w:vAlign w:val="center"/>
          </w:tcPr>
          <w:p w14:paraId="5E23EC00" w14:textId="4F1B0827" w:rsidR="0048688A" w:rsidRPr="00741E24" w:rsidRDefault="0048688A" w:rsidP="00912AFB">
            <w:pPr>
              <w:pStyle w:val="Tabletext"/>
              <w:jc w:val="center"/>
            </w:pPr>
            <w:r w:rsidRPr="00741E24">
              <w:rPr>
                <w:rFonts w:eastAsiaTheme="minorHAnsi"/>
              </w:rPr>
              <w:t>ORR, PFS</w:t>
            </w:r>
            <w:r w:rsidR="00CB1B50">
              <w:rPr>
                <w:rFonts w:eastAsiaTheme="minorHAnsi"/>
              </w:rPr>
              <w:t xml:space="preserve">, </w:t>
            </w:r>
            <w:r w:rsidRPr="00741E24">
              <w:rPr>
                <w:rFonts w:eastAsiaTheme="minorHAnsi"/>
              </w:rPr>
              <w:t>OS</w:t>
            </w:r>
          </w:p>
        </w:tc>
      </w:tr>
    </w:tbl>
    <w:p w14:paraId="5F77917C" w14:textId="018399C3" w:rsidR="0048688A" w:rsidRDefault="0048688A" w:rsidP="00F511D9">
      <w:pPr>
        <w:pStyle w:val="TableFigureFooter"/>
      </w:pPr>
      <w:r w:rsidRPr="009C656B">
        <w:t>Source: Table 21, p46 of the submission.</w:t>
      </w:r>
    </w:p>
    <w:p w14:paraId="6D8E4784" w14:textId="35CEB2A1" w:rsidR="001662A9" w:rsidRDefault="001D39C5" w:rsidP="00F511D9">
      <w:pPr>
        <w:pStyle w:val="TableFigureFooter"/>
      </w:pPr>
      <w:r>
        <w:t>ALK = a</w:t>
      </w:r>
      <w:r w:rsidRPr="001D39C5">
        <w:t>naplastic lymphoma kinase</w:t>
      </w:r>
      <w:r>
        <w:t xml:space="preserve">; </w:t>
      </w:r>
      <w:r w:rsidR="007D05F3">
        <w:t xml:space="preserve">BL = baseline; </w:t>
      </w:r>
      <w:r w:rsidR="0048688A">
        <w:t xml:space="preserve">CCOD = clinical cutoff date; </w:t>
      </w:r>
      <w:r w:rsidR="008737E2" w:rsidRPr="008737E2">
        <w:t>EXP-</w:t>
      </w:r>
      <w:r w:rsidR="008737E2">
        <w:t>1</w:t>
      </w:r>
      <w:r w:rsidR="008737E2" w:rsidRPr="008737E2">
        <w:t xml:space="preserve"> = prespecified expansion cohort </w:t>
      </w:r>
      <w:r w:rsidR="008737E2">
        <w:t xml:space="preserve">1; </w:t>
      </w:r>
      <w:r w:rsidR="0048688A">
        <w:t xml:space="preserve">NR = not reported; NSCLC = non-small cell lung cancer; </w:t>
      </w:r>
      <w:r w:rsidR="002628A9">
        <w:t>NTRK1/2/3</w:t>
      </w:r>
      <w:r w:rsidR="00524D57">
        <w:t xml:space="preserve"> = n</w:t>
      </w:r>
      <w:r w:rsidR="002628A9" w:rsidRPr="002628A9">
        <w:t>eurotrophic tropomyosin receptor kinase</w:t>
      </w:r>
      <w:r w:rsidR="00524D57">
        <w:t xml:space="preserve"> 1, 2, 3</w:t>
      </w:r>
      <w:r w:rsidR="002628A9">
        <w:t xml:space="preserve">; </w:t>
      </w:r>
      <w:r w:rsidR="0048688A" w:rsidRPr="0098262F">
        <w:t xml:space="preserve">OL = open label; </w:t>
      </w:r>
      <w:r w:rsidR="0048688A">
        <w:t xml:space="preserve">ORR = objective response rate; </w:t>
      </w:r>
      <w:r w:rsidR="0048688A" w:rsidRPr="0098262F">
        <w:t>OS = overall survival; PFS = progression-free survival;</w:t>
      </w:r>
      <w:r w:rsidR="00752EBC">
        <w:t xml:space="preserve"> </w:t>
      </w:r>
      <w:r w:rsidR="00867F35">
        <w:t>P</w:t>
      </w:r>
      <w:r w:rsidR="00F95AEA">
        <w:t>2</w:t>
      </w:r>
      <w:r w:rsidR="00867F35">
        <w:t xml:space="preserve"> = </w:t>
      </w:r>
      <w:r w:rsidR="000C064D">
        <w:t>p</w:t>
      </w:r>
      <w:r w:rsidR="00867F35">
        <w:t xml:space="preserve">hase </w:t>
      </w:r>
      <w:r w:rsidR="00F95AEA">
        <w:t>2</w:t>
      </w:r>
      <w:r w:rsidR="00867F35">
        <w:t xml:space="preserve">, P1+2 = </w:t>
      </w:r>
      <w:r w:rsidR="000C064D">
        <w:t>p</w:t>
      </w:r>
      <w:r w:rsidR="00867F35">
        <w:t xml:space="preserve">hase 1 and </w:t>
      </w:r>
      <w:r w:rsidR="000C064D">
        <w:t>p</w:t>
      </w:r>
      <w:r w:rsidR="00453BE1">
        <w:t xml:space="preserve">hase </w:t>
      </w:r>
      <w:r w:rsidR="00867F35">
        <w:t>2</w:t>
      </w:r>
      <w:r w:rsidR="00453BE1">
        <w:t xml:space="preserve">; </w:t>
      </w:r>
      <w:r w:rsidR="00752EBC" w:rsidRPr="00752EBC">
        <w:t xml:space="preserve">ROS1 = </w:t>
      </w:r>
      <w:r w:rsidR="003C4B8F">
        <w:t>c-</w:t>
      </w:r>
      <w:r w:rsidR="00752EBC" w:rsidRPr="00752EBC">
        <w:t>ROS proto-oncogene 1</w:t>
      </w:r>
      <w:r w:rsidR="00752EBC">
        <w:t>; TKI = t</w:t>
      </w:r>
      <w:r w:rsidR="00752EBC" w:rsidRPr="00752EBC">
        <w:t>yrosine kinase inhibitor</w:t>
      </w:r>
      <w:r w:rsidR="00920063">
        <w:t>; TRKA/B/C = t</w:t>
      </w:r>
      <w:r w:rsidR="00920063" w:rsidRPr="00920063">
        <w:t>ropomyosin receptor kinase A, B</w:t>
      </w:r>
      <w:r w:rsidR="00920063">
        <w:t xml:space="preserve">, </w:t>
      </w:r>
      <w:r w:rsidR="00920063" w:rsidRPr="00920063">
        <w:t>C</w:t>
      </w:r>
      <w:r w:rsidR="00920063">
        <w:t xml:space="preserve"> </w:t>
      </w:r>
      <w:r w:rsidR="00752EBC" w:rsidRPr="00752EBC">
        <w:t>.</w:t>
      </w:r>
    </w:p>
    <w:p w14:paraId="0281A244" w14:textId="7C797E76" w:rsidR="00480B22" w:rsidRPr="007A38AF" w:rsidRDefault="00E6771D" w:rsidP="006E4155">
      <w:pPr>
        <w:pStyle w:val="3-BodyText"/>
      </w:pPr>
      <w:bookmarkStart w:id="20" w:name="_Toc22897641"/>
      <w:r w:rsidRPr="007A38AF">
        <w:t xml:space="preserve">The </w:t>
      </w:r>
      <w:r w:rsidR="0086106E" w:rsidRPr="007A38AF">
        <w:t xml:space="preserve">3 </w:t>
      </w:r>
      <w:r w:rsidR="002B2B26" w:rsidRPr="007A38AF">
        <w:t>entrectinib</w:t>
      </w:r>
      <w:r w:rsidR="00211547" w:rsidRPr="007A38AF">
        <w:t xml:space="preserve"> studies (</w:t>
      </w:r>
      <w:r w:rsidRPr="007A38AF">
        <w:t>ALKA, STARTRK-1 and STARTRK-2</w:t>
      </w:r>
      <w:r w:rsidR="00211547" w:rsidRPr="007A38AF">
        <w:t>)</w:t>
      </w:r>
      <w:r w:rsidRPr="007A38AF">
        <w:t xml:space="preserve"> </w:t>
      </w:r>
      <w:r w:rsidR="00211547" w:rsidRPr="007A38AF">
        <w:t xml:space="preserve">that </w:t>
      </w:r>
      <w:r w:rsidR="00741815" w:rsidRPr="007A38AF">
        <w:t xml:space="preserve">form the basis of the </w:t>
      </w:r>
      <w:r w:rsidRPr="007A38AF">
        <w:t xml:space="preserve">integrated analysis </w:t>
      </w:r>
      <w:r w:rsidR="00741815" w:rsidRPr="007A38AF">
        <w:t>do not have published primary studies</w:t>
      </w:r>
      <w:r w:rsidR="009E3271" w:rsidRPr="007A38AF">
        <w:t xml:space="preserve"> or associated publications (results reported on clinicaltrials.gov etc.)</w:t>
      </w:r>
      <w:r w:rsidR="00606357" w:rsidRPr="007A38AF">
        <w:t xml:space="preserve"> as these studies were </w:t>
      </w:r>
      <w:r w:rsidR="00885824" w:rsidRPr="007A38AF">
        <w:t>pooled by the manufacturer prior to publication using individual patient</w:t>
      </w:r>
      <w:r w:rsidR="00E95816" w:rsidRPr="007A38AF">
        <w:t>-level</w:t>
      </w:r>
      <w:r w:rsidR="00885824" w:rsidRPr="007A38AF">
        <w:t xml:space="preserve"> data</w:t>
      </w:r>
      <w:r w:rsidR="00741815" w:rsidRPr="007A38AF">
        <w:t xml:space="preserve">. </w:t>
      </w:r>
      <w:r w:rsidR="002D6518" w:rsidRPr="007A38AF">
        <w:t>Therefore, it is</w:t>
      </w:r>
      <w:r w:rsidR="00DA29DA" w:rsidRPr="007A38AF">
        <w:t xml:space="preserve"> </w:t>
      </w:r>
      <w:r w:rsidR="00246AE1" w:rsidRPr="007A38AF">
        <w:t>im</w:t>
      </w:r>
      <w:r w:rsidR="006D6677" w:rsidRPr="007A38AF">
        <w:t>possible</w:t>
      </w:r>
      <w:r w:rsidR="00DA29DA" w:rsidRPr="007A38AF">
        <w:t xml:space="preserve"> to </w:t>
      </w:r>
      <w:r w:rsidR="00335629" w:rsidRPr="007A38AF">
        <w:t xml:space="preserve">confirm the reported data </w:t>
      </w:r>
      <w:r w:rsidR="006D6677" w:rsidRPr="007A38AF">
        <w:t xml:space="preserve">of the integrated analysis or </w:t>
      </w:r>
      <w:r w:rsidR="00F64CB1" w:rsidRPr="007A38AF">
        <w:t>interrogate</w:t>
      </w:r>
      <w:r w:rsidR="009E3271" w:rsidRPr="007A38AF">
        <w:t xml:space="preserve"> the number of patients that were enrolled in each </w:t>
      </w:r>
      <w:r w:rsidR="002F18C9" w:rsidRPr="007A38AF">
        <w:t xml:space="preserve">of these </w:t>
      </w:r>
      <w:r w:rsidR="00246AE1" w:rsidRPr="007A38AF">
        <w:t xml:space="preserve">3 </w:t>
      </w:r>
      <w:r w:rsidR="002F18C9" w:rsidRPr="007A38AF">
        <w:t>studies</w:t>
      </w:r>
      <w:r w:rsidR="009E3271" w:rsidRPr="007A38AF">
        <w:t>.</w:t>
      </w:r>
      <w:r w:rsidR="00D2113F" w:rsidRPr="007A38AF">
        <w:t xml:space="preserve"> The submission state</w:t>
      </w:r>
      <w:r w:rsidR="00FB781F">
        <w:t>d</w:t>
      </w:r>
      <w:r w:rsidR="00241C35" w:rsidRPr="007A38AF">
        <w:t xml:space="preserve">: </w:t>
      </w:r>
      <w:r w:rsidR="00D2113F" w:rsidRPr="007A38AF">
        <w:t xml:space="preserve">‘Overall, while there is no apparent reason to doubt the integrity of the conduct of the </w:t>
      </w:r>
      <w:r w:rsidR="00286FDC" w:rsidRPr="007A38AF">
        <w:t xml:space="preserve">3 </w:t>
      </w:r>
      <w:r w:rsidR="00D2113F" w:rsidRPr="007A38AF">
        <w:t>underlying entrectinib trials, or the full and proper selection of relevant data for inclusion in the integrated analysis, the lack of transparency in this aspect of the published data leave some unresolvable uncertainty.’</w:t>
      </w:r>
      <w:r w:rsidR="001A6E53" w:rsidRPr="007A38AF">
        <w:t xml:space="preserve"> </w:t>
      </w:r>
    </w:p>
    <w:p w14:paraId="3152E839" w14:textId="2822910E" w:rsidR="000A0D72" w:rsidRPr="002777AB" w:rsidRDefault="00614FAD" w:rsidP="006E4155">
      <w:pPr>
        <w:pStyle w:val="3-BodyText"/>
      </w:pPr>
      <w:r w:rsidRPr="007A38AF">
        <w:t>The submission report</w:t>
      </w:r>
      <w:r w:rsidR="00FB781F">
        <w:t>ed</w:t>
      </w:r>
      <w:r w:rsidRPr="007A38AF">
        <w:t xml:space="preserve"> the risk of bias of the included single</w:t>
      </w:r>
      <w:r w:rsidR="001852ED" w:rsidRPr="007A38AF">
        <w:t xml:space="preserve"> </w:t>
      </w:r>
      <w:r w:rsidRPr="007A38AF">
        <w:t>arm trials as high. The submission state</w:t>
      </w:r>
      <w:r w:rsidR="00FB781F">
        <w:t>d</w:t>
      </w:r>
      <w:r w:rsidRPr="007A38AF">
        <w:t xml:space="preserve"> that the main source of bias for the clinical evaluation is from the different distribution of confound</w:t>
      </w:r>
      <w:r w:rsidR="00AF213E" w:rsidRPr="007A38AF">
        <w:t>ing</w:t>
      </w:r>
      <w:r w:rsidRPr="007A38AF">
        <w:t>/prognostic factors due to the non-randomised treatment allocation in single</w:t>
      </w:r>
      <w:r w:rsidR="001852ED" w:rsidRPr="007A38AF">
        <w:t xml:space="preserve"> </w:t>
      </w:r>
      <w:r w:rsidRPr="007A38AF">
        <w:t xml:space="preserve">arm trials. </w:t>
      </w:r>
      <w:r w:rsidR="00FB5A42" w:rsidRPr="007A38AF">
        <w:t>T</w:t>
      </w:r>
      <w:r w:rsidRPr="007A38AF">
        <w:t xml:space="preserve">he </w:t>
      </w:r>
      <w:r w:rsidR="004B2E14" w:rsidRPr="007A38AF">
        <w:t xml:space="preserve">submission </w:t>
      </w:r>
      <w:r w:rsidRPr="007A38AF">
        <w:t xml:space="preserve">did not appraise the included </w:t>
      </w:r>
      <w:r w:rsidR="00262992" w:rsidRPr="007A38AF">
        <w:t>studies</w:t>
      </w:r>
      <w:r w:rsidRPr="007A38AF">
        <w:t xml:space="preserve"> using a design-specific risk</w:t>
      </w:r>
      <w:r w:rsidR="00EE529D" w:rsidRPr="007A38AF">
        <w:t>-</w:t>
      </w:r>
      <w:r w:rsidRPr="007A38AF">
        <w:t>of</w:t>
      </w:r>
      <w:r w:rsidR="00EE529D" w:rsidRPr="007A38AF">
        <w:t>-</w:t>
      </w:r>
      <w:r w:rsidRPr="007A38AF">
        <w:t>bias tool</w:t>
      </w:r>
      <w:r w:rsidR="00862F0B" w:rsidRPr="007A38AF">
        <w:t xml:space="preserve"> nor provided adequate detail </w:t>
      </w:r>
      <w:r w:rsidR="007B67FC" w:rsidRPr="007A38AF">
        <w:t xml:space="preserve">to </w:t>
      </w:r>
      <w:r w:rsidR="007B67FC" w:rsidRPr="002777AB">
        <w:t xml:space="preserve">support the </w:t>
      </w:r>
      <w:r w:rsidR="00B23F1B" w:rsidRPr="002777AB">
        <w:t xml:space="preserve">individual domain </w:t>
      </w:r>
      <w:r w:rsidR="007B67FC" w:rsidRPr="002777AB">
        <w:t>assessment</w:t>
      </w:r>
      <w:r w:rsidR="00F96B22" w:rsidRPr="002777AB">
        <w:t xml:space="preserve"> or overall judgement</w:t>
      </w:r>
      <w:r w:rsidRPr="002777AB">
        <w:t>.</w:t>
      </w:r>
      <w:r w:rsidR="00EA68D7" w:rsidRPr="002777AB">
        <w:t xml:space="preserve"> As assessed during </w:t>
      </w:r>
      <w:r w:rsidR="00EA68D7" w:rsidRPr="002777AB">
        <w:lastRenderedPageBreak/>
        <w:t>evaluation</w:t>
      </w:r>
      <w:r w:rsidR="00E65D1E" w:rsidRPr="002777AB">
        <w:t xml:space="preserve"> (</w:t>
      </w:r>
      <w:r w:rsidR="004517EB" w:rsidRPr="002777AB">
        <w:t xml:space="preserve">via the </w:t>
      </w:r>
      <w:r w:rsidR="00E65D1E" w:rsidRPr="002777AB">
        <w:t>Institute of Health Economics Quality Appraisal Checklist)</w:t>
      </w:r>
      <w:r w:rsidR="00EA68D7" w:rsidRPr="002777AB">
        <w:t>, T</w:t>
      </w:r>
      <w:r w:rsidR="004E1E6C" w:rsidRPr="002777AB">
        <w:t>RIDENT-1</w:t>
      </w:r>
      <w:r w:rsidR="00EA68D7" w:rsidRPr="002777AB">
        <w:t xml:space="preserve"> and </w:t>
      </w:r>
      <w:r w:rsidR="004E1E6C" w:rsidRPr="002777AB">
        <w:t>BFAST</w:t>
      </w:r>
      <w:r w:rsidR="00EA68D7" w:rsidRPr="002777AB">
        <w:t xml:space="preserve"> had a moderate level of bias. A moderate level of bias was assigned due to the lack of blinding of these single arm studies, along with insufficient</w:t>
      </w:r>
      <w:r w:rsidR="009E2444" w:rsidRPr="002777AB">
        <w:t>/un</w:t>
      </w:r>
      <w:r w:rsidR="006A672E" w:rsidRPr="002777AB">
        <w:t>clear</w:t>
      </w:r>
      <w:r w:rsidR="00EA68D7" w:rsidRPr="002777AB">
        <w:t xml:space="preserve"> details on co-interventions</w:t>
      </w:r>
      <w:r w:rsidR="00EB3262" w:rsidRPr="002777AB">
        <w:t>,</w:t>
      </w:r>
      <w:r w:rsidR="009C19DC" w:rsidRPr="002777AB">
        <w:t xml:space="preserve"> whether </w:t>
      </w:r>
      <w:r w:rsidR="007D464C" w:rsidRPr="002777AB">
        <w:t>patients were recruited consecutively</w:t>
      </w:r>
      <w:r w:rsidR="006A672E" w:rsidRPr="002777AB">
        <w:t>,</w:t>
      </w:r>
      <w:r w:rsidR="007D464C" w:rsidRPr="002777AB">
        <w:t xml:space="preserve"> and </w:t>
      </w:r>
      <w:r w:rsidR="006F169C" w:rsidRPr="002777AB">
        <w:t xml:space="preserve">if follow-up was </w:t>
      </w:r>
      <w:r w:rsidR="009E2444" w:rsidRPr="002777AB">
        <w:t>long enough for important events to occur.</w:t>
      </w:r>
      <w:r w:rsidR="006A672E" w:rsidRPr="002777AB">
        <w:t xml:space="preserve"> </w:t>
      </w:r>
      <w:r w:rsidR="000A0D72" w:rsidRPr="002777AB">
        <w:t>As assessed during evaluation</w:t>
      </w:r>
      <w:r w:rsidR="00317A8E" w:rsidRPr="002777AB">
        <w:t xml:space="preserve"> (</w:t>
      </w:r>
      <w:r w:rsidR="004517EB" w:rsidRPr="002777AB">
        <w:t xml:space="preserve">via </w:t>
      </w:r>
      <w:r w:rsidR="00317A8E" w:rsidRPr="002777AB">
        <w:t>ROBINS-I</w:t>
      </w:r>
      <w:r w:rsidR="00B556E5" w:rsidRPr="002777AB">
        <w:rPr>
          <w:rStyle w:val="FootnoteReference"/>
        </w:rPr>
        <w:footnoteReference w:id="4"/>
      </w:r>
      <w:r w:rsidR="00317A8E" w:rsidRPr="002777AB">
        <w:t>)</w:t>
      </w:r>
      <w:r w:rsidR="000A0D72" w:rsidRPr="002777AB">
        <w:t xml:space="preserve">, </w:t>
      </w:r>
      <w:r w:rsidR="00130AFB" w:rsidRPr="002777AB">
        <w:t xml:space="preserve">the </w:t>
      </w:r>
      <w:r w:rsidR="005F5656" w:rsidRPr="002777AB">
        <w:t xml:space="preserve">integrated analysis of ALKA, STARTRK-1 and STARTRK-2 studies </w:t>
      </w:r>
      <w:r w:rsidR="000A0D72" w:rsidRPr="002777AB">
        <w:t xml:space="preserve">had a </w:t>
      </w:r>
      <w:r w:rsidR="00130AFB" w:rsidRPr="002777AB">
        <w:t>critical</w:t>
      </w:r>
      <w:r w:rsidR="000A0D72" w:rsidRPr="002777AB">
        <w:t xml:space="preserve"> level of bias</w:t>
      </w:r>
      <w:r w:rsidR="00755942">
        <w:t>.</w:t>
      </w:r>
      <w:r w:rsidR="000A0D72" w:rsidRPr="002777AB">
        <w:t xml:space="preserve"> A </w:t>
      </w:r>
      <w:r w:rsidR="00130AFB" w:rsidRPr="002777AB">
        <w:t>critical</w:t>
      </w:r>
      <w:r w:rsidR="000A0D72" w:rsidRPr="002777AB">
        <w:t xml:space="preserve"> level of bias</w:t>
      </w:r>
      <w:r w:rsidR="00406DFA" w:rsidRPr="002777AB">
        <w:rPr>
          <w:rStyle w:val="FootnoteReference"/>
        </w:rPr>
        <w:footnoteReference w:id="5"/>
      </w:r>
      <w:r w:rsidR="00406DFA" w:rsidRPr="002777AB">
        <w:rPr>
          <w:vertAlign w:val="superscript"/>
        </w:rPr>
        <w:t>,</w:t>
      </w:r>
      <w:r w:rsidR="000A0D72" w:rsidRPr="002777AB">
        <w:t xml:space="preserve"> was assigned </w:t>
      </w:r>
      <w:r w:rsidR="009508A1" w:rsidRPr="002777AB">
        <w:t xml:space="preserve">as </w:t>
      </w:r>
      <w:r w:rsidR="0083233B" w:rsidRPr="002777AB">
        <w:t xml:space="preserve">no methods </w:t>
      </w:r>
      <w:r w:rsidR="009508A1" w:rsidRPr="002777AB">
        <w:t>were</w:t>
      </w:r>
      <w:r w:rsidR="0083233B" w:rsidRPr="002777AB">
        <w:t xml:space="preserve"> </w:t>
      </w:r>
      <w:r w:rsidR="00525A7F" w:rsidRPr="002777AB">
        <w:t>implemented</w:t>
      </w:r>
      <w:r w:rsidR="0083233B" w:rsidRPr="002777AB">
        <w:t xml:space="preserve"> to </w:t>
      </w:r>
      <w:r w:rsidR="00525A7F" w:rsidRPr="002777AB">
        <w:t>adjust for potential confound</w:t>
      </w:r>
      <w:r w:rsidR="004A4A1C" w:rsidRPr="002777AB">
        <w:t>ing</w:t>
      </w:r>
      <w:r w:rsidR="00464507" w:rsidRPr="002777AB">
        <w:t>,</w:t>
      </w:r>
      <w:r w:rsidR="00AD7BC3" w:rsidRPr="002777AB">
        <w:t xml:space="preserve"> </w:t>
      </w:r>
      <w:r w:rsidR="00E25FA0" w:rsidRPr="002777AB">
        <w:t>a</w:t>
      </w:r>
      <w:r w:rsidR="00464507" w:rsidRPr="002777AB">
        <w:t xml:space="preserve"> lack of blinding,</w:t>
      </w:r>
      <w:r w:rsidR="00BB66FF" w:rsidRPr="002777AB">
        <w:t xml:space="preserve"> and it </w:t>
      </w:r>
      <w:r w:rsidR="002C1817" w:rsidRPr="002777AB">
        <w:t>was</w:t>
      </w:r>
      <w:r w:rsidR="00BB66FF" w:rsidRPr="002777AB">
        <w:t xml:space="preserve"> unclear i</w:t>
      </w:r>
      <w:r w:rsidR="002C1817" w:rsidRPr="002777AB">
        <w:t xml:space="preserve">f </w:t>
      </w:r>
      <w:r w:rsidR="00664A2D" w:rsidRPr="002777AB">
        <w:t>methods of outcome assessment were comparable across the 3 stud</w:t>
      </w:r>
      <w:r w:rsidR="00AE29B0" w:rsidRPr="002777AB">
        <w:t>ies</w:t>
      </w:r>
      <w:r w:rsidR="00525A7F" w:rsidRPr="002777AB">
        <w:t>.</w:t>
      </w:r>
    </w:p>
    <w:p w14:paraId="29AF5D83" w14:textId="39C1E6F2" w:rsidR="002D627B" w:rsidRPr="00501CEF" w:rsidRDefault="009C780D" w:rsidP="006E4155">
      <w:pPr>
        <w:pStyle w:val="3-BodyText"/>
        <w:rPr>
          <w:rFonts w:cstheme="minorHAnsi"/>
        </w:rPr>
      </w:pPr>
      <w:r w:rsidRPr="002777AB">
        <w:t>There was considerable heterogeneity in terms of patient demographic</w:t>
      </w:r>
      <w:r w:rsidR="00550684" w:rsidRPr="002777AB">
        <w:t>s</w:t>
      </w:r>
      <w:r w:rsidRPr="002777AB">
        <w:t>, disease characteristics, and study follow-up durations,</w:t>
      </w:r>
      <w:r w:rsidR="00E91098" w:rsidRPr="002777AB">
        <w:t xml:space="preserve"> both between </w:t>
      </w:r>
      <w:r w:rsidR="00977CA8" w:rsidRPr="002777AB">
        <w:t>the repotrectinib and entrectinib studies, and b</w:t>
      </w:r>
      <w:r w:rsidR="00AD7CF9" w:rsidRPr="002777AB">
        <w:t xml:space="preserve">etween the entrectinib studies themselves, </w:t>
      </w:r>
      <w:proofErr w:type="gramStart"/>
      <w:r w:rsidR="00091B7C" w:rsidRPr="002777AB">
        <w:t>making an assessment of</w:t>
      </w:r>
      <w:proofErr w:type="gramEnd"/>
      <w:r w:rsidR="00091B7C" w:rsidRPr="002777AB">
        <w:t xml:space="preserve"> comparative eff</w:t>
      </w:r>
      <w:r w:rsidR="00E26B8A" w:rsidRPr="002777AB">
        <w:t>ectiveness</w:t>
      </w:r>
      <w:r w:rsidR="00091B7C" w:rsidRPr="002777AB">
        <w:t xml:space="preserve"> and safety difficult. Differences in patient characteristics included ECOG performance status, the number/type of prior lines of therapy, and the proportion of Asian patients, all of which are prognostic factors for </w:t>
      </w:r>
      <w:r w:rsidR="00091B7C" w:rsidRPr="002777AB">
        <w:rPr>
          <w:i/>
          <w:iCs/>
        </w:rPr>
        <w:t>ROS1</w:t>
      </w:r>
      <w:r w:rsidR="00091B7C" w:rsidRPr="00C25155">
        <w:t>-positive</w:t>
      </w:r>
      <w:r w:rsidR="00091B7C" w:rsidRPr="002777AB">
        <w:t xml:space="preserve"> NSCLC.</w:t>
      </w:r>
      <w:r w:rsidR="00091B7C" w:rsidRPr="002777AB">
        <w:rPr>
          <w:rFonts w:cstheme="minorHAnsi"/>
        </w:rPr>
        <w:t xml:space="preserve"> </w:t>
      </w:r>
      <w:r w:rsidR="001D4E76" w:rsidRPr="002777AB">
        <w:rPr>
          <w:rFonts w:cstheme="minorHAnsi"/>
        </w:rPr>
        <w:t xml:space="preserve">These </w:t>
      </w:r>
      <w:r w:rsidR="0022553A" w:rsidRPr="002777AB">
        <w:rPr>
          <w:rFonts w:cstheme="minorHAnsi"/>
        </w:rPr>
        <w:t>characteristics and several others</w:t>
      </w:r>
      <w:r w:rsidR="001D4E76" w:rsidRPr="002777AB">
        <w:rPr>
          <w:rFonts w:cstheme="minorHAnsi"/>
        </w:rPr>
        <w:t xml:space="preserve"> have also been </w:t>
      </w:r>
      <w:r w:rsidR="00282711" w:rsidRPr="002777AB">
        <w:rPr>
          <w:rFonts w:cstheme="minorHAnsi"/>
        </w:rPr>
        <w:t>identified</w:t>
      </w:r>
      <w:r w:rsidR="001D4E76" w:rsidRPr="002777AB">
        <w:rPr>
          <w:rFonts w:cstheme="minorHAnsi"/>
        </w:rPr>
        <w:t xml:space="preserve"> as </w:t>
      </w:r>
      <w:r w:rsidR="0076769E" w:rsidRPr="002777AB">
        <w:rPr>
          <w:rFonts w:cstheme="minorHAnsi"/>
        </w:rPr>
        <w:t>important differences between the repotrectinib trial setting and the Australian setting.</w:t>
      </w:r>
      <w:r w:rsidR="00C65E33" w:rsidRPr="002777AB">
        <w:rPr>
          <w:rFonts w:cstheme="minorHAnsi"/>
        </w:rPr>
        <w:t xml:space="preserve"> </w:t>
      </w:r>
      <w:r w:rsidR="00D32179" w:rsidRPr="002777AB">
        <w:t>The submission</w:t>
      </w:r>
      <w:r w:rsidR="00091B7C" w:rsidRPr="002777AB">
        <w:t xml:space="preserve"> also</w:t>
      </w:r>
      <w:r w:rsidR="00D32179" w:rsidRPr="002777AB">
        <w:t xml:space="preserve"> flagged </w:t>
      </w:r>
      <w:r w:rsidR="00261C4F" w:rsidRPr="002777AB">
        <w:t>a</w:t>
      </w:r>
      <w:r w:rsidR="00D32179" w:rsidRPr="002777AB">
        <w:t xml:space="preserve"> high degree of heterogeneity in the duration of treatment and follow-up for data reported across the trials. The median follow-up duration of TRIDENT-1 was 28.4 months (phase 2) and 33.9 months (phase 1 and 2), whereas the integrated analysis of the ALKA, STARTRK-1 and STARTRK-2 studies had a median follow-up of 37.8 months; BFAST had a median follow-up of 18.3</w:t>
      </w:r>
      <w:r w:rsidR="00E27C5E">
        <w:t> </w:t>
      </w:r>
      <w:r w:rsidR="00D32179" w:rsidRPr="002777AB">
        <w:t xml:space="preserve">months. </w:t>
      </w:r>
      <w:r w:rsidR="00B36EE1" w:rsidRPr="002777AB">
        <w:t>Differences in follow-up timepoints</w:t>
      </w:r>
      <w:r w:rsidR="004270D4" w:rsidRPr="002777AB">
        <w:t xml:space="preserve"> </w:t>
      </w:r>
      <w:r w:rsidR="00E76D2D" w:rsidRPr="002777AB">
        <w:t>of</w:t>
      </w:r>
      <w:r w:rsidR="00B36EE1" w:rsidRPr="002777AB">
        <w:t xml:space="preserve"> TRIDENT-1</w:t>
      </w:r>
      <w:r w:rsidR="00926EBD" w:rsidRPr="002777AB">
        <w:t xml:space="preserve"> compared to </w:t>
      </w:r>
      <w:r w:rsidR="00B36EE1" w:rsidRPr="002777AB">
        <w:t>BFAST, and the integrated analysis</w:t>
      </w:r>
      <w:r w:rsidR="00E76D2D" w:rsidRPr="002777AB">
        <w:t xml:space="preserve"> (~10 months shorter or longer)</w:t>
      </w:r>
      <w:r w:rsidR="00B36EE1" w:rsidRPr="002777AB">
        <w:t xml:space="preserve"> likely impact results, making their comparability uncertain.</w:t>
      </w:r>
      <w:r w:rsidR="00CD390B" w:rsidRPr="002777AB">
        <w:t xml:space="preserve"> </w:t>
      </w:r>
      <w:r w:rsidR="0067399B" w:rsidRPr="0067399B">
        <w:t>T</w:t>
      </w:r>
      <w:r w:rsidR="00CD390B" w:rsidRPr="0067399B">
        <w:t>he considerable heterogeneity in patient demographics, disease characteristics, and study follow-up durations are significant transitivity issues that introduce uncertainty to the presented comparisons</w:t>
      </w:r>
      <w:r w:rsidR="00CD390B" w:rsidRPr="00A3379B">
        <w:rPr>
          <w:i/>
          <w:iCs/>
        </w:rPr>
        <w:t>.</w:t>
      </w:r>
      <w:r w:rsidR="003C51B9">
        <w:rPr>
          <w:i/>
          <w:iCs/>
        </w:rPr>
        <w:t xml:space="preserve"> </w:t>
      </w:r>
      <w:r w:rsidR="00BE5AAD" w:rsidRPr="00501CEF">
        <w:t xml:space="preserve">The ESC </w:t>
      </w:r>
      <w:r w:rsidR="00EA2320" w:rsidRPr="00501CEF">
        <w:t>considered</w:t>
      </w:r>
      <w:r w:rsidR="00BE5AAD" w:rsidRPr="00501CEF">
        <w:t xml:space="preserve"> these issues </w:t>
      </w:r>
      <w:r w:rsidR="00D72E93" w:rsidRPr="00501CEF">
        <w:t xml:space="preserve">introduced substantial uncertainty to the </w:t>
      </w:r>
      <w:r w:rsidR="00F805C2" w:rsidRPr="00501CEF">
        <w:t xml:space="preserve">clinical comparisons, however considered that in the context of the rarity of </w:t>
      </w:r>
      <w:r w:rsidR="00F805C2" w:rsidRPr="00D41935">
        <w:rPr>
          <w:i/>
          <w:iCs/>
        </w:rPr>
        <w:t>ROS1</w:t>
      </w:r>
      <w:r w:rsidR="006A664A" w:rsidRPr="00D41935">
        <w:rPr>
          <w:i/>
          <w:iCs/>
        </w:rPr>
        <w:t>-</w:t>
      </w:r>
      <w:r w:rsidR="00C877B5" w:rsidRPr="00501CEF">
        <w:t xml:space="preserve">positive NSCLC and evidence previously presented for entrectinib being of similar quality, that </w:t>
      </w:r>
      <w:r w:rsidR="00DF6E58" w:rsidRPr="00501CEF">
        <w:t xml:space="preserve">the available evidence for repotrectinib, including the </w:t>
      </w:r>
      <w:r w:rsidR="00754586" w:rsidRPr="00501CEF">
        <w:t xml:space="preserve">matching-adjusted indirect comparison (MAIC) presented </w:t>
      </w:r>
      <w:r w:rsidR="00093D59" w:rsidRPr="00501CEF">
        <w:t>alongside the</w:t>
      </w:r>
      <w:r w:rsidR="00754586" w:rsidRPr="00501CEF">
        <w:t xml:space="preserve"> submission</w:t>
      </w:r>
      <w:r w:rsidR="00EA2320" w:rsidRPr="00501CEF">
        <w:t xml:space="preserve">, was likely </w:t>
      </w:r>
      <w:r w:rsidR="00A1628F" w:rsidRPr="00501CEF">
        <w:t>adequate to assess the clinical claims</w:t>
      </w:r>
      <w:r w:rsidR="00185F41" w:rsidRPr="00501CEF">
        <w:t xml:space="preserve">. </w:t>
      </w:r>
      <w:r w:rsidR="00D41935">
        <w:t xml:space="preserve">The Pre-PBAC Response </w:t>
      </w:r>
      <w:r w:rsidR="00D07272">
        <w:t xml:space="preserve">agreed with ESC regarding the observed heterogeneity </w:t>
      </w:r>
      <w:r w:rsidR="004E0D80">
        <w:t>which made the assessment of comparative effectiveness and safety difficult</w:t>
      </w:r>
      <w:r w:rsidR="000D0A21">
        <w:t>, however,</w:t>
      </w:r>
      <w:r w:rsidR="00D94DE4">
        <w:t xml:space="preserve"> </w:t>
      </w:r>
      <w:r w:rsidR="001563CF">
        <w:t xml:space="preserve">noted the </w:t>
      </w:r>
      <w:r w:rsidR="000D0A21">
        <w:t xml:space="preserve">ESC considered the </w:t>
      </w:r>
      <w:r w:rsidR="001563CF">
        <w:t>level of evidence provided</w:t>
      </w:r>
      <w:r w:rsidR="00466584">
        <w:t xml:space="preserve"> was likely adequate to assess the clinical claim of non-inferiority. </w:t>
      </w:r>
    </w:p>
    <w:p w14:paraId="172A7013" w14:textId="77777777" w:rsidR="000923AB" w:rsidRDefault="00074599" w:rsidP="006E4155">
      <w:pPr>
        <w:pStyle w:val="3-BodyText"/>
      </w:pPr>
      <w:r w:rsidRPr="007A38AF">
        <w:lastRenderedPageBreak/>
        <w:t xml:space="preserve">The submission </w:t>
      </w:r>
      <w:r w:rsidR="001F7F8E" w:rsidRPr="007A38AF">
        <w:t>took</w:t>
      </w:r>
      <w:r w:rsidRPr="007A38AF">
        <w:t xml:space="preserve"> a non-standard approach to establishing a non-inferiority </w:t>
      </w:r>
      <w:r w:rsidR="00D13A9B" w:rsidRPr="007A38AF">
        <w:t>margin and</w:t>
      </w:r>
      <w:r w:rsidRPr="007A38AF">
        <w:t xml:space="preserve"> assumed that a non-standard approach </w:t>
      </w:r>
      <w:r w:rsidR="00B11C06" w:rsidRPr="007A38AF">
        <w:t>is</w:t>
      </w:r>
      <w:r w:rsidRPr="007A38AF">
        <w:t xml:space="preserve"> acceptable to PBAC</w:t>
      </w:r>
      <w:r w:rsidR="00B11C06" w:rsidRPr="007A38AF">
        <w:t>,</w:t>
      </w:r>
      <w:r w:rsidRPr="007A38AF">
        <w:t xml:space="preserve"> given the established precedent in recommending PBS listing of entrectinib based on naïve comparisons to crizotinib (</w:t>
      </w:r>
      <w:r w:rsidR="00504F18" w:rsidRPr="007A38AF">
        <w:t>e</w:t>
      </w:r>
      <w:r w:rsidRPr="007A38AF">
        <w:t>ntrectinib PSD, March 2020). Therefore, the naïve comparative approach applied to the submission has been based on assumed similarities in effectiveness without direct statistical comparison of incremental benefit</w:t>
      </w:r>
      <w:r w:rsidR="00E12862" w:rsidRPr="007A38AF">
        <w:t>,</w:t>
      </w:r>
      <w:r w:rsidRPr="007A38AF">
        <w:t xml:space="preserve"> due to the lack of comparator treatment arms. Based on published </w:t>
      </w:r>
      <w:r w:rsidR="00AC29E7" w:rsidRPr="007A38AF">
        <w:t>minimal</w:t>
      </w:r>
      <w:r w:rsidR="00AC29E7" w:rsidRPr="00AC29E7">
        <w:t xml:space="preserve"> </w:t>
      </w:r>
      <w:r w:rsidR="00AC29E7" w:rsidRPr="007A38AF">
        <w:t>clinically important differences (</w:t>
      </w:r>
      <w:r w:rsidRPr="007A38AF">
        <w:t>MCIDs</w:t>
      </w:r>
      <w:r w:rsidR="00AC29E7" w:rsidRPr="007A38AF">
        <w:t>)</w:t>
      </w:r>
      <w:r w:rsidRPr="007A38AF">
        <w:t xml:space="preserve">, non-inferiority is supported if: (1) the </w:t>
      </w:r>
      <w:r w:rsidR="00827E82" w:rsidRPr="007A38AF">
        <w:t>percentage</w:t>
      </w:r>
      <w:r w:rsidR="00FA2F5E" w:rsidRPr="007A38AF">
        <w:t xml:space="preserve"> </w:t>
      </w:r>
      <w:r w:rsidRPr="007A38AF">
        <w:t xml:space="preserve">difference in 1-year survival rate reported among repotrectinib-treated patients is not more than 6% lower than </w:t>
      </w:r>
      <w:r w:rsidR="00827E82" w:rsidRPr="007A38AF">
        <w:t xml:space="preserve">for </w:t>
      </w:r>
      <w:r w:rsidRPr="007A38AF">
        <w:t>entrectinib</w:t>
      </w:r>
      <w:r w:rsidR="00827E82" w:rsidRPr="007A38AF">
        <w:t>-</w:t>
      </w:r>
      <w:r w:rsidRPr="007A38AF">
        <w:t>treated patients</w:t>
      </w:r>
      <w:r w:rsidR="0021574D" w:rsidRPr="007A38AF">
        <w:t>,</w:t>
      </w:r>
      <w:r w:rsidRPr="007A38AF">
        <w:t xml:space="preserve"> (2) the difference in the point estimate of median </w:t>
      </w:r>
      <w:r w:rsidR="00610172" w:rsidRPr="007A38AF">
        <w:t>overall survival</w:t>
      </w:r>
      <w:r w:rsidRPr="007A38AF">
        <w:t xml:space="preserve"> </w:t>
      </w:r>
      <w:r w:rsidR="00610172" w:rsidRPr="007A38AF">
        <w:t>(</w:t>
      </w:r>
      <w:r w:rsidRPr="007A38AF">
        <w:t>OS</w:t>
      </w:r>
      <w:r w:rsidR="00610172" w:rsidRPr="007A38AF">
        <w:t>)</w:t>
      </w:r>
      <w:r w:rsidRPr="007A38AF">
        <w:t xml:space="preserve"> among repotrectinib-treated patients is not more than 3.25 months less than </w:t>
      </w:r>
      <w:r w:rsidR="00165EBE" w:rsidRPr="007A38AF">
        <w:t xml:space="preserve">for </w:t>
      </w:r>
      <w:r w:rsidRPr="007A38AF">
        <w:t>entrectinib</w:t>
      </w:r>
      <w:r w:rsidR="00165EBE" w:rsidRPr="007A38AF">
        <w:t>-</w:t>
      </w:r>
      <w:r w:rsidRPr="007A38AF">
        <w:t>treated patients</w:t>
      </w:r>
      <w:r w:rsidR="0035735B" w:rsidRPr="007A38AF">
        <w:t>,</w:t>
      </w:r>
      <w:r w:rsidRPr="007A38AF">
        <w:t xml:space="preserve"> (3) the difference in the point estimate of median </w:t>
      </w:r>
      <w:r w:rsidR="00A06133" w:rsidRPr="007A38AF">
        <w:t>progression-free survival (</w:t>
      </w:r>
      <w:r w:rsidRPr="007A38AF">
        <w:t>PFS</w:t>
      </w:r>
      <w:r w:rsidR="00A06133" w:rsidRPr="007A38AF">
        <w:t>)</w:t>
      </w:r>
      <w:r w:rsidRPr="007A38AF">
        <w:t xml:space="preserve"> among repotrectinib-treated patients is not more than 4 months less than </w:t>
      </w:r>
      <w:r w:rsidR="00BD3D1B" w:rsidRPr="007A38AF">
        <w:t xml:space="preserve">for </w:t>
      </w:r>
      <w:r w:rsidRPr="007A38AF">
        <w:t>entrectinib</w:t>
      </w:r>
      <w:r w:rsidR="00BD3D1B" w:rsidRPr="007A38AF">
        <w:t>-</w:t>
      </w:r>
      <w:r w:rsidRPr="007A38AF">
        <w:t>treated patients.</w:t>
      </w:r>
      <w:r w:rsidR="000923AB">
        <w:t xml:space="preserve"> </w:t>
      </w:r>
      <w:bookmarkStart w:id="21" w:name="_Toc193124291"/>
    </w:p>
    <w:p w14:paraId="4A4FE085" w14:textId="6F4DCFD1" w:rsidR="00B60939" w:rsidRPr="001C6F6A" w:rsidRDefault="00B60939" w:rsidP="00EC5836">
      <w:pPr>
        <w:pStyle w:val="4-SubsectionHeading"/>
      </w:pPr>
      <w:r w:rsidRPr="001C6F6A">
        <w:t>Comparative effectiveness</w:t>
      </w:r>
      <w:bookmarkEnd w:id="20"/>
      <w:bookmarkEnd w:id="21"/>
    </w:p>
    <w:p w14:paraId="72D70A8E" w14:textId="157B58F3" w:rsidR="00B43811" w:rsidRDefault="00254AD4" w:rsidP="006E4155">
      <w:pPr>
        <w:pStyle w:val="3-BodyText"/>
      </w:pPr>
      <w:r w:rsidRPr="001C6F6A">
        <w:t xml:space="preserve">The submission presented </w:t>
      </w:r>
      <w:r w:rsidR="00CD5DD1">
        <w:t xml:space="preserve">effectiveness </w:t>
      </w:r>
      <w:r w:rsidRPr="001C6F6A">
        <w:t xml:space="preserve">results from </w:t>
      </w:r>
      <w:r w:rsidR="0014338C" w:rsidRPr="001C6F6A">
        <w:t xml:space="preserve">the </w:t>
      </w:r>
      <w:r w:rsidR="004743A2" w:rsidRPr="001C6F6A">
        <w:t>TRIDENT-1</w:t>
      </w:r>
      <w:r w:rsidR="0014338C" w:rsidRPr="001C6F6A">
        <w:t xml:space="preserve"> study</w:t>
      </w:r>
      <w:r w:rsidR="00FC6724">
        <w:t xml:space="preserve"> </w:t>
      </w:r>
      <w:r w:rsidR="009A6EE9">
        <w:t xml:space="preserve">(patients treated with repotrectinib) </w:t>
      </w:r>
      <w:r w:rsidR="00FC6724">
        <w:t>and</w:t>
      </w:r>
      <w:r w:rsidR="00FC6724" w:rsidRPr="00FC6724">
        <w:t xml:space="preserve"> </w:t>
      </w:r>
      <w:r w:rsidR="00F5053D">
        <w:t>presented a</w:t>
      </w:r>
      <w:r w:rsidR="0010127E">
        <w:t xml:space="preserve"> naïve, unanchored, unadjusted comparison with</w:t>
      </w:r>
      <w:r w:rsidR="00FC6724" w:rsidRPr="00FC6724">
        <w:t xml:space="preserve"> </w:t>
      </w:r>
      <w:r w:rsidR="0010127E">
        <w:t>an</w:t>
      </w:r>
      <w:r w:rsidR="004743A2" w:rsidRPr="001C6F6A">
        <w:t xml:space="preserve"> integrated analysis of </w:t>
      </w:r>
      <w:r w:rsidR="008E72D3">
        <w:t xml:space="preserve">the </w:t>
      </w:r>
      <w:r w:rsidR="004743A2" w:rsidRPr="001C6F6A">
        <w:t>ALKA, STARTRK</w:t>
      </w:r>
      <w:r w:rsidR="009908E0">
        <w:t>-</w:t>
      </w:r>
      <w:r w:rsidR="004743A2" w:rsidRPr="001C6F6A">
        <w:t>1 and STARTRK</w:t>
      </w:r>
      <w:r w:rsidR="009908E0">
        <w:t>-</w:t>
      </w:r>
      <w:r w:rsidR="004743A2" w:rsidRPr="001C6F6A">
        <w:t>2 studies</w:t>
      </w:r>
      <w:r w:rsidR="008E72D3">
        <w:t>;</w:t>
      </w:r>
      <w:r w:rsidR="004743A2" w:rsidRPr="001C6F6A">
        <w:t xml:space="preserve"> and </w:t>
      </w:r>
      <w:r w:rsidR="0014338C" w:rsidRPr="001C6F6A">
        <w:t>the BFAST study</w:t>
      </w:r>
      <w:r w:rsidR="009A6EE9">
        <w:t xml:space="preserve"> (patients treated with </w:t>
      </w:r>
      <w:proofErr w:type="spellStart"/>
      <w:r w:rsidR="00B21BC6">
        <w:t>entrectinib</w:t>
      </w:r>
      <w:proofErr w:type="spellEnd"/>
      <w:r w:rsidR="00B21BC6">
        <w:t xml:space="preserve">) </w:t>
      </w:r>
      <w:r w:rsidR="009A6EE9">
        <w:t>(</w:t>
      </w:r>
      <w:r w:rsidR="006B391C">
        <w:fldChar w:fldCharType="begin"/>
      </w:r>
      <w:r w:rsidR="006B391C">
        <w:instrText xml:space="preserve"> REF _Ref192239163 \h </w:instrText>
      </w:r>
      <w:r w:rsidR="006B391C">
        <w:fldChar w:fldCharType="separate"/>
      </w:r>
      <w:r w:rsidR="00D32E93" w:rsidRPr="00E27C5E">
        <w:rPr>
          <w:rFonts w:ascii="Arial Narrow" w:hAnsi="Arial Narrow" w:cs="Calibri"/>
          <w:b/>
          <w:bCs/>
          <w:sz w:val="20"/>
          <w:szCs w:val="20"/>
        </w:rPr>
        <w:t>Table</w:t>
      </w:r>
      <w:r w:rsidR="00D32E93" w:rsidRPr="00E27C5E">
        <w:rPr>
          <w:rFonts w:ascii="Arial Narrow" w:hAnsi="Arial Narrow" w:cs="Calibri"/>
          <w:sz w:val="20"/>
          <w:szCs w:val="20"/>
        </w:rPr>
        <w:t xml:space="preserve"> </w:t>
      </w:r>
      <w:r w:rsidR="00D32E93">
        <w:rPr>
          <w:rStyle w:val="CommentReference"/>
          <w:rFonts w:cs="Calibri"/>
          <w:noProof/>
          <w:szCs w:val="20"/>
        </w:rPr>
        <w:t>4</w:t>
      </w:r>
      <w:r w:rsidR="006B391C">
        <w:fldChar w:fldCharType="end"/>
      </w:r>
      <w:r w:rsidR="009A6EE9">
        <w:t>)</w:t>
      </w:r>
      <w:r w:rsidR="00865C13">
        <w:t>.</w:t>
      </w:r>
      <w:r w:rsidR="0010127E">
        <w:t xml:space="preserve"> The submission also presented the results of a</w:t>
      </w:r>
      <w:r w:rsidR="00657D3D">
        <w:t xml:space="preserve">n </w:t>
      </w:r>
      <w:r w:rsidR="0010127E">
        <w:t xml:space="preserve">unanchored </w:t>
      </w:r>
      <w:r w:rsidR="00AB5649">
        <w:t xml:space="preserve">MAIC of </w:t>
      </w:r>
      <w:r w:rsidR="00D70F54">
        <w:t xml:space="preserve">repotrectinib and entrectinib (discussed further in </w:t>
      </w:r>
      <w:r w:rsidR="00D70F54" w:rsidRPr="00B454D6">
        <w:t xml:space="preserve">paragraph </w:t>
      </w:r>
      <w:r w:rsidR="00B454D6" w:rsidRPr="00B454D6">
        <w:fldChar w:fldCharType="begin"/>
      </w:r>
      <w:r w:rsidR="00B454D6" w:rsidRPr="00B454D6">
        <w:instrText xml:space="preserve"> REF _Ref198111388 \r \h </w:instrText>
      </w:r>
      <w:r w:rsidR="00B454D6">
        <w:instrText xml:space="preserve"> \* MERGEFORMAT </w:instrText>
      </w:r>
      <w:r w:rsidR="00B454D6" w:rsidRPr="00B454D6">
        <w:fldChar w:fldCharType="separate"/>
      </w:r>
      <w:r w:rsidR="00D32E93">
        <w:t>6.25</w:t>
      </w:r>
      <w:r w:rsidR="00B454D6" w:rsidRPr="00B454D6">
        <w:fldChar w:fldCharType="end"/>
      </w:r>
      <w:r w:rsidR="00D70F54" w:rsidRPr="00B454D6">
        <w:t xml:space="preserve">). </w:t>
      </w:r>
      <w:r w:rsidR="00B30B21" w:rsidRPr="00B454D6">
        <w:t>The</w:t>
      </w:r>
      <w:r w:rsidR="00B30B21" w:rsidRPr="00F32D71">
        <w:t xml:space="preserve"> </w:t>
      </w:r>
      <w:r w:rsidR="000410DF" w:rsidRPr="00F32D71">
        <w:t xml:space="preserve">ESC </w:t>
      </w:r>
      <w:r w:rsidR="00093D59" w:rsidRPr="00F32D71">
        <w:t>considered</w:t>
      </w:r>
      <w:r w:rsidR="000410DF" w:rsidRPr="00F32D71">
        <w:t xml:space="preserve"> it was difficult to interpret </w:t>
      </w:r>
      <w:r w:rsidR="00B705DB" w:rsidRPr="00F32D71">
        <w:t xml:space="preserve">the </w:t>
      </w:r>
      <w:r w:rsidR="000410DF" w:rsidRPr="00F32D71">
        <w:t xml:space="preserve">evidence given the nature of a naïve indirect comparison and considerable heterogeneity across </w:t>
      </w:r>
      <w:r w:rsidR="0080744B" w:rsidRPr="00F32D71">
        <w:t xml:space="preserve">the studies. </w:t>
      </w:r>
      <w:r w:rsidR="000410DF" w:rsidRPr="00F32D71">
        <w:t xml:space="preserve">However, on balance, </w:t>
      </w:r>
      <w:r w:rsidR="00B15C52" w:rsidRPr="00F32D71">
        <w:t>did not believe it would preclude a comparative assessment</w:t>
      </w:r>
      <w:r w:rsidR="00093D59" w:rsidRPr="00F32D71">
        <w:t xml:space="preserve"> of </w:t>
      </w:r>
      <w:r w:rsidR="00021321" w:rsidRPr="00F32D71">
        <w:t>r</w:t>
      </w:r>
      <w:r w:rsidR="00093D59" w:rsidRPr="00F32D71">
        <w:t xml:space="preserve">epotrectinib and </w:t>
      </w:r>
      <w:r w:rsidR="00021321" w:rsidRPr="00F32D71">
        <w:t>entrectinib</w:t>
      </w:r>
      <w:r w:rsidR="00B15C52" w:rsidRPr="00F32D71">
        <w:t>.</w:t>
      </w:r>
      <w:r w:rsidR="00B15C52">
        <w:t xml:space="preserve"> </w:t>
      </w:r>
    </w:p>
    <w:p w14:paraId="206A0CC6" w14:textId="3EF35DEE" w:rsidR="004A413E" w:rsidRPr="00E27C5E" w:rsidRDefault="004A413E" w:rsidP="00E27C5E">
      <w:pPr>
        <w:keepNext/>
        <w:jc w:val="left"/>
        <w:rPr>
          <w:rStyle w:val="CommentReference"/>
          <w:rFonts w:cs="Calibri"/>
          <w:b w:val="0"/>
          <w:szCs w:val="20"/>
        </w:rPr>
      </w:pPr>
      <w:bookmarkStart w:id="22" w:name="_Ref192239163"/>
      <w:r w:rsidRPr="00E27C5E">
        <w:rPr>
          <w:rFonts w:ascii="Arial Narrow" w:hAnsi="Arial Narrow" w:cs="Calibri"/>
          <w:b/>
          <w:bCs/>
          <w:sz w:val="20"/>
          <w:szCs w:val="20"/>
        </w:rPr>
        <w:lastRenderedPageBreak/>
        <w:t>Table</w:t>
      </w:r>
      <w:r w:rsidRPr="00E27C5E">
        <w:rPr>
          <w:rFonts w:ascii="Arial Narrow" w:hAnsi="Arial Narrow" w:cs="Calibri"/>
          <w:sz w:val="20"/>
          <w:szCs w:val="20"/>
        </w:rPr>
        <w:t xml:space="preserve"> </w:t>
      </w:r>
      <w:r w:rsidRPr="00E27C5E">
        <w:rPr>
          <w:rFonts w:ascii="Arial Narrow" w:hAnsi="Arial Narrow" w:cs="Calibri"/>
          <w:sz w:val="20"/>
          <w:szCs w:val="20"/>
        </w:rPr>
        <w:fldChar w:fldCharType="begin"/>
      </w:r>
      <w:r w:rsidRPr="00E27C5E">
        <w:rPr>
          <w:rStyle w:val="CommentReference"/>
          <w:rFonts w:cs="Calibri"/>
          <w:szCs w:val="20"/>
        </w:rPr>
        <w:instrText xml:space="preserve"> SEQ Table \* ARABIC </w:instrText>
      </w:r>
      <w:r w:rsidRPr="00E27C5E">
        <w:rPr>
          <w:rFonts w:ascii="Arial Narrow" w:hAnsi="Arial Narrow" w:cs="Calibri"/>
          <w:sz w:val="20"/>
          <w:szCs w:val="20"/>
        </w:rPr>
        <w:fldChar w:fldCharType="separate"/>
      </w:r>
      <w:r w:rsidR="00D32E93">
        <w:rPr>
          <w:rStyle w:val="CommentReference"/>
          <w:rFonts w:cs="Calibri"/>
          <w:noProof/>
          <w:szCs w:val="20"/>
        </w:rPr>
        <w:t>4</w:t>
      </w:r>
      <w:r w:rsidRPr="00E27C5E">
        <w:rPr>
          <w:rFonts w:ascii="Arial Narrow" w:hAnsi="Arial Narrow" w:cs="Calibri"/>
          <w:sz w:val="20"/>
          <w:szCs w:val="20"/>
        </w:rPr>
        <w:fldChar w:fldCharType="end"/>
      </w:r>
      <w:bookmarkEnd w:id="22"/>
      <w:r w:rsidRPr="00E27C5E">
        <w:rPr>
          <w:rFonts w:ascii="Arial Narrow" w:hAnsi="Arial Narrow" w:cs="Calibri"/>
          <w:sz w:val="20"/>
          <w:szCs w:val="20"/>
        </w:rPr>
        <w:t xml:space="preserve">: </w:t>
      </w:r>
      <w:r w:rsidRPr="00E27C5E">
        <w:rPr>
          <w:rStyle w:val="CommentReference"/>
          <w:rFonts w:cs="Calibri"/>
          <w:szCs w:val="20"/>
        </w:rPr>
        <w:t xml:space="preserve">Summary of </w:t>
      </w:r>
      <w:r w:rsidR="00BF7701" w:rsidRPr="00E27C5E">
        <w:rPr>
          <w:rStyle w:val="CommentReference"/>
          <w:rFonts w:cs="Calibri"/>
          <w:szCs w:val="20"/>
        </w:rPr>
        <w:t>effectiveness results</w:t>
      </w:r>
      <w:r w:rsidRPr="00E27C5E">
        <w:rPr>
          <w:rStyle w:val="CommentReference"/>
          <w:rFonts w:cs="Calibri"/>
          <w:szCs w:val="20"/>
        </w:rPr>
        <w:t xml:space="preserve"> in TRIDENT-1; ALKA, STARTRK-1 &amp; -2 integrated analysis; and BFAST</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416"/>
        <w:gridCol w:w="1842"/>
        <w:gridCol w:w="2126"/>
        <w:gridCol w:w="1560"/>
      </w:tblGrid>
      <w:tr w:rsidR="004A413E" w:rsidRPr="0098262F" w14:paraId="5EAD4307" w14:textId="77777777" w:rsidTr="007D46B4">
        <w:trPr>
          <w:tblHeader/>
        </w:trPr>
        <w:tc>
          <w:tcPr>
            <w:tcW w:w="1287" w:type="pct"/>
            <w:vAlign w:val="center"/>
          </w:tcPr>
          <w:p w14:paraId="1F78D8B4" w14:textId="77777777" w:rsidR="004A413E" w:rsidRPr="0098262F" w:rsidRDefault="004A413E" w:rsidP="004B716A">
            <w:pPr>
              <w:pStyle w:val="In-tableHeading"/>
              <w:rPr>
                <w:lang w:val="en-AU"/>
              </w:rPr>
            </w:pPr>
          </w:p>
        </w:tc>
        <w:tc>
          <w:tcPr>
            <w:tcW w:w="757" w:type="pct"/>
            <w:vAlign w:val="center"/>
          </w:tcPr>
          <w:p w14:paraId="7A1E43E2" w14:textId="77777777" w:rsidR="004A413E" w:rsidRDefault="004A413E" w:rsidP="004B716A">
            <w:pPr>
              <w:pStyle w:val="In-tableHeading"/>
              <w:jc w:val="center"/>
              <w:rPr>
                <w:lang w:val="en-AU"/>
              </w:rPr>
            </w:pPr>
            <w:r>
              <w:rPr>
                <w:lang w:val="en-AU"/>
              </w:rPr>
              <w:t xml:space="preserve">Repotrectinib </w:t>
            </w:r>
          </w:p>
          <w:p w14:paraId="761F34C7" w14:textId="77777777" w:rsidR="004A413E" w:rsidRDefault="004A413E" w:rsidP="004B716A">
            <w:pPr>
              <w:pStyle w:val="In-tableHeading"/>
              <w:jc w:val="center"/>
              <w:rPr>
                <w:lang w:val="en-AU"/>
              </w:rPr>
            </w:pPr>
            <w:r>
              <w:rPr>
                <w:lang w:val="en-AU"/>
              </w:rPr>
              <w:t xml:space="preserve">(TRIDENT-1 phase 2) </w:t>
            </w:r>
          </w:p>
          <w:p w14:paraId="2638A3EA" w14:textId="77777777" w:rsidR="004A413E" w:rsidRPr="0098262F" w:rsidRDefault="004A413E" w:rsidP="004B716A">
            <w:pPr>
              <w:pStyle w:val="In-tableHeading"/>
              <w:jc w:val="center"/>
              <w:rPr>
                <w:lang w:val="en-AU"/>
              </w:rPr>
            </w:pPr>
            <w:r>
              <w:rPr>
                <w:lang w:val="en-AU"/>
              </w:rPr>
              <w:t>n=63</w:t>
            </w:r>
          </w:p>
        </w:tc>
        <w:tc>
          <w:tcPr>
            <w:tcW w:w="985" w:type="pct"/>
            <w:vAlign w:val="center"/>
          </w:tcPr>
          <w:p w14:paraId="65F517F4" w14:textId="77777777" w:rsidR="004A413E" w:rsidRDefault="004A413E" w:rsidP="004B716A">
            <w:pPr>
              <w:pStyle w:val="In-tableHeading"/>
              <w:jc w:val="center"/>
              <w:rPr>
                <w:lang w:val="en-AU"/>
              </w:rPr>
            </w:pPr>
            <w:r>
              <w:rPr>
                <w:lang w:val="en-AU"/>
              </w:rPr>
              <w:t xml:space="preserve">Repotrectinib </w:t>
            </w:r>
          </w:p>
          <w:p w14:paraId="06A4E494" w14:textId="77777777" w:rsidR="004A413E" w:rsidRDefault="004A413E" w:rsidP="004B716A">
            <w:pPr>
              <w:pStyle w:val="In-tableHeading"/>
              <w:jc w:val="center"/>
              <w:rPr>
                <w:lang w:val="en-AU"/>
              </w:rPr>
            </w:pPr>
            <w:r>
              <w:rPr>
                <w:lang w:val="en-AU"/>
              </w:rPr>
              <w:t xml:space="preserve">(TRIDENT-1 </w:t>
            </w:r>
          </w:p>
          <w:p w14:paraId="7EE1BBAF" w14:textId="77777777" w:rsidR="004A413E" w:rsidRDefault="004A413E" w:rsidP="004B716A">
            <w:pPr>
              <w:pStyle w:val="In-tableHeading"/>
              <w:jc w:val="center"/>
              <w:rPr>
                <w:lang w:val="en-AU"/>
              </w:rPr>
            </w:pPr>
            <w:r>
              <w:rPr>
                <w:lang w:val="en-AU"/>
              </w:rPr>
              <w:t xml:space="preserve">phase 1 &amp; 2) </w:t>
            </w:r>
          </w:p>
          <w:p w14:paraId="34EA1213" w14:textId="77777777" w:rsidR="004A413E" w:rsidRPr="0098262F" w:rsidRDefault="004A413E" w:rsidP="004B716A">
            <w:pPr>
              <w:pStyle w:val="In-tableHeading"/>
              <w:jc w:val="center"/>
              <w:rPr>
                <w:lang w:val="en-AU"/>
              </w:rPr>
            </w:pPr>
            <w:r>
              <w:rPr>
                <w:lang w:val="en-AU"/>
              </w:rPr>
              <w:t>n=71</w:t>
            </w:r>
          </w:p>
        </w:tc>
        <w:tc>
          <w:tcPr>
            <w:tcW w:w="1137" w:type="pct"/>
            <w:vAlign w:val="center"/>
          </w:tcPr>
          <w:p w14:paraId="12C43327" w14:textId="77777777" w:rsidR="004A413E" w:rsidRDefault="004A413E" w:rsidP="004B716A">
            <w:pPr>
              <w:pStyle w:val="In-tableHeading"/>
              <w:jc w:val="center"/>
              <w:rPr>
                <w:lang w:val="en-AU"/>
              </w:rPr>
            </w:pPr>
            <w:r>
              <w:rPr>
                <w:lang w:val="en-AU"/>
              </w:rPr>
              <w:t>Entrectinib</w:t>
            </w:r>
          </w:p>
          <w:p w14:paraId="0BEB2741" w14:textId="77777777" w:rsidR="004A413E" w:rsidRDefault="004A413E" w:rsidP="004B716A">
            <w:pPr>
              <w:pStyle w:val="In-tableHeading"/>
              <w:jc w:val="center"/>
              <w:rPr>
                <w:lang w:val="en-AU"/>
              </w:rPr>
            </w:pPr>
            <w:r>
              <w:rPr>
                <w:lang w:val="en-AU"/>
              </w:rPr>
              <w:t>(</w:t>
            </w:r>
            <w:r w:rsidRPr="00571265">
              <w:rPr>
                <w:lang w:val="en-AU"/>
              </w:rPr>
              <w:t>ALKA</w:t>
            </w:r>
            <w:r>
              <w:rPr>
                <w:lang w:val="en-AU"/>
              </w:rPr>
              <w:t xml:space="preserve">, </w:t>
            </w:r>
            <w:r w:rsidRPr="00571265">
              <w:rPr>
                <w:lang w:val="en-AU"/>
              </w:rPr>
              <w:t>STARTRK-1</w:t>
            </w:r>
            <w:r>
              <w:rPr>
                <w:lang w:val="en-AU"/>
              </w:rPr>
              <w:t xml:space="preserve"> &amp; 2 integrated analysis)</w:t>
            </w:r>
          </w:p>
          <w:p w14:paraId="574D920C" w14:textId="77777777" w:rsidR="004A413E" w:rsidRPr="0098262F" w:rsidRDefault="004A413E" w:rsidP="004B716A">
            <w:pPr>
              <w:pStyle w:val="In-tableHeading"/>
              <w:jc w:val="center"/>
              <w:rPr>
                <w:lang w:val="en-AU"/>
              </w:rPr>
            </w:pPr>
            <w:r>
              <w:rPr>
                <w:lang w:val="en-AU"/>
              </w:rPr>
              <w:t>n=172</w:t>
            </w:r>
          </w:p>
        </w:tc>
        <w:tc>
          <w:tcPr>
            <w:tcW w:w="834" w:type="pct"/>
            <w:vAlign w:val="center"/>
          </w:tcPr>
          <w:p w14:paraId="55E8C15B" w14:textId="77777777" w:rsidR="004A413E" w:rsidRDefault="004A413E" w:rsidP="004B716A">
            <w:pPr>
              <w:pStyle w:val="In-tableHeading"/>
              <w:jc w:val="center"/>
              <w:rPr>
                <w:lang w:val="en-AU"/>
              </w:rPr>
            </w:pPr>
            <w:r>
              <w:rPr>
                <w:lang w:val="en-AU"/>
              </w:rPr>
              <w:t>Entrectinib</w:t>
            </w:r>
          </w:p>
          <w:p w14:paraId="5D4EA895" w14:textId="77777777" w:rsidR="004A413E" w:rsidRDefault="004A413E" w:rsidP="004B716A">
            <w:pPr>
              <w:pStyle w:val="In-tableHeading"/>
              <w:jc w:val="center"/>
              <w:rPr>
                <w:lang w:val="en-AU"/>
              </w:rPr>
            </w:pPr>
            <w:r>
              <w:rPr>
                <w:lang w:val="en-AU"/>
              </w:rPr>
              <w:t>(BFAST)</w:t>
            </w:r>
          </w:p>
          <w:p w14:paraId="2DA644E1" w14:textId="77777777" w:rsidR="004A413E" w:rsidRPr="0098262F" w:rsidRDefault="004A413E" w:rsidP="004B716A">
            <w:pPr>
              <w:pStyle w:val="In-tableHeading"/>
              <w:jc w:val="center"/>
              <w:rPr>
                <w:lang w:val="en-AU"/>
              </w:rPr>
            </w:pPr>
            <w:r>
              <w:rPr>
                <w:lang w:val="en-AU"/>
              </w:rPr>
              <w:t>n=55</w:t>
            </w:r>
          </w:p>
        </w:tc>
      </w:tr>
      <w:tr w:rsidR="004A413E" w:rsidRPr="0098262F" w14:paraId="70698E72" w14:textId="77777777" w:rsidTr="007D46B4">
        <w:trPr>
          <w:tblHeader/>
        </w:trPr>
        <w:tc>
          <w:tcPr>
            <w:tcW w:w="1287" w:type="pct"/>
            <w:vAlign w:val="center"/>
          </w:tcPr>
          <w:p w14:paraId="37F154D6" w14:textId="77777777" w:rsidR="004A413E" w:rsidRPr="0098262F" w:rsidRDefault="004A413E" w:rsidP="004B716A">
            <w:pPr>
              <w:pStyle w:val="In-tableHeading"/>
              <w:rPr>
                <w:lang w:val="en-AU"/>
              </w:rPr>
            </w:pPr>
            <w:r>
              <w:rPr>
                <w:rFonts w:eastAsiaTheme="minorHAnsi"/>
              </w:rPr>
              <w:t>Follow-up, median (months)</w:t>
            </w:r>
          </w:p>
        </w:tc>
        <w:tc>
          <w:tcPr>
            <w:tcW w:w="757" w:type="pct"/>
          </w:tcPr>
          <w:p w14:paraId="405061CB" w14:textId="77777777" w:rsidR="004A413E" w:rsidRPr="00352617" w:rsidRDefault="004A413E" w:rsidP="004B716A">
            <w:pPr>
              <w:pStyle w:val="In-tableHeading"/>
              <w:jc w:val="center"/>
              <w:rPr>
                <w:b w:val="0"/>
                <w:bCs/>
                <w:lang w:val="en-AU"/>
              </w:rPr>
            </w:pPr>
            <w:r w:rsidRPr="00352617">
              <w:rPr>
                <w:b w:val="0"/>
                <w:bCs/>
              </w:rPr>
              <w:t>28.4</w:t>
            </w:r>
          </w:p>
        </w:tc>
        <w:tc>
          <w:tcPr>
            <w:tcW w:w="985" w:type="pct"/>
          </w:tcPr>
          <w:p w14:paraId="66C49098" w14:textId="77777777" w:rsidR="004A413E" w:rsidRPr="00352617" w:rsidRDefault="004A413E" w:rsidP="004B716A">
            <w:pPr>
              <w:pStyle w:val="In-tableHeading"/>
              <w:jc w:val="center"/>
              <w:rPr>
                <w:b w:val="0"/>
                <w:bCs/>
                <w:lang w:val="en-AU"/>
              </w:rPr>
            </w:pPr>
            <w:r w:rsidRPr="00352617">
              <w:rPr>
                <w:b w:val="0"/>
                <w:bCs/>
              </w:rPr>
              <w:t>33.9</w:t>
            </w:r>
          </w:p>
        </w:tc>
        <w:tc>
          <w:tcPr>
            <w:tcW w:w="1137" w:type="pct"/>
          </w:tcPr>
          <w:p w14:paraId="1DEC0DFC" w14:textId="77777777" w:rsidR="004A413E" w:rsidRPr="00352617" w:rsidRDefault="004A413E" w:rsidP="004B716A">
            <w:pPr>
              <w:pStyle w:val="In-tableHeading"/>
              <w:jc w:val="center"/>
              <w:rPr>
                <w:b w:val="0"/>
                <w:bCs/>
                <w:lang w:val="en-AU"/>
              </w:rPr>
            </w:pPr>
            <w:r w:rsidRPr="00352617">
              <w:rPr>
                <w:b w:val="0"/>
                <w:bCs/>
              </w:rPr>
              <w:t>37.8</w:t>
            </w:r>
          </w:p>
        </w:tc>
        <w:tc>
          <w:tcPr>
            <w:tcW w:w="834" w:type="pct"/>
          </w:tcPr>
          <w:p w14:paraId="03E12C35" w14:textId="77777777" w:rsidR="004A413E" w:rsidRPr="00352617" w:rsidRDefault="004A413E" w:rsidP="004B716A">
            <w:pPr>
              <w:pStyle w:val="In-tableHeading"/>
              <w:jc w:val="center"/>
              <w:rPr>
                <w:b w:val="0"/>
                <w:bCs/>
                <w:lang w:val="en-AU"/>
              </w:rPr>
            </w:pPr>
            <w:r w:rsidRPr="00352617">
              <w:rPr>
                <w:b w:val="0"/>
                <w:bCs/>
              </w:rPr>
              <w:t>18.3</w:t>
            </w:r>
          </w:p>
        </w:tc>
      </w:tr>
      <w:tr w:rsidR="004A413E" w:rsidRPr="0098262F" w14:paraId="0BD5E188" w14:textId="77777777" w:rsidTr="007D46B4">
        <w:trPr>
          <w:tblHeader/>
        </w:trPr>
        <w:tc>
          <w:tcPr>
            <w:tcW w:w="5000" w:type="pct"/>
            <w:gridSpan w:val="5"/>
          </w:tcPr>
          <w:p w14:paraId="1C8A972A" w14:textId="77777777" w:rsidR="004A413E" w:rsidRPr="004E205F" w:rsidRDefault="004A413E" w:rsidP="004B716A">
            <w:pPr>
              <w:pStyle w:val="TableText0"/>
              <w:rPr>
                <w:rFonts w:cs="Arial"/>
                <w:b/>
                <w:bCs w:val="0"/>
              </w:rPr>
            </w:pPr>
            <w:r>
              <w:rPr>
                <w:b/>
                <w:bCs w:val="0"/>
              </w:rPr>
              <w:t>ORR</w:t>
            </w:r>
          </w:p>
        </w:tc>
      </w:tr>
      <w:tr w:rsidR="004A413E" w:rsidRPr="0098262F" w14:paraId="03B81BAC" w14:textId="77777777" w:rsidTr="007D46B4">
        <w:trPr>
          <w:tblHeader/>
        </w:trPr>
        <w:tc>
          <w:tcPr>
            <w:tcW w:w="1287" w:type="pct"/>
          </w:tcPr>
          <w:p w14:paraId="2739C585" w14:textId="77777777" w:rsidR="004A413E" w:rsidRPr="0098262F" w:rsidRDefault="004A413E" w:rsidP="004B716A">
            <w:pPr>
              <w:pStyle w:val="TableText0"/>
            </w:pPr>
            <w:r>
              <w:t>ORR, n (%), (95% CI)</w:t>
            </w:r>
          </w:p>
        </w:tc>
        <w:tc>
          <w:tcPr>
            <w:tcW w:w="757" w:type="pct"/>
          </w:tcPr>
          <w:p w14:paraId="6E5B521C" w14:textId="77777777" w:rsidR="004A413E" w:rsidRPr="00352617" w:rsidRDefault="004A413E" w:rsidP="004B716A">
            <w:pPr>
              <w:pStyle w:val="TableText0"/>
              <w:jc w:val="center"/>
              <w:rPr>
                <w:rFonts w:cs="Arial"/>
              </w:rPr>
            </w:pPr>
            <w:r w:rsidRPr="00BF036C">
              <w:t>49 (78), (66, 87)</w:t>
            </w:r>
          </w:p>
        </w:tc>
        <w:tc>
          <w:tcPr>
            <w:tcW w:w="985" w:type="pct"/>
          </w:tcPr>
          <w:p w14:paraId="4069F15C" w14:textId="77777777" w:rsidR="004A413E" w:rsidRPr="00352617" w:rsidRDefault="004A413E" w:rsidP="004B716A">
            <w:pPr>
              <w:pStyle w:val="TableText0"/>
              <w:jc w:val="center"/>
              <w:rPr>
                <w:rFonts w:cs="Arial"/>
              </w:rPr>
            </w:pPr>
            <w:r w:rsidRPr="00BF036C">
              <w:t>56 (79), (68, 88)</w:t>
            </w:r>
          </w:p>
        </w:tc>
        <w:tc>
          <w:tcPr>
            <w:tcW w:w="1137" w:type="pct"/>
          </w:tcPr>
          <w:p w14:paraId="3B5D338F" w14:textId="77777777" w:rsidR="004A413E" w:rsidRPr="00352617" w:rsidRDefault="004A413E" w:rsidP="004B716A">
            <w:pPr>
              <w:pStyle w:val="TableText0"/>
              <w:jc w:val="center"/>
              <w:rPr>
                <w:rFonts w:cs="Arial"/>
              </w:rPr>
            </w:pPr>
            <w:r w:rsidRPr="00BF036C">
              <w:t>116 (68), (60, 74)</w:t>
            </w:r>
          </w:p>
        </w:tc>
        <w:tc>
          <w:tcPr>
            <w:tcW w:w="834" w:type="pct"/>
          </w:tcPr>
          <w:p w14:paraId="018FC653" w14:textId="77777777" w:rsidR="004A413E" w:rsidRPr="00352617" w:rsidRDefault="004A413E" w:rsidP="004B716A">
            <w:pPr>
              <w:pStyle w:val="TableText0"/>
              <w:jc w:val="center"/>
              <w:rPr>
                <w:rFonts w:cs="Arial"/>
              </w:rPr>
            </w:pPr>
            <w:r w:rsidRPr="00BF036C">
              <w:t>44 (82), (69, 91)</w:t>
            </w:r>
          </w:p>
        </w:tc>
      </w:tr>
      <w:tr w:rsidR="004A413E" w:rsidRPr="0098262F" w14:paraId="2B58BA22" w14:textId="77777777" w:rsidTr="007D46B4">
        <w:trPr>
          <w:tblHeader/>
        </w:trPr>
        <w:tc>
          <w:tcPr>
            <w:tcW w:w="5000" w:type="pct"/>
            <w:gridSpan w:val="5"/>
          </w:tcPr>
          <w:p w14:paraId="490A4DD5" w14:textId="77777777" w:rsidR="004A413E" w:rsidRPr="00D44679" w:rsidRDefault="004A413E" w:rsidP="004B716A">
            <w:pPr>
              <w:pStyle w:val="TableText0"/>
              <w:rPr>
                <w:rFonts w:cs="Arial"/>
                <w:b/>
                <w:bCs w:val="0"/>
              </w:rPr>
            </w:pPr>
            <w:r w:rsidRPr="00D44679">
              <w:rPr>
                <w:b/>
                <w:bCs w:val="0"/>
              </w:rPr>
              <w:t>BOR</w:t>
            </w:r>
          </w:p>
        </w:tc>
      </w:tr>
      <w:tr w:rsidR="004A413E" w:rsidRPr="0098262F" w14:paraId="4026DC32" w14:textId="77777777" w:rsidTr="007D46B4">
        <w:trPr>
          <w:tblHeader/>
        </w:trPr>
        <w:tc>
          <w:tcPr>
            <w:tcW w:w="1287" w:type="pct"/>
          </w:tcPr>
          <w:p w14:paraId="05E96519" w14:textId="77777777" w:rsidR="004A413E" w:rsidRPr="0098262F" w:rsidRDefault="004A413E" w:rsidP="004B716A">
            <w:pPr>
              <w:pStyle w:val="TableText0"/>
            </w:pPr>
            <w:r w:rsidRPr="00A103FA">
              <w:rPr>
                <w:rFonts w:eastAsiaTheme="minorHAnsi"/>
              </w:rPr>
              <w:t>CR</w:t>
            </w:r>
            <w:r>
              <w:rPr>
                <w:rFonts w:eastAsiaTheme="minorHAnsi"/>
              </w:rPr>
              <w:t>, n (%)</w:t>
            </w:r>
          </w:p>
        </w:tc>
        <w:tc>
          <w:tcPr>
            <w:tcW w:w="757" w:type="pct"/>
          </w:tcPr>
          <w:p w14:paraId="65D83324" w14:textId="77777777" w:rsidR="004A413E" w:rsidRPr="0098262F" w:rsidRDefault="004A413E" w:rsidP="004B716A">
            <w:pPr>
              <w:pStyle w:val="TableText0"/>
              <w:jc w:val="center"/>
              <w:rPr>
                <w:rFonts w:cs="Arial"/>
              </w:rPr>
            </w:pPr>
            <w:r w:rsidRPr="00F062CE">
              <w:t>9 (14)</w:t>
            </w:r>
          </w:p>
        </w:tc>
        <w:tc>
          <w:tcPr>
            <w:tcW w:w="985" w:type="pct"/>
          </w:tcPr>
          <w:p w14:paraId="322EDBB9" w14:textId="77777777" w:rsidR="004A413E" w:rsidRPr="0098262F" w:rsidRDefault="004A413E" w:rsidP="004B716A">
            <w:pPr>
              <w:pStyle w:val="TableText0"/>
              <w:jc w:val="center"/>
              <w:rPr>
                <w:rFonts w:cs="Arial"/>
              </w:rPr>
            </w:pPr>
            <w:r w:rsidRPr="00F062CE">
              <w:rPr>
                <w:rFonts w:eastAsiaTheme="minorHAnsi"/>
              </w:rPr>
              <w:t>9 (13)</w:t>
            </w:r>
          </w:p>
        </w:tc>
        <w:tc>
          <w:tcPr>
            <w:tcW w:w="1137" w:type="pct"/>
          </w:tcPr>
          <w:p w14:paraId="4AB01469" w14:textId="77777777" w:rsidR="004A413E" w:rsidRPr="0098262F" w:rsidRDefault="004A413E" w:rsidP="004B716A">
            <w:pPr>
              <w:pStyle w:val="TableText0"/>
              <w:jc w:val="center"/>
              <w:rPr>
                <w:rFonts w:cs="Arial"/>
              </w:rPr>
            </w:pPr>
            <w:r w:rsidRPr="00A103FA">
              <w:rPr>
                <w:rFonts w:eastAsiaTheme="minorHAnsi"/>
              </w:rPr>
              <w:t>2</w:t>
            </w:r>
            <w:r>
              <w:rPr>
                <w:rFonts w:eastAsiaTheme="minorHAnsi"/>
              </w:rPr>
              <w:t>3</w:t>
            </w:r>
            <w:r w:rsidRPr="00A103FA">
              <w:rPr>
                <w:rFonts w:eastAsiaTheme="minorHAnsi"/>
              </w:rPr>
              <w:t xml:space="preserve"> (13)</w:t>
            </w:r>
          </w:p>
        </w:tc>
        <w:tc>
          <w:tcPr>
            <w:tcW w:w="834" w:type="pct"/>
          </w:tcPr>
          <w:p w14:paraId="600BCF91" w14:textId="77777777" w:rsidR="004A413E" w:rsidRPr="0098262F" w:rsidRDefault="004A413E" w:rsidP="004B716A">
            <w:pPr>
              <w:pStyle w:val="TableText0"/>
              <w:jc w:val="center"/>
              <w:rPr>
                <w:rFonts w:cs="Arial"/>
              </w:rPr>
            </w:pPr>
            <w:r w:rsidRPr="00D72CB3">
              <w:rPr>
                <w:rFonts w:eastAsiaTheme="minorHAnsi"/>
              </w:rPr>
              <w:t>3 (6)</w:t>
            </w:r>
          </w:p>
        </w:tc>
      </w:tr>
      <w:tr w:rsidR="004A413E" w:rsidRPr="0098262F" w14:paraId="7BAAEEC3" w14:textId="77777777" w:rsidTr="007D46B4">
        <w:trPr>
          <w:tblHeader/>
        </w:trPr>
        <w:tc>
          <w:tcPr>
            <w:tcW w:w="1287" w:type="pct"/>
          </w:tcPr>
          <w:p w14:paraId="2DDA40EF" w14:textId="77777777" w:rsidR="004A413E" w:rsidRPr="0098262F" w:rsidRDefault="004A413E" w:rsidP="004B716A">
            <w:pPr>
              <w:pStyle w:val="TableText0"/>
            </w:pPr>
            <w:r w:rsidRPr="00A103FA">
              <w:rPr>
                <w:rFonts w:eastAsiaTheme="minorHAnsi"/>
              </w:rPr>
              <w:t>PR</w:t>
            </w:r>
            <w:r>
              <w:rPr>
                <w:rFonts w:eastAsiaTheme="minorHAnsi"/>
              </w:rPr>
              <w:t>, n (%)</w:t>
            </w:r>
          </w:p>
        </w:tc>
        <w:tc>
          <w:tcPr>
            <w:tcW w:w="757" w:type="pct"/>
          </w:tcPr>
          <w:p w14:paraId="28F9D157" w14:textId="77777777" w:rsidR="004A413E" w:rsidRPr="0098262F" w:rsidRDefault="004A413E" w:rsidP="004B716A">
            <w:pPr>
              <w:pStyle w:val="TableText0"/>
              <w:jc w:val="center"/>
              <w:rPr>
                <w:rFonts w:cs="Arial"/>
              </w:rPr>
            </w:pPr>
            <w:r w:rsidRPr="00F062CE">
              <w:t>40 (6</w:t>
            </w:r>
            <w:r>
              <w:t>4</w:t>
            </w:r>
            <w:r w:rsidRPr="00F062CE">
              <w:t>)</w:t>
            </w:r>
          </w:p>
        </w:tc>
        <w:tc>
          <w:tcPr>
            <w:tcW w:w="985" w:type="pct"/>
          </w:tcPr>
          <w:p w14:paraId="12E0B925" w14:textId="77777777" w:rsidR="004A413E" w:rsidRPr="0098262F" w:rsidRDefault="004A413E" w:rsidP="004B716A">
            <w:pPr>
              <w:pStyle w:val="TableText0"/>
              <w:jc w:val="center"/>
              <w:rPr>
                <w:rFonts w:cs="Arial"/>
              </w:rPr>
            </w:pPr>
            <w:r w:rsidRPr="00F062CE">
              <w:rPr>
                <w:rFonts w:eastAsiaTheme="minorHAnsi"/>
              </w:rPr>
              <w:t>47 (66)</w:t>
            </w:r>
          </w:p>
        </w:tc>
        <w:tc>
          <w:tcPr>
            <w:tcW w:w="1137" w:type="pct"/>
          </w:tcPr>
          <w:p w14:paraId="522B7F4E" w14:textId="77777777" w:rsidR="004A413E" w:rsidRPr="0098262F" w:rsidRDefault="004A413E" w:rsidP="004B716A">
            <w:pPr>
              <w:pStyle w:val="TableText0"/>
              <w:jc w:val="center"/>
              <w:rPr>
                <w:rFonts w:cs="Arial"/>
              </w:rPr>
            </w:pPr>
            <w:r w:rsidRPr="00A103FA">
              <w:rPr>
                <w:rFonts w:eastAsiaTheme="minorHAnsi"/>
              </w:rPr>
              <w:t>9</w:t>
            </w:r>
            <w:r>
              <w:rPr>
                <w:rFonts w:eastAsiaTheme="minorHAnsi"/>
              </w:rPr>
              <w:t>3</w:t>
            </w:r>
            <w:r w:rsidRPr="00A103FA">
              <w:rPr>
                <w:rFonts w:eastAsiaTheme="minorHAnsi"/>
              </w:rPr>
              <w:t xml:space="preserve"> (54)</w:t>
            </w:r>
          </w:p>
        </w:tc>
        <w:tc>
          <w:tcPr>
            <w:tcW w:w="834" w:type="pct"/>
          </w:tcPr>
          <w:p w14:paraId="69BFBC62" w14:textId="77777777" w:rsidR="004A413E" w:rsidRPr="0098262F" w:rsidRDefault="004A413E" w:rsidP="004B716A">
            <w:pPr>
              <w:pStyle w:val="TableText0"/>
              <w:jc w:val="center"/>
              <w:rPr>
                <w:rFonts w:cs="Arial"/>
              </w:rPr>
            </w:pPr>
            <w:r w:rsidRPr="00D72CB3">
              <w:rPr>
                <w:rFonts w:eastAsiaTheme="minorHAnsi"/>
              </w:rPr>
              <w:t>41 (7</w:t>
            </w:r>
            <w:r>
              <w:rPr>
                <w:rFonts w:eastAsiaTheme="minorHAnsi"/>
              </w:rPr>
              <w:t>6</w:t>
            </w:r>
            <w:r w:rsidRPr="00D72CB3">
              <w:rPr>
                <w:rFonts w:eastAsiaTheme="minorHAnsi"/>
              </w:rPr>
              <w:t>)</w:t>
            </w:r>
          </w:p>
        </w:tc>
      </w:tr>
      <w:tr w:rsidR="004A413E" w:rsidRPr="0098262F" w14:paraId="7E08647C" w14:textId="77777777" w:rsidTr="007D46B4">
        <w:trPr>
          <w:tblHeader/>
        </w:trPr>
        <w:tc>
          <w:tcPr>
            <w:tcW w:w="1287" w:type="pct"/>
          </w:tcPr>
          <w:p w14:paraId="6796B602" w14:textId="77777777" w:rsidR="004A413E" w:rsidRPr="0098262F" w:rsidRDefault="004A413E" w:rsidP="004B716A">
            <w:pPr>
              <w:pStyle w:val="TableText0"/>
            </w:pPr>
            <w:r w:rsidRPr="00A103FA">
              <w:rPr>
                <w:rFonts w:eastAsiaTheme="minorHAnsi"/>
              </w:rPr>
              <w:t>S</w:t>
            </w:r>
            <w:r>
              <w:rPr>
                <w:rFonts w:eastAsiaTheme="minorHAnsi"/>
              </w:rPr>
              <w:t>D, n (%)</w:t>
            </w:r>
            <w:r w:rsidRPr="00A103FA">
              <w:rPr>
                <w:rFonts w:eastAsiaTheme="minorHAnsi"/>
              </w:rPr>
              <w:t xml:space="preserve"> </w:t>
            </w:r>
          </w:p>
        </w:tc>
        <w:tc>
          <w:tcPr>
            <w:tcW w:w="757" w:type="pct"/>
          </w:tcPr>
          <w:p w14:paraId="1BD15EA5" w14:textId="77777777" w:rsidR="004A413E" w:rsidRPr="0098262F" w:rsidRDefault="004A413E" w:rsidP="004B716A">
            <w:pPr>
              <w:pStyle w:val="TableText0"/>
              <w:jc w:val="center"/>
              <w:rPr>
                <w:rFonts w:cs="Arial"/>
              </w:rPr>
            </w:pPr>
            <w:r w:rsidRPr="00F062CE">
              <w:t>11 (1</w:t>
            </w:r>
            <w:r>
              <w:t>8</w:t>
            </w:r>
            <w:r w:rsidRPr="00F062CE">
              <w:t>)</w:t>
            </w:r>
          </w:p>
        </w:tc>
        <w:tc>
          <w:tcPr>
            <w:tcW w:w="985" w:type="pct"/>
          </w:tcPr>
          <w:p w14:paraId="4A289358" w14:textId="77777777" w:rsidR="004A413E" w:rsidRPr="0098262F" w:rsidRDefault="004A413E" w:rsidP="004B716A">
            <w:pPr>
              <w:pStyle w:val="TableText0"/>
              <w:jc w:val="center"/>
              <w:rPr>
                <w:rFonts w:cs="Arial"/>
              </w:rPr>
            </w:pPr>
            <w:r w:rsidRPr="00F062CE">
              <w:rPr>
                <w:rFonts w:eastAsiaTheme="minorHAnsi"/>
              </w:rPr>
              <w:t>11 (15)</w:t>
            </w:r>
          </w:p>
        </w:tc>
        <w:tc>
          <w:tcPr>
            <w:tcW w:w="1137" w:type="pct"/>
          </w:tcPr>
          <w:p w14:paraId="11A961AD" w14:textId="77777777" w:rsidR="004A413E" w:rsidRPr="0098262F" w:rsidRDefault="004A413E" w:rsidP="004B716A">
            <w:pPr>
              <w:pStyle w:val="TableText0"/>
              <w:jc w:val="center"/>
              <w:rPr>
                <w:rFonts w:cs="Arial"/>
              </w:rPr>
            </w:pPr>
            <w:r w:rsidRPr="00A103FA">
              <w:rPr>
                <w:rFonts w:eastAsiaTheme="minorHAnsi"/>
              </w:rPr>
              <w:t>1</w:t>
            </w:r>
            <w:r>
              <w:rPr>
                <w:rFonts w:eastAsiaTheme="minorHAnsi"/>
              </w:rPr>
              <w:t>6</w:t>
            </w:r>
            <w:r w:rsidRPr="00A103FA">
              <w:rPr>
                <w:rFonts w:eastAsiaTheme="minorHAnsi"/>
              </w:rPr>
              <w:t xml:space="preserve"> (</w:t>
            </w:r>
            <w:r>
              <w:rPr>
                <w:rFonts w:eastAsiaTheme="minorHAnsi"/>
              </w:rPr>
              <w:t>9</w:t>
            </w:r>
            <w:r w:rsidRPr="00A103FA">
              <w:rPr>
                <w:rFonts w:eastAsiaTheme="minorHAnsi"/>
              </w:rPr>
              <w:t>)</w:t>
            </w:r>
          </w:p>
        </w:tc>
        <w:tc>
          <w:tcPr>
            <w:tcW w:w="834" w:type="pct"/>
          </w:tcPr>
          <w:p w14:paraId="2A14E0FF" w14:textId="77777777" w:rsidR="004A413E" w:rsidRPr="0098262F" w:rsidRDefault="004A413E" w:rsidP="004B716A">
            <w:pPr>
              <w:pStyle w:val="TableText0"/>
              <w:jc w:val="center"/>
              <w:rPr>
                <w:rFonts w:cs="Arial"/>
              </w:rPr>
            </w:pPr>
            <w:r w:rsidRPr="00D72CB3">
              <w:rPr>
                <w:rFonts w:eastAsiaTheme="minorHAnsi"/>
              </w:rPr>
              <w:t>7 (13)</w:t>
            </w:r>
          </w:p>
        </w:tc>
      </w:tr>
      <w:tr w:rsidR="004A413E" w:rsidRPr="0098262F" w14:paraId="1DB4BA30" w14:textId="77777777" w:rsidTr="007D46B4">
        <w:trPr>
          <w:tblHeader/>
        </w:trPr>
        <w:tc>
          <w:tcPr>
            <w:tcW w:w="1287" w:type="pct"/>
          </w:tcPr>
          <w:p w14:paraId="2303DEB0" w14:textId="77777777" w:rsidR="004A413E" w:rsidRPr="0098262F" w:rsidRDefault="004A413E" w:rsidP="004B716A">
            <w:pPr>
              <w:pStyle w:val="TableText0"/>
            </w:pPr>
            <w:r w:rsidRPr="00A103FA">
              <w:rPr>
                <w:rFonts w:eastAsiaTheme="minorHAnsi"/>
              </w:rPr>
              <w:t>PD</w:t>
            </w:r>
            <w:r>
              <w:rPr>
                <w:rFonts w:eastAsiaTheme="minorHAnsi"/>
              </w:rPr>
              <w:t>, n (%)</w:t>
            </w:r>
            <w:r w:rsidRPr="00A103FA">
              <w:rPr>
                <w:rFonts w:eastAsiaTheme="minorHAnsi"/>
              </w:rPr>
              <w:t xml:space="preserve"> </w:t>
            </w:r>
          </w:p>
        </w:tc>
        <w:tc>
          <w:tcPr>
            <w:tcW w:w="757" w:type="pct"/>
          </w:tcPr>
          <w:p w14:paraId="6682C04E" w14:textId="77777777" w:rsidR="004A413E" w:rsidRPr="0098262F" w:rsidRDefault="004A413E" w:rsidP="004B716A">
            <w:pPr>
              <w:pStyle w:val="TableText0"/>
              <w:jc w:val="center"/>
              <w:rPr>
                <w:rFonts w:cs="Arial"/>
              </w:rPr>
            </w:pPr>
            <w:r w:rsidRPr="00F062CE">
              <w:t>2 (3)</w:t>
            </w:r>
          </w:p>
        </w:tc>
        <w:tc>
          <w:tcPr>
            <w:tcW w:w="985" w:type="pct"/>
          </w:tcPr>
          <w:p w14:paraId="41185D48" w14:textId="77777777" w:rsidR="004A413E" w:rsidRPr="0098262F" w:rsidRDefault="004A413E" w:rsidP="004B716A">
            <w:pPr>
              <w:pStyle w:val="TableText0"/>
              <w:jc w:val="center"/>
              <w:rPr>
                <w:rFonts w:cs="Arial"/>
              </w:rPr>
            </w:pPr>
            <w:r w:rsidRPr="00F062CE">
              <w:rPr>
                <w:rFonts w:eastAsiaTheme="minorHAnsi"/>
              </w:rPr>
              <w:t>2 (3)</w:t>
            </w:r>
          </w:p>
        </w:tc>
        <w:tc>
          <w:tcPr>
            <w:tcW w:w="1137" w:type="pct"/>
          </w:tcPr>
          <w:p w14:paraId="5EBF710A" w14:textId="77777777" w:rsidR="004A413E" w:rsidRPr="0098262F" w:rsidRDefault="004A413E" w:rsidP="004B716A">
            <w:pPr>
              <w:pStyle w:val="TableText0"/>
              <w:jc w:val="center"/>
              <w:rPr>
                <w:rFonts w:cs="Arial"/>
              </w:rPr>
            </w:pPr>
            <w:r w:rsidRPr="00A103FA">
              <w:rPr>
                <w:rFonts w:eastAsiaTheme="minorHAnsi"/>
              </w:rPr>
              <w:t>1</w:t>
            </w:r>
            <w:r>
              <w:rPr>
                <w:rFonts w:eastAsiaTheme="minorHAnsi"/>
              </w:rPr>
              <w:t>6</w:t>
            </w:r>
            <w:r w:rsidRPr="00A103FA">
              <w:rPr>
                <w:rFonts w:eastAsiaTheme="minorHAnsi"/>
              </w:rPr>
              <w:t xml:space="preserve"> (</w:t>
            </w:r>
            <w:r>
              <w:rPr>
                <w:rFonts w:eastAsiaTheme="minorHAnsi"/>
              </w:rPr>
              <w:t>9</w:t>
            </w:r>
            <w:r w:rsidRPr="00A103FA">
              <w:rPr>
                <w:rFonts w:eastAsiaTheme="minorHAnsi"/>
              </w:rPr>
              <w:t>)</w:t>
            </w:r>
          </w:p>
        </w:tc>
        <w:tc>
          <w:tcPr>
            <w:tcW w:w="834" w:type="pct"/>
          </w:tcPr>
          <w:p w14:paraId="71607D53" w14:textId="77777777" w:rsidR="004A413E" w:rsidRPr="0098262F" w:rsidRDefault="004A413E" w:rsidP="004B716A">
            <w:pPr>
              <w:pStyle w:val="TableText0"/>
              <w:jc w:val="center"/>
              <w:rPr>
                <w:rFonts w:cs="Arial"/>
              </w:rPr>
            </w:pPr>
            <w:r w:rsidRPr="00D72CB3">
              <w:rPr>
                <w:rFonts w:eastAsiaTheme="minorHAnsi"/>
              </w:rPr>
              <w:t>1 (</w:t>
            </w:r>
            <w:r>
              <w:rPr>
                <w:rFonts w:eastAsiaTheme="minorHAnsi"/>
              </w:rPr>
              <w:t>2</w:t>
            </w:r>
            <w:r w:rsidRPr="00D72CB3">
              <w:rPr>
                <w:rFonts w:eastAsiaTheme="minorHAnsi"/>
              </w:rPr>
              <w:t>)</w:t>
            </w:r>
          </w:p>
        </w:tc>
      </w:tr>
      <w:tr w:rsidR="004A413E" w:rsidRPr="0098262F" w14:paraId="28519EAD" w14:textId="77777777" w:rsidTr="007D46B4">
        <w:trPr>
          <w:tblHeader/>
        </w:trPr>
        <w:tc>
          <w:tcPr>
            <w:tcW w:w="1287" w:type="pct"/>
          </w:tcPr>
          <w:p w14:paraId="39577F9B" w14:textId="77777777" w:rsidR="004A413E" w:rsidRPr="0098262F" w:rsidRDefault="004A413E" w:rsidP="004B716A">
            <w:pPr>
              <w:pStyle w:val="TableText0"/>
            </w:pPr>
            <w:r w:rsidRPr="00A103FA">
              <w:rPr>
                <w:rFonts w:eastAsiaTheme="minorHAnsi"/>
              </w:rPr>
              <w:t xml:space="preserve">Non-CR/non-PD </w:t>
            </w:r>
          </w:p>
        </w:tc>
        <w:tc>
          <w:tcPr>
            <w:tcW w:w="757" w:type="pct"/>
          </w:tcPr>
          <w:p w14:paraId="6CC731AD" w14:textId="77777777" w:rsidR="004A413E" w:rsidRPr="0098262F" w:rsidRDefault="004A413E" w:rsidP="004B716A">
            <w:pPr>
              <w:pStyle w:val="TableText0"/>
              <w:jc w:val="center"/>
              <w:rPr>
                <w:rFonts w:cs="Arial"/>
              </w:rPr>
            </w:pPr>
            <w:r w:rsidRPr="00F062CE">
              <w:rPr>
                <w:rFonts w:eastAsiaTheme="minorHAnsi"/>
              </w:rPr>
              <w:t>NR</w:t>
            </w:r>
          </w:p>
        </w:tc>
        <w:tc>
          <w:tcPr>
            <w:tcW w:w="985" w:type="pct"/>
          </w:tcPr>
          <w:p w14:paraId="30C9A7EB" w14:textId="77777777" w:rsidR="004A413E" w:rsidRPr="0098262F" w:rsidRDefault="004A413E" w:rsidP="004B716A">
            <w:pPr>
              <w:pStyle w:val="TableText0"/>
              <w:jc w:val="center"/>
              <w:rPr>
                <w:rFonts w:cs="Arial"/>
              </w:rPr>
            </w:pPr>
            <w:r w:rsidRPr="00F062CE">
              <w:rPr>
                <w:rFonts w:eastAsiaTheme="minorHAnsi"/>
              </w:rPr>
              <w:t>NR</w:t>
            </w:r>
          </w:p>
        </w:tc>
        <w:tc>
          <w:tcPr>
            <w:tcW w:w="1137" w:type="pct"/>
          </w:tcPr>
          <w:p w14:paraId="433BB5C4" w14:textId="77777777" w:rsidR="004A413E" w:rsidRPr="0098262F" w:rsidRDefault="004A413E" w:rsidP="004B716A">
            <w:pPr>
              <w:pStyle w:val="TableText0"/>
              <w:jc w:val="center"/>
              <w:rPr>
                <w:rFonts w:cs="Arial"/>
              </w:rPr>
            </w:pPr>
            <w:r w:rsidRPr="00A103FA">
              <w:rPr>
                <w:rFonts w:eastAsiaTheme="minorHAnsi"/>
              </w:rPr>
              <w:t>1</w:t>
            </w:r>
            <w:r>
              <w:rPr>
                <w:rFonts w:eastAsiaTheme="minorHAnsi"/>
              </w:rPr>
              <w:t>0</w:t>
            </w:r>
            <w:r w:rsidRPr="00A103FA">
              <w:rPr>
                <w:rFonts w:eastAsiaTheme="minorHAnsi"/>
              </w:rPr>
              <w:t xml:space="preserve"> (</w:t>
            </w:r>
            <w:r>
              <w:rPr>
                <w:rFonts w:eastAsiaTheme="minorHAnsi"/>
              </w:rPr>
              <w:t>6</w:t>
            </w:r>
            <w:r w:rsidRPr="00A103FA">
              <w:rPr>
                <w:rFonts w:eastAsiaTheme="minorHAnsi"/>
              </w:rPr>
              <w:t>)</w:t>
            </w:r>
          </w:p>
        </w:tc>
        <w:tc>
          <w:tcPr>
            <w:tcW w:w="834" w:type="pct"/>
          </w:tcPr>
          <w:p w14:paraId="64B90069" w14:textId="77777777" w:rsidR="004A413E" w:rsidRPr="0098262F" w:rsidRDefault="004A413E" w:rsidP="004B716A">
            <w:pPr>
              <w:pStyle w:val="TableText0"/>
              <w:jc w:val="center"/>
              <w:rPr>
                <w:rFonts w:cs="Arial"/>
              </w:rPr>
            </w:pPr>
            <w:r>
              <w:rPr>
                <w:rFonts w:eastAsiaTheme="minorHAnsi"/>
              </w:rPr>
              <w:t>NR</w:t>
            </w:r>
          </w:p>
        </w:tc>
      </w:tr>
      <w:tr w:rsidR="004A413E" w:rsidRPr="0098262F" w14:paraId="66FA7FC5" w14:textId="77777777" w:rsidTr="007D46B4">
        <w:trPr>
          <w:tblHeader/>
        </w:trPr>
        <w:tc>
          <w:tcPr>
            <w:tcW w:w="1287" w:type="pct"/>
          </w:tcPr>
          <w:p w14:paraId="5E412737" w14:textId="77777777" w:rsidR="004A413E" w:rsidRPr="0098262F" w:rsidRDefault="004A413E" w:rsidP="004B716A">
            <w:pPr>
              <w:pStyle w:val="TableText0"/>
            </w:pPr>
            <w:r w:rsidRPr="7502E591">
              <w:rPr>
                <w:rFonts w:eastAsiaTheme="minorEastAsia"/>
              </w:rPr>
              <w:t>Missing</w:t>
            </w:r>
            <w:r>
              <w:rPr>
                <w:rFonts w:eastAsiaTheme="minorEastAsia"/>
              </w:rPr>
              <w:t>/</w:t>
            </w:r>
            <w:r w:rsidRPr="7502E591">
              <w:rPr>
                <w:rFonts w:eastAsiaTheme="minorEastAsia"/>
              </w:rPr>
              <w:t>not assessable</w:t>
            </w:r>
            <w:r>
              <w:rPr>
                <w:rFonts w:eastAsiaTheme="minorEastAsia"/>
              </w:rPr>
              <w:t xml:space="preserve"> </w:t>
            </w:r>
            <w:r w:rsidRPr="7502E591">
              <w:rPr>
                <w:rFonts w:eastAsiaTheme="minorEastAsia"/>
                <w:vertAlign w:val="superscript"/>
              </w:rPr>
              <w:t>a</w:t>
            </w:r>
          </w:p>
        </w:tc>
        <w:tc>
          <w:tcPr>
            <w:tcW w:w="757" w:type="pct"/>
          </w:tcPr>
          <w:p w14:paraId="048A570E" w14:textId="77777777" w:rsidR="004A413E" w:rsidRPr="0098262F" w:rsidRDefault="004A413E" w:rsidP="004B716A">
            <w:pPr>
              <w:pStyle w:val="TableText0"/>
              <w:jc w:val="center"/>
              <w:rPr>
                <w:rFonts w:cs="Arial"/>
              </w:rPr>
            </w:pPr>
            <w:r w:rsidRPr="00F062CE">
              <w:t>1 (</w:t>
            </w:r>
            <w:r>
              <w:t>2</w:t>
            </w:r>
            <w:r w:rsidRPr="00F062CE">
              <w:t>)</w:t>
            </w:r>
          </w:p>
        </w:tc>
        <w:tc>
          <w:tcPr>
            <w:tcW w:w="985" w:type="pct"/>
          </w:tcPr>
          <w:p w14:paraId="4A3A610B" w14:textId="77777777" w:rsidR="004A413E" w:rsidRPr="0098262F" w:rsidRDefault="004A413E" w:rsidP="004B716A">
            <w:pPr>
              <w:pStyle w:val="TableText0"/>
              <w:jc w:val="center"/>
              <w:rPr>
                <w:rFonts w:cs="Arial"/>
              </w:rPr>
            </w:pPr>
            <w:r w:rsidRPr="00F062CE">
              <w:rPr>
                <w:rFonts w:eastAsiaTheme="minorHAnsi"/>
              </w:rPr>
              <w:t>NR</w:t>
            </w:r>
          </w:p>
        </w:tc>
        <w:tc>
          <w:tcPr>
            <w:tcW w:w="1137" w:type="pct"/>
          </w:tcPr>
          <w:p w14:paraId="3CA9BC3C" w14:textId="77777777" w:rsidR="004A413E" w:rsidRPr="0098262F" w:rsidRDefault="004A413E" w:rsidP="004B716A">
            <w:pPr>
              <w:pStyle w:val="TableText0"/>
              <w:jc w:val="center"/>
              <w:rPr>
                <w:rFonts w:cs="Arial"/>
              </w:rPr>
            </w:pPr>
            <w:r w:rsidRPr="00A103FA">
              <w:rPr>
                <w:rFonts w:eastAsiaTheme="minorHAnsi"/>
              </w:rPr>
              <w:t>14 (8)</w:t>
            </w:r>
          </w:p>
        </w:tc>
        <w:tc>
          <w:tcPr>
            <w:tcW w:w="834" w:type="pct"/>
          </w:tcPr>
          <w:p w14:paraId="56A73073" w14:textId="77777777" w:rsidR="004A413E" w:rsidRPr="0098262F" w:rsidRDefault="004A413E" w:rsidP="004B716A">
            <w:pPr>
              <w:pStyle w:val="TableText0"/>
              <w:jc w:val="center"/>
              <w:rPr>
                <w:rFonts w:cs="Arial"/>
              </w:rPr>
            </w:pPr>
            <w:r w:rsidRPr="00D72CB3">
              <w:rPr>
                <w:rFonts w:eastAsiaTheme="minorHAnsi"/>
              </w:rPr>
              <w:t>2(</w:t>
            </w:r>
            <w:r>
              <w:rPr>
                <w:rFonts w:eastAsiaTheme="minorHAnsi"/>
              </w:rPr>
              <w:t>4</w:t>
            </w:r>
            <w:r w:rsidRPr="00D72CB3">
              <w:rPr>
                <w:rFonts w:eastAsiaTheme="minorHAnsi"/>
              </w:rPr>
              <w:t>)</w:t>
            </w:r>
          </w:p>
        </w:tc>
      </w:tr>
      <w:tr w:rsidR="004A413E" w:rsidRPr="0098262F" w14:paraId="529AD875" w14:textId="77777777" w:rsidTr="007D46B4">
        <w:trPr>
          <w:tblHeader/>
        </w:trPr>
        <w:tc>
          <w:tcPr>
            <w:tcW w:w="5000" w:type="pct"/>
            <w:gridSpan w:val="5"/>
          </w:tcPr>
          <w:p w14:paraId="33049A29" w14:textId="77777777" w:rsidR="004A413E" w:rsidRPr="00825E8F" w:rsidRDefault="004A413E" w:rsidP="004B716A">
            <w:pPr>
              <w:pStyle w:val="TableText0"/>
              <w:rPr>
                <w:rFonts w:cs="Arial"/>
                <w:b/>
              </w:rPr>
            </w:pPr>
            <w:r w:rsidRPr="00825E8F">
              <w:rPr>
                <w:rFonts w:eastAsiaTheme="minorHAnsi" w:cs="Arial"/>
                <w:b/>
                <w:color w:val="222222"/>
                <w:szCs w:val="21"/>
              </w:rPr>
              <w:t>Clinical benefit (CR, PR or SD)</w:t>
            </w:r>
          </w:p>
        </w:tc>
      </w:tr>
      <w:tr w:rsidR="004A413E" w:rsidRPr="0098262F" w14:paraId="3BF61890" w14:textId="77777777" w:rsidTr="007D46B4">
        <w:trPr>
          <w:tblHeader/>
        </w:trPr>
        <w:tc>
          <w:tcPr>
            <w:tcW w:w="1287" w:type="pct"/>
          </w:tcPr>
          <w:p w14:paraId="196ED7DF" w14:textId="77777777" w:rsidR="004A413E" w:rsidRPr="0098262F" w:rsidRDefault="004A413E" w:rsidP="004B716A">
            <w:pPr>
              <w:pStyle w:val="TableText0"/>
            </w:pPr>
            <w:r>
              <w:t>CBR, n (%), (95% CI)</w:t>
            </w:r>
          </w:p>
        </w:tc>
        <w:tc>
          <w:tcPr>
            <w:tcW w:w="757" w:type="pct"/>
          </w:tcPr>
          <w:p w14:paraId="4C5C57E8" w14:textId="77777777" w:rsidR="004A413E" w:rsidRPr="0098262F" w:rsidRDefault="004A413E" w:rsidP="004B716A">
            <w:pPr>
              <w:pStyle w:val="TableText0"/>
              <w:jc w:val="center"/>
              <w:rPr>
                <w:rFonts w:cs="Arial"/>
              </w:rPr>
            </w:pPr>
            <w:r w:rsidRPr="007B1890">
              <w:t>60 (95), (87, 99)</w:t>
            </w:r>
          </w:p>
        </w:tc>
        <w:tc>
          <w:tcPr>
            <w:tcW w:w="985" w:type="pct"/>
          </w:tcPr>
          <w:p w14:paraId="0DA54D94" w14:textId="77777777" w:rsidR="004A413E" w:rsidRPr="0098262F" w:rsidRDefault="004A413E" w:rsidP="004B716A">
            <w:pPr>
              <w:pStyle w:val="TableText0"/>
              <w:jc w:val="center"/>
              <w:rPr>
                <w:rFonts w:cs="Arial"/>
              </w:rPr>
            </w:pPr>
            <w:r w:rsidRPr="007B1890">
              <w:t>67 (94), (86, 98)</w:t>
            </w:r>
          </w:p>
        </w:tc>
        <w:tc>
          <w:tcPr>
            <w:tcW w:w="1137" w:type="pct"/>
          </w:tcPr>
          <w:p w14:paraId="199DE8A1" w14:textId="77777777" w:rsidR="004A413E" w:rsidRPr="0098262F" w:rsidRDefault="004A413E" w:rsidP="004B716A">
            <w:pPr>
              <w:pStyle w:val="TableText0"/>
              <w:jc w:val="center"/>
              <w:rPr>
                <w:rFonts w:cs="Arial"/>
              </w:rPr>
            </w:pPr>
            <w:r w:rsidRPr="007B1890">
              <w:t>NR</w:t>
            </w:r>
          </w:p>
        </w:tc>
        <w:tc>
          <w:tcPr>
            <w:tcW w:w="834" w:type="pct"/>
          </w:tcPr>
          <w:p w14:paraId="59F2355D" w14:textId="77777777" w:rsidR="004A413E" w:rsidRPr="0098262F" w:rsidRDefault="004A413E" w:rsidP="004B716A">
            <w:pPr>
              <w:pStyle w:val="TableText0"/>
              <w:jc w:val="center"/>
              <w:rPr>
                <w:rFonts w:cs="Arial"/>
              </w:rPr>
            </w:pPr>
            <w:r w:rsidRPr="007B1890">
              <w:t xml:space="preserve">44 (82), (69, 91) </w:t>
            </w:r>
          </w:p>
        </w:tc>
      </w:tr>
      <w:tr w:rsidR="004A413E" w:rsidRPr="0098262F" w14:paraId="3C63F42A" w14:textId="77777777" w:rsidTr="007D46B4">
        <w:trPr>
          <w:tblHeader/>
        </w:trPr>
        <w:tc>
          <w:tcPr>
            <w:tcW w:w="5000" w:type="pct"/>
            <w:gridSpan w:val="5"/>
          </w:tcPr>
          <w:p w14:paraId="6B1915BD" w14:textId="77777777" w:rsidR="004A413E" w:rsidRPr="00A92B13" w:rsidRDefault="004A413E" w:rsidP="004B716A">
            <w:pPr>
              <w:pStyle w:val="TableText0"/>
              <w:rPr>
                <w:rFonts w:cs="Arial"/>
                <w:b/>
                <w:bCs w:val="0"/>
              </w:rPr>
            </w:pPr>
            <w:r w:rsidRPr="00A92B13">
              <w:rPr>
                <w:rFonts w:cs="Arial"/>
                <w:b/>
                <w:bCs w:val="0"/>
              </w:rPr>
              <w:t>DOR</w:t>
            </w:r>
          </w:p>
        </w:tc>
      </w:tr>
      <w:tr w:rsidR="004A413E" w:rsidRPr="0098262F" w14:paraId="4A43AC5A" w14:textId="77777777" w:rsidTr="007D46B4">
        <w:trPr>
          <w:tblHeader/>
        </w:trPr>
        <w:tc>
          <w:tcPr>
            <w:tcW w:w="1287" w:type="pct"/>
          </w:tcPr>
          <w:p w14:paraId="619AB683" w14:textId="77777777" w:rsidR="004A413E" w:rsidRDefault="004A413E" w:rsidP="004B716A">
            <w:pPr>
              <w:pStyle w:val="TableText0"/>
            </w:pPr>
            <w:r>
              <w:t>DOR, median (95% CI) months</w:t>
            </w:r>
          </w:p>
        </w:tc>
        <w:tc>
          <w:tcPr>
            <w:tcW w:w="757" w:type="pct"/>
            <w:vAlign w:val="center"/>
          </w:tcPr>
          <w:p w14:paraId="0758B5D5" w14:textId="77777777" w:rsidR="004A413E" w:rsidRPr="0098262F" w:rsidRDefault="004A413E" w:rsidP="004B716A">
            <w:pPr>
              <w:pStyle w:val="TableText0"/>
              <w:jc w:val="center"/>
              <w:rPr>
                <w:rFonts w:cs="Arial"/>
              </w:rPr>
            </w:pPr>
            <w:r w:rsidRPr="00721A1C">
              <w:rPr>
                <w:rFonts w:cs="Arial"/>
              </w:rPr>
              <w:t>NE (28.7, NE)</w:t>
            </w:r>
          </w:p>
        </w:tc>
        <w:tc>
          <w:tcPr>
            <w:tcW w:w="985" w:type="pct"/>
            <w:vAlign w:val="center"/>
          </w:tcPr>
          <w:p w14:paraId="7144519E" w14:textId="77777777" w:rsidR="004A413E" w:rsidRPr="0098262F" w:rsidRDefault="004A413E" w:rsidP="004B716A">
            <w:pPr>
              <w:pStyle w:val="TableText0"/>
              <w:jc w:val="center"/>
              <w:rPr>
                <w:rFonts w:cs="Arial"/>
              </w:rPr>
            </w:pPr>
            <w:r w:rsidRPr="00D511AF">
              <w:rPr>
                <w:rFonts w:cs="Arial"/>
              </w:rPr>
              <w:t>–</w:t>
            </w:r>
          </w:p>
        </w:tc>
        <w:tc>
          <w:tcPr>
            <w:tcW w:w="1137" w:type="pct"/>
            <w:vAlign w:val="center"/>
          </w:tcPr>
          <w:p w14:paraId="64FBFECD" w14:textId="77777777" w:rsidR="004A413E" w:rsidRPr="0098262F" w:rsidRDefault="004A413E" w:rsidP="004B716A">
            <w:pPr>
              <w:pStyle w:val="TableText0"/>
              <w:jc w:val="center"/>
              <w:rPr>
                <w:rFonts w:cs="Arial"/>
              </w:rPr>
            </w:pPr>
            <w:r w:rsidRPr="005358E0">
              <w:t>20.4 (14.8</w:t>
            </w:r>
            <w:r>
              <w:t xml:space="preserve">, </w:t>
            </w:r>
            <w:r w:rsidRPr="005358E0">
              <w:t>34.8)</w:t>
            </w:r>
            <w:r>
              <w:t xml:space="preserve"> </w:t>
            </w:r>
            <w:r w:rsidRPr="00DC02C3">
              <w:rPr>
                <w:vertAlign w:val="superscript"/>
              </w:rPr>
              <w:t>b</w:t>
            </w:r>
          </w:p>
        </w:tc>
        <w:tc>
          <w:tcPr>
            <w:tcW w:w="834" w:type="pct"/>
            <w:vAlign w:val="center"/>
          </w:tcPr>
          <w:p w14:paraId="326AE799" w14:textId="77777777" w:rsidR="004A413E" w:rsidRPr="0098262F" w:rsidRDefault="004A413E" w:rsidP="004B716A">
            <w:pPr>
              <w:pStyle w:val="TableText0"/>
              <w:jc w:val="center"/>
              <w:rPr>
                <w:rFonts w:cs="Arial"/>
              </w:rPr>
            </w:pPr>
            <w:r w:rsidRPr="005358E0">
              <w:t>16.7 (5.6</w:t>
            </w:r>
            <w:r>
              <w:t xml:space="preserve">, </w:t>
            </w:r>
            <w:r w:rsidRPr="005358E0">
              <w:t>24.0)</w:t>
            </w:r>
            <w:r>
              <w:t xml:space="preserve"> </w:t>
            </w:r>
            <w:r w:rsidRPr="00DC02C3">
              <w:rPr>
                <w:vertAlign w:val="superscript"/>
              </w:rPr>
              <w:t>c</w:t>
            </w:r>
          </w:p>
        </w:tc>
      </w:tr>
      <w:tr w:rsidR="004A413E" w:rsidRPr="0098262F" w14:paraId="7601DE86" w14:textId="77777777" w:rsidTr="007D46B4">
        <w:trPr>
          <w:tblHeader/>
        </w:trPr>
        <w:tc>
          <w:tcPr>
            <w:tcW w:w="5000" w:type="pct"/>
            <w:gridSpan w:val="5"/>
          </w:tcPr>
          <w:p w14:paraId="2137D562" w14:textId="77777777" w:rsidR="004A413E" w:rsidRPr="0074064D" w:rsidRDefault="004A413E" w:rsidP="004B716A">
            <w:pPr>
              <w:pStyle w:val="TableText0"/>
              <w:rPr>
                <w:rFonts w:cs="Arial"/>
                <w:b/>
                <w:bCs w:val="0"/>
              </w:rPr>
            </w:pPr>
            <w:r w:rsidRPr="0074064D">
              <w:rPr>
                <w:rFonts w:cs="Arial"/>
                <w:b/>
                <w:bCs w:val="0"/>
              </w:rPr>
              <w:t xml:space="preserve">DOR </w:t>
            </w:r>
            <w:r>
              <w:rPr>
                <w:rFonts w:cs="Arial"/>
                <w:b/>
                <w:bCs w:val="0"/>
              </w:rPr>
              <w:t>l</w:t>
            </w:r>
            <w:r w:rsidRPr="0074064D">
              <w:rPr>
                <w:rFonts w:cs="Arial"/>
                <w:b/>
                <w:bCs w:val="0"/>
              </w:rPr>
              <w:t xml:space="preserve">andmark </w:t>
            </w:r>
            <w:r>
              <w:rPr>
                <w:rFonts w:cs="Arial"/>
                <w:b/>
                <w:bCs w:val="0"/>
              </w:rPr>
              <w:t>a</w:t>
            </w:r>
            <w:r w:rsidRPr="0074064D">
              <w:rPr>
                <w:rFonts w:cs="Arial"/>
                <w:b/>
                <w:bCs w:val="0"/>
              </w:rPr>
              <w:t>nalyses (</w:t>
            </w:r>
            <w:r>
              <w:rPr>
                <w:rFonts w:cs="Arial"/>
                <w:b/>
                <w:bCs w:val="0"/>
              </w:rPr>
              <w:t>s</w:t>
            </w:r>
            <w:r w:rsidRPr="0074064D">
              <w:rPr>
                <w:rFonts w:cs="Arial"/>
                <w:b/>
                <w:bCs w:val="0"/>
              </w:rPr>
              <w:t xml:space="preserve">urvival </w:t>
            </w:r>
            <w:r>
              <w:rPr>
                <w:rFonts w:cs="Arial"/>
                <w:b/>
                <w:bCs w:val="0"/>
              </w:rPr>
              <w:t>p</w:t>
            </w:r>
            <w:r w:rsidRPr="0074064D">
              <w:rPr>
                <w:rFonts w:cs="Arial"/>
                <w:b/>
                <w:bCs w:val="0"/>
              </w:rPr>
              <w:t>robabilities by KM)</w:t>
            </w:r>
          </w:p>
        </w:tc>
      </w:tr>
      <w:tr w:rsidR="004A413E" w:rsidRPr="0098262F" w14:paraId="2DF13C18" w14:textId="77777777" w:rsidTr="007D46B4">
        <w:trPr>
          <w:tblHeader/>
        </w:trPr>
        <w:tc>
          <w:tcPr>
            <w:tcW w:w="1287" w:type="pct"/>
          </w:tcPr>
          <w:p w14:paraId="40C2B749" w14:textId="77777777" w:rsidR="004A413E" w:rsidRDefault="004A413E" w:rsidP="004B716A">
            <w:pPr>
              <w:pStyle w:val="TableText0"/>
            </w:pPr>
            <m:oMath>
              <m:r>
                <m:rPr>
                  <m:sty m:val="p"/>
                </m:rPr>
                <w:rPr>
                  <w:rFonts w:ascii="Cambria Math" w:eastAsiaTheme="minorHAnsi" w:hAnsi="Cambria Math"/>
                </w:rPr>
                <m:t>≥</m:t>
              </m:r>
            </m:oMath>
            <w:r>
              <w:rPr>
                <w:rFonts w:eastAsiaTheme="minorHAnsi"/>
              </w:rPr>
              <w:t>6 months (95% CI)</w:t>
            </w:r>
          </w:p>
        </w:tc>
        <w:tc>
          <w:tcPr>
            <w:tcW w:w="757" w:type="pct"/>
          </w:tcPr>
          <w:p w14:paraId="08FE480F" w14:textId="77777777" w:rsidR="004A413E" w:rsidRPr="0098262F" w:rsidRDefault="004A413E" w:rsidP="004B716A">
            <w:pPr>
              <w:pStyle w:val="TableText0"/>
              <w:jc w:val="center"/>
              <w:rPr>
                <w:rFonts w:cs="Arial"/>
              </w:rPr>
            </w:pPr>
            <w:r w:rsidRPr="00824EA8">
              <w:t>92 (84, 99.5)</w:t>
            </w:r>
          </w:p>
        </w:tc>
        <w:tc>
          <w:tcPr>
            <w:tcW w:w="985" w:type="pct"/>
            <w:vAlign w:val="center"/>
          </w:tcPr>
          <w:p w14:paraId="1E1F2771" w14:textId="77777777" w:rsidR="004A413E" w:rsidRPr="0098262F" w:rsidRDefault="004A413E" w:rsidP="004B716A">
            <w:pPr>
              <w:pStyle w:val="TableText0"/>
              <w:jc w:val="center"/>
              <w:rPr>
                <w:rFonts w:cs="Arial"/>
              </w:rPr>
            </w:pPr>
            <w:r w:rsidRPr="00557EA2">
              <w:rPr>
                <w:rFonts w:cs="Arial"/>
              </w:rPr>
              <w:t>–</w:t>
            </w:r>
          </w:p>
        </w:tc>
        <w:tc>
          <w:tcPr>
            <w:tcW w:w="1137" w:type="pct"/>
          </w:tcPr>
          <w:p w14:paraId="2C38D22C" w14:textId="77777777" w:rsidR="004A413E" w:rsidRPr="0098262F" w:rsidRDefault="004A413E" w:rsidP="004B716A">
            <w:pPr>
              <w:pStyle w:val="TableText0"/>
              <w:jc w:val="center"/>
              <w:rPr>
                <w:rFonts w:cs="Arial"/>
              </w:rPr>
            </w:pPr>
            <w:r w:rsidRPr="00837BFE">
              <w:t>NR</w:t>
            </w:r>
          </w:p>
        </w:tc>
        <w:tc>
          <w:tcPr>
            <w:tcW w:w="834" w:type="pct"/>
          </w:tcPr>
          <w:p w14:paraId="1AE3BDB3" w14:textId="77777777" w:rsidR="004A413E" w:rsidRPr="0098262F" w:rsidRDefault="004A413E" w:rsidP="004B716A">
            <w:pPr>
              <w:pStyle w:val="TableText0"/>
              <w:jc w:val="center"/>
              <w:rPr>
                <w:rFonts w:cs="Arial"/>
              </w:rPr>
            </w:pPr>
            <w:r w:rsidRPr="00837BFE">
              <w:t>NR</w:t>
            </w:r>
          </w:p>
        </w:tc>
      </w:tr>
      <w:tr w:rsidR="004A413E" w:rsidRPr="0098262F" w14:paraId="5E9C95CA" w14:textId="77777777" w:rsidTr="007D46B4">
        <w:trPr>
          <w:tblHeader/>
        </w:trPr>
        <w:tc>
          <w:tcPr>
            <w:tcW w:w="1287" w:type="pct"/>
          </w:tcPr>
          <w:p w14:paraId="1A9B23D0" w14:textId="77777777" w:rsidR="004A413E" w:rsidRDefault="004A413E" w:rsidP="004B716A">
            <w:pPr>
              <w:pStyle w:val="TableText0"/>
            </w:pPr>
            <m:oMath>
              <m:r>
                <m:rPr>
                  <m:sty m:val="p"/>
                </m:rPr>
                <w:rPr>
                  <w:rFonts w:ascii="Cambria Math" w:eastAsiaTheme="minorHAnsi" w:hAnsi="Cambria Math"/>
                </w:rPr>
                <m:t>≥</m:t>
              </m:r>
            </m:oMath>
            <w:r>
              <w:rPr>
                <w:rFonts w:eastAsiaTheme="minorHAnsi"/>
              </w:rPr>
              <w:t>9 months (95% CI)</w:t>
            </w:r>
          </w:p>
        </w:tc>
        <w:tc>
          <w:tcPr>
            <w:tcW w:w="757" w:type="pct"/>
          </w:tcPr>
          <w:p w14:paraId="4CB993CA" w14:textId="77777777" w:rsidR="004A413E" w:rsidRPr="0098262F" w:rsidRDefault="004A413E" w:rsidP="004B716A">
            <w:pPr>
              <w:pStyle w:val="TableText0"/>
              <w:jc w:val="center"/>
              <w:rPr>
                <w:rFonts w:cs="Arial"/>
              </w:rPr>
            </w:pPr>
            <w:r w:rsidRPr="00824EA8">
              <w:t>89 (81, 98)</w:t>
            </w:r>
          </w:p>
        </w:tc>
        <w:tc>
          <w:tcPr>
            <w:tcW w:w="985" w:type="pct"/>
            <w:vAlign w:val="center"/>
          </w:tcPr>
          <w:p w14:paraId="06679330" w14:textId="77777777" w:rsidR="004A413E" w:rsidRPr="0098262F" w:rsidRDefault="004A413E" w:rsidP="004B716A">
            <w:pPr>
              <w:pStyle w:val="TableText0"/>
              <w:jc w:val="center"/>
              <w:rPr>
                <w:rFonts w:cs="Arial"/>
              </w:rPr>
            </w:pPr>
            <w:r w:rsidRPr="00557EA2">
              <w:rPr>
                <w:rFonts w:cs="Arial"/>
              </w:rPr>
              <w:t>–</w:t>
            </w:r>
          </w:p>
        </w:tc>
        <w:tc>
          <w:tcPr>
            <w:tcW w:w="1137" w:type="pct"/>
          </w:tcPr>
          <w:p w14:paraId="4E865401" w14:textId="77777777" w:rsidR="004A413E" w:rsidRPr="0098262F" w:rsidRDefault="004A413E" w:rsidP="004B716A">
            <w:pPr>
              <w:pStyle w:val="TableText0"/>
              <w:jc w:val="center"/>
              <w:rPr>
                <w:rFonts w:cs="Arial"/>
              </w:rPr>
            </w:pPr>
            <w:r w:rsidRPr="00837BFE">
              <w:t>NR</w:t>
            </w:r>
          </w:p>
        </w:tc>
        <w:tc>
          <w:tcPr>
            <w:tcW w:w="834" w:type="pct"/>
          </w:tcPr>
          <w:p w14:paraId="125193B7" w14:textId="77777777" w:rsidR="004A413E" w:rsidRPr="0098262F" w:rsidRDefault="004A413E" w:rsidP="004B716A">
            <w:pPr>
              <w:pStyle w:val="TableText0"/>
              <w:jc w:val="center"/>
              <w:rPr>
                <w:rFonts w:cs="Arial"/>
              </w:rPr>
            </w:pPr>
            <w:r w:rsidRPr="00837BFE">
              <w:t>NR</w:t>
            </w:r>
          </w:p>
        </w:tc>
      </w:tr>
      <w:tr w:rsidR="004A413E" w:rsidRPr="0098262F" w14:paraId="7EA5B888" w14:textId="77777777" w:rsidTr="007D46B4">
        <w:trPr>
          <w:tblHeader/>
        </w:trPr>
        <w:tc>
          <w:tcPr>
            <w:tcW w:w="1287" w:type="pct"/>
          </w:tcPr>
          <w:p w14:paraId="382B5D12" w14:textId="77777777" w:rsidR="004A413E" w:rsidRDefault="004A413E" w:rsidP="004B716A">
            <w:pPr>
              <w:pStyle w:val="TableText0"/>
            </w:pPr>
            <m:oMath>
              <m:r>
                <m:rPr>
                  <m:sty m:val="p"/>
                </m:rPr>
                <w:rPr>
                  <w:rFonts w:ascii="Cambria Math" w:eastAsiaTheme="minorHAnsi" w:hAnsi="Cambria Math"/>
                </w:rPr>
                <m:t>≥</m:t>
              </m:r>
            </m:oMath>
            <w:r>
              <w:rPr>
                <w:rFonts w:eastAsiaTheme="minorHAnsi"/>
              </w:rPr>
              <w:t>12 months (95% CI)</w:t>
            </w:r>
          </w:p>
        </w:tc>
        <w:tc>
          <w:tcPr>
            <w:tcW w:w="757" w:type="pct"/>
          </w:tcPr>
          <w:p w14:paraId="729E4A96" w14:textId="77777777" w:rsidR="004A413E" w:rsidRPr="0098262F" w:rsidRDefault="004A413E" w:rsidP="004B716A">
            <w:pPr>
              <w:pStyle w:val="TableText0"/>
              <w:jc w:val="center"/>
              <w:rPr>
                <w:rFonts w:cs="Arial"/>
              </w:rPr>
            </w:pPr>
            <w:r w:rsidRPr="00824EA8">
              <w:t>85 (75, 95)</w:t>
            </w:r>
          </w:p>
        </w:tc>
        <w:tc>
          <w:tcPr>
            <w:tcW w:w="985" w:type="pct"/>
            <w:vAlign w:val="center"/>
          </w:tcPr>
          <w:p w14:paraId="3DA04E89" w14:textId="77777777" w:rsidR="004A413E" w:rsidRPr="0098262F" w:rsidRDefault="004A413E" w:rsidP="004B716A">
            <w:pPr>
              <w:pStyle w:val="TableText0"/>
              <w:jc w:val="center"/>
              <w:rPr>
                <w:rFonts w:cs="Arial"/>
              </w:rPr>
            </w:pPr>
            <w:r w:rsidRPr="00557EA2">
              <w:rPr>
                <w:rFonts w:cs="Arial"/>
              </w:rPr>
              <w:t>–</w:t>
            </w:r>
          </w:p>
        </w:tc>
        <w:tc>
          <w:tcPr>
            <w:tcW w:w="1137" w:type="pct"/>
          </w:tcPr>
          <w:p w14:paraId="49F1A2EE" w14:textId="77777777" w:rsidR="004A413E" w:rsidRPr="0098262F" w:rsidRDefault="004A413E" w:rsidP="004B716A">
            <w:pPr>
              <w:pStyle w:val="TableText0"/>
              <w:jc w:val="center"/>
              <w:rPr>
                <w:rFonts w:cs="Arial"/>
              </w:rPr>
            </w:pPr>
            <w:r w:rsidRPr="00837BFE">
              <w:t>65 (56, 74)</w:t>
            </w:r>
            <w:r w:rsidRPr="00DC02C3">
              <w:rPr>
                <w:vertAlign w:val="superscript"/>
              </w:rPr>
              <w:t xml:space="preserve"> b</w:t>
            </w:r>
          </w:p>
        </w:tc>
        <w:tc>
          <w:tcPr>
            <w:tcW w:w="834" w:type="pct"/>
          </w:tcPr>
          <w:p w14:paraId="56045109" w14:textId="77777777" w:rsidR="004A413E" w:rsidRPr="0098262F" w:rsidRDefault="004A413E" w:rsidP="004B716A">
            <w:pPr>
              <w:pStyle w:val="TableText0"/>
              <w:jc w:val="center"/>
              <w:rPr>
                <w:rFonts w:cs="Arial"/>
              </w:rPr>
            </w:pPr>
            <w:r w:rsidRPr="00837BFE">
              <w:t>57 (NR)</w:t>
            </w:r>
            <w:r>
              <w:t xml:space="preserve"> </w:t>
            </w:r>
            <w:r w:rsidRPr="00DC02C3">
              <w:rPr>
                <w:vertAlign w:val="superscript"/>
              </w:rPr>
              <w:t>c</w:t>
            </w:r>
          </w:p>
        </w:tc>
      </w:tr>
      <w:tr w:rsidR="004A413E" w:rsidRPr="0098262F" w14:paraId="339BF11E" w14:textId="77777777" w:rsidTr="007D46B4">
        <w:trPr>
          <w:tblHeader/>
        </w:trPr>
        <w:tc>
          <w:tcPr>
            <w:tcW w:w="1287" w:type="pct"/>
          </w:tcPr>
          <w:p w14:paraId="36A539AF" w14:textId="77777777" w:rsidR="004A413E" w:rsidRDefault="004A413E" w:rsidP="004B716A">
            <w:pPr>
              <w:pStyle w:val="TableText0"/>
            </w:pPr>
            <m:oMath>
              <m:r>
                <m:rPr>
                  <m:sty m:val="p"/>
                </m:rPr>
                <w:rPr>
                  <w:rFonts w:ascii="Cambria Math" w:eastAsiaTheme="minorHAnsi" w:hAnsi="Cambria Math"/>
                </w:rPr>
                <m:t>≥</m:t>
              </m:r>
            </m:oMath>
            <w:r>
              <w:rPr>
                <w:rFonts w:eastAsiaTheme="minorHAnsi"/>
              </w:rPr>
              <w:t>18 months (95% CI)</w:t>
            </w:r>
          </w:p>
        </w:tc>
        <w:tc>
          <w:tcPr>
            <w:tcW w:w="757" w:type="pct"/>
          </w:tcPr>
          <w:p w14:paraId="7BA2C736" w14:textId="77777777" w:rsidR="004A413E" w:rsidRPr="0098262F" w:rsidRDefault="004A413E" w:rsidP="004B716A">
            <w:pPr>
              <w:pStyle w:val="TableText0"/>
              <w:jc w:val="center"/>
              <w:rPr>
                <w:rFonts w:cs="Arial"/>
              </w:rPr>
            </w:pPr>
            <w:r w:rsidRPr="00824EA8">
              <w:t>78 (66, 90)</w:t>
            </w:r>
          </w:p>
        </w:tc>
        <w:tc>
          <w:tcPr>
            <w:tcW w:w="985" w:type="pct"/>
            <w:vAlign w:val="center"/>
          </w:tcPr>
          <w:p w14:paraId="2EC15E40" w14:textId="77777777" w:rsidR="004A413E" w:rsidRPr="0098262F" w:rsidRDefault="004A413E" w:rsidP="004B716A">
            <w:pPr>
              <w:pStyle w:val="TableText0"/>
              <w:jc w:val="center"/>
              <w:rPr>
                <w:rFonts w:cs="Arial"/>
              </w:rPr>
            </w:pPr>
            <w:r w:rsidRPr="00557EA2">
              <w:rPr>
                <w:rFonts w:cs="Arial"/>
              </w:rPr>
              <w:t>–</w:t>
            </w:r>
          </w:p>
        </w:tc>
        <w:tc>
          <w:tcPr>
            <w:tcW w:w="1137" w:type="pct"/>
          </w:tcPr>
          <w:p w14:paraId="4B498C00" w14:textId="77777777" w:rsidR="004A413E" w:rsidRPr="0098262F" w:rsidRDefault="004A413E" w:rsidP="004B716A">
            <w:pPr>
              <w:pStyle w:val="TableText0"/>
              <w:jc w:val="center"/>
              <w:rPr>
                <w:rFonts w:cs="Arial"/>
              </w:rPr>
            </w:pPr>
            <w:r w:rsidRPr="00837BFE">
              <w:t>52 (43, 32)</w:t>
            </w:r>
            <w:r w:rsidRPr="00DC02C3">
              <w:rPr>
                <w:vertAlign w:val="superscript"/>
              </w:rPr>
              <w:t xml:space="preserve"> b</w:t>
            </w:r>
          </w:p>
        </w:tc>
        <w:tc>
          <w:tcPr>
            <w:tcW w:w="834" w:type="pct"/>
          </w:tcPr>
          <w:p w14:paraId="5F8CB22A" w14:textId="77777777" w:rsidR="004A413E" w:rsidRPr="0098262F" w:rsidRDefault="004A413E" w:rsidP="004B716A">
            <w:pPr>
              <w:pStyle w:val="TableText0"/>
              <w:jc w:val="center"/>
              <w:rPr>
                <w:rFonts w:cs="Arial"/>
              </w:rPr>
            </w:pPr>
            <w:r w:rsidRPr="00837BFE">
              <w:t>NR</w:t>
            </w:r>
          </w:p>
        </w:tc>
      </w:tr>
      <w:tr w:rsidR="004A413E" w:rsidRPr="0098262F" w14:paraId="6F740B1F" w14:textId="77777777" w:rsidTr="007D46B4">
        <w:trPr>
          <w:tblHeader/>
        </w:trPr>
        <w:tc>
          <w:tcPr>
            <w:tcW w:w="1287" w:type="pct"/>
          </w:tcPr>
          <w:p w14:paraId="007DC90B" w14:textId="77777777" w:rsidR="004A413E" w:rsidRDefault="004A413E" w:rsidP="004B716A">
            <w:pPr>
              <w:pStyle w:val="TableText0"/>
            </w:pPr>
            <m:oMath>
              <m:r>
                <m:rPr>
                  <m:sty m:val="p"/>
                </m:rPr>
                <w:rPr>
                  <w:rFonts w:ascii="Cambria Math" w:eastAsiaTheme="minorHAnsi" w:hAnsi="Cambria Math"/>
                </w:rPr>
                <m:t>≥</m:t>
              </m:r>
            </m:oMath>
            <w:r>
              <w:rPr>
                <w:rFonts w:eastAsiaTheme="minorHAnsi"/>
              </w:rPr>
              <w:t>24 months (95% CI)</w:t>
            </w:r>
          </w:p>
        </w:tc>
        <w:tc>
          <w:tcPr>
            <w:tcW w:w="757" w:type="pct"/>
          </w:tcPr>
          <w:p w14:paraId="749666DC" w14:textId="77777777" w:rsidR="004A413E" w:rsidRPr="0098262F" w:rsidRDefault="004A413E" w:rsidP="004B716A">
            <w:pPr>
              <w:pStyle w:val="TableText0"/>
              <w:jc w:val="center"/>
              <w:rPr>
                <w:rFonts w:cs="Arial"/>
              </w:rPr>
            </w:pPr>
            <w:r w:rsidRPr="00824EA8">
              <w:t>73 (60, 86)</w:t>
            </w:r>
          </w:p>
        </w:tc>
        <w:tc>
          <w:tcPr>
            <w:tcW w:w="985" w:type="pct"/>
            <w:vAlign w:val="center"/>
          </w:tcPr>
          <w:p w14:paraId="48F50B25" w14:textId="77777777" w:rsidR="004A413E" w:rsidRPr="0098262F" w:rsidRDefault="004A413E" w:rsidP="004B716A">
            <w:pPr>
              <w:pStyle w:val="TableText0"/>
              <w:jc w:val="center"/>
              <w:rPr>
                <w:rFonts w:cs="Arial"/>
              </w:rPr>
            </w:pPr>
            <w:r w:rsidRPr="00557EA2">
              <w:rPr>
                <w:rFonts w:cs="Arial"/>
              </w:rPr>
              <w:t>–</w:t>
            </w:r>
          </w:p>
        </w:tc>
        <w:tc>
          <w:tcPr>
            <w:tcW w:w="1137" w:type="pct"/>
          </w:tcPr>
          <w:p w14:paraId="7BB96E2B" w14:textId="77777777" w:rsidR="004A413E" w:rsidRPr="0098262F" w:rsidRDefault="004A413E" w:rsidP="004B716A">
            <w:pPr>
              <w:pStyle w:val="TableText0"/>
              <w:jc w:val="center"/>
              <w:rPr>
                <w:rFonts w:cs="Arial"/>
              </w:rPr>
            </w:pPr>
            <w:r w:rsidRPr="00837BFE">
              <w:t>NR</w:t>
            </w:r>
          </w:p>
        </w:tc>
        <w:tc>
          <w:tcPr>
            <w:tcW w:w="834" w:type="pct"/>
          </w:tcPr>
          <w:p w14:paraId="13C45EC3" w14:textId="77777777" w:rsidR="004A413E" w:rsidRPr="0098262F" w:rsidRDefault="004A413E" w:rsidP="004B716A">
            <w:pPr>
              <w:pStyle w:val="TableText0"/>
              <w:jc w:val="center"/>
              <w:rPr>
                <w:rFonts w:cs="Arial"/>
              </w:rPr>
            </w:pPr>
            <w:r w:rsidRPr="00837BFE">
              <w:t>NR</w:t>
            </w:r>
          </w:p>
        </w:tc>
      </w:tr>
      <w:tr w:rsidR="004A413E" w:rsidRPr="0098262F" w14:paraId="6E84061D" w14:textId="77777777" w:rsidTr="007D46B4">
        <w:trPr>
          <w:tblHeader/>
        </w:trPr>
        <w:tc>
          <w:tcPr>
            <w:tcW w:w="5000" w:type="pct"/>
            <w:gridSpan w:val="5"/>
          </w:tcPr>
          <w:p w14:paraId="51DB8B83" w14:textId="77777777" w:rsidR="004A413E" w:rsidRPr="00E15540" w:rsidRDefault="004A413E" w:rsidP="004B716A">
            <w:pPr>
              <w:pStyle w:val="TableText0"/>
              <w:rPr>
                <w:rFonts w:cs="Arial"/>
                <w:b/>
                <w:bCs w:val="0"/>
              </w:rPr>
            </w:pPr>
            <w:r w:rsidRPr="00E15540">
              <w:rPr>
                <w:b/>
                <w:bCs w:val="0"/>
              </w:rPr>
              <w:t>PFS</w:t>
            </w:r>
          </w:p>
        </w:tc>
      </w:tr>
      <w:tr w:rsidR="004A413E" w:rsidRPr="0098262F" w14:paraId="033CA3D3" w14:textId="77777777" w:rsidTr="007D46B4">
        <w:trPr>
          <w:tblHeader/>
        </w:trPr>
        <w:tc>
          <w:tcPr>
            <w:tcW w:w="1287" w:type="pct"/>
          </w:tcPr>
          <w:p w14:paraId="59EB8B75" w14:textId="77777777" w:rsidR="004A413E" w:rsidRDefault="004A413E" w:rsidP="004B716A">
            <w:pPr>
              <w:pStyle w:val="TableText0"/>
            </w:pPr>
            <w:r>
              <w:t>PFS</w:t>
            </w:r>
            <w:r w:rsidRPr="001918C4">
              <w:t>, median (95% CI) months</w:t>
            </w:r>
          </w:p>
        </w:tc>
        <w:tc>
          <w:tcPr>
            <w:tcW w:w="757" w:type="pct"/>
            <w:vAlign w:val="center"/>
          </w:tcPr>
          <w:p w14:paraId="3C51EA56" w14:textId="77777777" w:rsidR="004A413E" w:rsidRPr="0098262F" w:rsidRDefault="004A413E" w:rsidP="004B716A">
            <w:pPr>
              <w:pStyle w:val="TableText0"/>
              <w:jc w:val="center"/>
              <w:rPr>
                <w:rFonts w:cs="Arial"/>
              </w:rPr>
            </w:pPr>
            <w:r w:rsidRPr="00783CD9">
              <w:t>37.1 (21.9, NE)</w:t>
            </w:r>
          </w:p>
        </w:tc>
        <w:tc>
          <w:tcPr>
            <w:tcW w:w="985" w:type="pct"/>
            <w:vAlign w:val="center"/>
          </w:tcPr>
          <w:p w14:paraId="2D97AF1F" w14:textId="77777777" w:rsidR="004A413E" w:rsidRPr="0098262F" w:rsidRDefault="004A413E" w:rsidP="004B716A">
            <w:pPr>
              <w:pStyle w:val="TableText0"/>
              <w:jc w:val="center"/>
              <w:rPr>
                <w:rFonts w:cs="Arial"/>
              </w:rPr>
            </w:pPr>
            <w:r w:rsidRPr="00783CD9">
              <w:t>35.7 (24.6, NE)</w:t>
            </w:r>
          </w:p>
        </w:tc>
        <w:tc>
          <w:tcPr>
            <w:tcW w:w="1137" w:type="pct"/>
            <w:vAlign w:val="center"/>
          </w:tcPr>
          <w:p w14:paraId="2F2615D9" w14:textId="77777777" w:rsidR="004A413E" w:rsidRPr="0098262F" w:rsidRDefault="004A413E" w:rsidP="004B716A">
            <w:pPr>
              <w:pStyle w:val="TableText0"/>
              <w:jc w:val="center"/>
              <w:rPr>
                <w:rFonts w:cs="Arial"/>
              </w:rPr>
            </w:pPr>
            <w:r w:rsidRPr="00783CD9">
              <w:t>16.8 (12.2, 22.4)</w:t>
            </w:r>
          </w:p>
        </w:tc>
        <w:tc>
          <w:tcPr>
            <w:tcW w:w="834" w:type="pct"/>
            <w:vAlign w:val="center"/>
          </w:tcPr>
          <w:p w14:paraId="6320FAA6" w14:textId="77777777" w:rsidR="004A413E" w:rsidRPr="0098262F" w:rsidRDefault="004A413E" w:rsidP="004B716A">
            <w:pPr>
              <w:pStyle w:val="TableText0"/>
              <w:jc w:val="center"/>
              <w:rPr>
                <w:rFonts w:cs="Arial"/>
              </w:rPr>
            </w:pPr>
            <w:r w:rsidRPr="00783CD9">
              <w:t>14.8 (7.2, 24.0)</w:t>
            </w:r>
          </w:p>
        </w:tc>
      </w:tr>
      <w:tr w:rsidR="004A413E" w:rsidRPr="0098262F" w14:paraId="7B5B9C60" w14:textId="77777777" w:rsidTr="007D46B4">
        <w:trPr>
          <w:tblHeader/>
        </w:trPr>
        <w:tc>
          <w:tcPr>
            <w:tcW w:w="5000" w:type="pct"/>
            <w:gridSpan w:val="5"/>
            <w:vAlign w:val="center"/>
          </w:tcPr>
          <w:p w14:paraId="4865903F" w14:textId="77777777" w:rsidR="004A413E" w:rsidRPr="0098262F" w:rsidRDefault="004A413E" w:rsidP="004B716A">
            <w:pPr>
              <w:pStyle w:val="TableText0"/>
              <w:rPr>
                <w:rFonts w:cs="Arial"/>
              </w:rPr>
            </w:pPr>
            <w:r>
              <w:rPr>
                <w:rFonts w:cs="Arial"/>
                <w:b/>
                <w:bCs w:val="0"/>
              </w:rPr>
              <w:t>PFS</w:t>
            </w:r>
            <w:r w:rsidRPr="0074064D">
              <w:rPr>
                <w:rFonts w:cs="Arial"/>
                <w:b/>
                <w:bCs w:val="0"/>
              </w:rPr>
              <w:t xml:space="preserve"> </w:t>
            </w:r>
            <w:r>
              <w:rPr>
                <w:rFonts w:cs="Arial"/>
                <w:b/>
                <w:bCs w:val="0"/>
              </w:rPr>
              <w:t>l</w:t>
            </w:r>
            <w:r w:rsidRPr="0074064D">
              <w:rPr>
                <w:rFonts w:cs="Arial"/>
                <w:b/>
                <w:bCs w:val="0"/>
              </w:rPr>
              <w:t xml:space="preserve">andmark </w:t>
            </w:r>
            <w:r>
              <w:rPr>
                <w:rFonts w:cs="Arial"/>
                <w:b/>
                <w:bCs w:val="0"/>
              </w:rPr>
              <w:t>a</w:t>
            </w:r>
            <w:r w:rsidRPr="0074064D">
              <w:rPr>
                <w:rFonts w:cs="Arial"/>
                <w:b/>
                <w:bCs w:val="0"/>
              </w:rPr>
              <w:t>nalyses (</w:t>
            </w:r>
            <w:r>
              <w:rPr>
                <w:rFonts w:cs="Arial"/>
                <w:b/>
                <w:bCs w:val="0"/>
              </w:rPr>
              <w:t>s</w:t>
            </w:r>
            <w:r w:rsidRPr="0074064D">
              <w:rPr>
                <w:rFonts w:cs="Arial"/>
                <w:b/>
                <w:bCs w:val="0"/>
              </w:rPr>
              <w:t xml:space="preserve">urvival </w:t>
            </w:r>
            <w:r>
              <w:rPr>
                <w:rFonts w:cs="Arial"/>
                <w:b/>
                <w:bCs w:val="0"/>
              </w:rPr>
              <w:t>p</w:t>
            </w:r>
            <w:r w:rsidRPr="0074064D">
              <w:rPr>
                <w:rFonts w:cs="Arial"/>
                <w:b/>
                <w:bCs w:val="0"/>
              </w:rPr>
              <w:t>robabilities by KM)</w:t>
            </w:r>
          </w:p>
        </w:tc>
      </w:tr>
      <w:tr w:rsidR="004A413E" w:rsidRPr="0098262F" w14:paraId="2D29DB75" w14:textId="77777777" w:rsidTr="007D46B4">
        <w:trPr>
          <w:tblHeader/>
        </w:trPr>
        <w:tc>
          <w:tcPr>
            <w:tcW w:w="1287" w:type="pct"/>
          </w:tcPr>
          <w:p w14:paraId="048AF767" w14:textId="77777777" w:rsidR="004A413E" w:rsidRDefault="004A413E" w:rsidP="004B716A">
            <w:pPr>
              <w:pStyle w:val="TableText0"/>
            </w:pPr>
            <m:oMath>
              <m:r>
                <m:rPr>
                  <m:sty m:val="p"/>
                </m:rPr>
                <w:rPr>
                  <w:rFonts w:ascii="Cambria Math" w:eastAsiaTheme="minorHAnsi" w:hAnsi="Cambria Math"/>
                </w:rPr>
                <m:t>≥</m:t>
              </m:r>
            </m:oMath>
            <w:r>
              <w:rPr>
                <w:rFonts w:eastAsiaTheme="minorHAnsi"/>
              </w:rPr>
              <w:t>6 months (95% CI)</w:t>
            </w:r>
          </w:p>
        </w:tc>
        <w:tc>
          <w:tcPr>
            <w:tcW w:w="757" w:type="pct"/>
          </w:tcPr>
          <w:p w14:paraId="6241ECE1" w14:textId="77777777" w:rsidR="004A413E" w:rsidRPr="0098262F" w:rsidRDefault="004A413E" w:rsidP="004B716A">
            <w:pPr>
              <w:pStyle w:val="TableText0"/>
              <w:jc w:val="center"/>
              <w:rPr>
                <w:rFonts w:cs="Arial"/>
              </w:rPr>
            </w:pPr>
            <w:r w:rsidRPr="00330FA7">
              <w:t>90 (82, 98)</w:t>
            </w:r>
          </w:p>
        </w:tc>
        <w:tc>
          <w:tcPr>
            <w:tcW w:w="985" w:type="pct"/>
          </w:tcPr>
          <w:p w14:paraId="16295200" w14:textId="77777777" w:rsidR="004A413E" w:rsidRPr="0098262F" w:rsidRDefault="004A413E" w:rsidP="004B716A">
            <w:pPr>
              <w:pStyle w:val="TableText0"/>
              <w:jc w:val="center"/>
              <w:rPr>
                <w:rFonts w:cs="Arial"/>
              </w:rPr>
            </w:pPr>
            <w:r w:rsidRPr="00330FA7">
              <w:t>NR</w:t>
            </w:r>
          </w:p>
        </w:tc>
        <w:tc>
          <w:tcPr>
            <w:tcW w:w="1137" w:type="pct"/>
          </w:tcPr>
          <w:p w14:paraId="4A3B90CF" w14:textId="77777777" w:rsidR="004A413E" w:rsidRPr="0098262F" w:rsidRDefault="004A413E" w:rsidP="004B716A">
            <w:pPr>
              <w:pStyle w:val="TableText0"/>
              <w:jc w:val="center"/>
              <w:rPr>
                <w:rFonts w:cs="Arial"/>
              </w:rPr>
            </w:pPr>
            <w:r w:rsidRPr="00330FA7">
              <w:t>NR</w:t>
            </w:r>
          </w:p>
        </w:tc>
        <w:tc>
          <w:tcPr>
            <w:tcW w:w="834" w:type="pct"/>
          </w:tcPr>
          <w:p w14:paraId="6A2F21A0" w14:textId="77777777" w:rsidR="004A413E" w:rsidRPr="0098262F" w:rsidRDefault="004A413E" w:rsidP="004B716A">
            <w:pPr>
              <w:pStyle w:val="TableText0"/>
              <w:jc w:val="center"/>
              <w:rPr>
                <w:rFonts w:cs="Arial"/>
              </w:rPr>
            </w:pPr>
            <w:r w:rsidRPr="00330FA7">
              <w:t>NR</w:t>
            </w:r>
          </w:p>
        </w:tc>
      </w:tr>
      <w:tr w:rsidR="004A413E" w:rsidRPr="0098262F" w14:paraId="425D417E" w14:textId="77777777" w:rsidTr="007D46B4">
        <w:trPr>
          <w:tblHeader/>
        </w:trPr>
        <w:tc>
          <w:tcPr>
            <w:tcW w:w="1287" w:type="pct"/>
          </w:tcPr>
          <w:p w14:paraId="39D4D34C" w14:textId="77777777" w:rsidR="004A413E" w:rsidRDefault="004A413E" w:rsidP="004B716A">
            <w:pPr>
              <w:pStyle w:val="TableText0"/>
            </w:pPr>
            <m:oMath>
              <m:r>
                <m:rPr>
                  <m:sty m:val="p"/>
                </m:rPr>
                <w:rPr>
                  <w:rFonts w:ascii="Cambria Math" w:eastAsiaTheme="minorHAnsi" w:hAnsi="Cambria Math"/>
                </w:rPr>
                <m:t>≥</m:t>
              </m:r>
            </m:oMath>
            <w:r>
              <w:rPr>
                <w:rFonts w:eastAsiaTheme="minorHAnsi"/>
              </w:rPr>
              <w:t>9 months (95% CI)</w:t>
            </w:r>
          </w:p>
        </w:tc>
        <w:tc>
          <w:tcPr>
            <w:tcW w:w="757" w:type="pct"/>
          </w:tcPr>
          <w:p w14:paraId="34BAE280" w14:textId="77777777" w:rsidR="004A413E" w:rsidRPr="0098262F" w:rsidRDefault="004A413E" w:rsidP="004B716A">
            <w:pPr>
              <w:pStyle w:val="TableText0"/>
              <w:jc w:val="center"/>
              <w:rPr>
                <w:rFonts w:cs="Arial"/>
              </w:rPr>
            </w:pPr>
            <w:r w:rsidRPr="00330FA7">
              <w:t>81 (71, 91)</w:t>
            </w:r>
          </w:p>
        </w:tc>
        <w:tc>
          <w:tcPr>
            <w:tcW w:w="985" w:type="pct"/>
          </w:tcPr>
          <w:p w14:paraId="009024D1" w14:textId="77777777" w:rsidR="004A413E" w:rsidRPr="0098262F" w:rsidRDefault="004A413E" w:rsidP="004B716A">
            <w:pPr>
              <w:pStyle w:val="TableText0"/>
              <w:jc w:val="center"/>
              <w:rPr>
                <w:rFonts w:cs="Arial"/>
              </w:rPr>
            </w:pPr>
            <w:r w:rsidRPr="00330FA7">
              <w:t>NR</w:t>
            </w:r>
          </w:p>
        </w:tc>
        <w:tc>
          <w:tcPr>
            <w:tcW w:w="1137" w:type="pct"/>
          </w:tcPr>
          <w:p w14:paraId="34E11103" w14:textId="77777777" w:rsidR="004A413E" w:rsidRPr="0098262F" w:rsidRDefault="004A413E" w:rsidP="004B716A">
            <w:pPr>
              <w:pStyle w:val="TableText0"/>
              <w:jc w:val="center"/>
              <w:rPr>
                <w:rFonts w:cs="Arial"/>
              </w:rPr>
            </w:pPr>
            <w:r w:rsidRPr="00330FA7">
              <w:t>NR</w:t>
            </w:r>
          </w:p>
        </w:tc>
        <w:tc>
          <w:tcPr>
            <w:tcW w:w="834" w:type="pct"/>
          </w:tcPr>
          <w:p w14:paraId="39566494" w14:textId="77777777" w:rsidR="004A413E" w:rsidRPr="0098262F" w:rsidRDefault="004A413E" w:rsidP="004B716A">
            <w:pPr>
              <w:pStyle w:val="TableText0"/>
              <w:jc w:val="center"/>
              <w:rPr>
                <w:rFonts w:cs="Arial"/>
              </w:rPr>
            </w:pPr>
            <w:r w:rsidRPr="00330FA7">
              <w:t>NR</w:t>
            </w:r>
          </w:p>
        </w:tc>
      </w:tr>
      <w:tr w:rsidR="004A413E" w:rsidRPr="0098262F" w14:paraId="33597602" w14:textId="77777777" w:rsidTr="007D46B4">
        <w:trPr>
          <w:tblHeader/>
        </w:trPr>
        <w:tc>
          <w:tcPr>
            <w:tcW w:w="1287" w:type="pct"/>
          </w:tcPr>
          <w:p w14:paraId="0EA65817" w14:textId="77777777" w:rsidR="004A413E" w:rsidRDefault="004A413E" w:rsidP="004B716A">
            <w:pPr>
              <w:pStyle w:val="TableText0"/>
            </w:pPr>
            <m:oMath>
              <m:r>
                <m:rPr>
                  <m:sty m:val="p"/>
                </m:rPr>
                <w:rPr>
                  <w:rFonts w:ascii="Cambria Math" w:eastAsiaTheme="minorHAnsi" w:hAnsi="Cambria Math"/>
                </w:rPr>
                <m:t>≥</m:t>
              </m:r>
            </m:oMath>
            <w:r>
              <w:rPr>
                <w:rFonts w:eastAsiaTheme="minorHAnsi"/>
              </w:rPr>
              <w:t>12 months (95% CI)</w:t>
            </w:r>
          </w:p>
        </w:tc>
        <w:tc>
          <w:tcPr>
            <w:tcW w:w="757" w:type="pct"/>
          </w:tcPr>
          <w:p w14:paraId="1E8E319D" w14:textId="77777777" w:rsidR="004A413E" w:rsidRPr="0098262F" w:rsidRDefault="004A413E" w:rsidP="004B716A">
            <w:pPr>
              <w:pStyle w:val="TableText0"/>
              <w:jc w:val="center"/>
              <w:rPr>
                <w:rFonts w:cs="Arial"/>
              </w:rPr>
            </w:pPr>
            <w:r w:rsidRPr="00330FA7">
              <w:t>76 (65, 87)</w:t>
            </w:r>
          </w:p>
        </w:tc>
        <w:tc>
          <w:tcPr>
            <w:tcW w:w="985" w:type="pct"/>
          </w:tcPr>
          <w:p w14:paraId="501223E8" w14:textId="77777777" w:rsidR="004A413E" w:rsidRPr="0098262F" w:rsidRDefault="004A413E" w:rsidP="004B716A">
            <w:pPr>
              <w:pStyle w:val="TableText0"/>
              <w:jc w:val="center"/>
              <w:rPr>
                <w:rFonts w:cs="Arial"/>
              </w:rPr>
            </w:pPr>
            <w:r w:rsidRPr="00330FA7">
              <w:t>NR</w:t>
            </w:r>
          </w:p>
        </w:tc>
        <w:tc>
          <w:tcPr>
            <w:tcW w:w="1137" w:type="pct"/>
          </w:tcPr>
          <w:p w14:paraId="62F86D3F" w14:textId="77777777" w:rsidR="004A413E" w:rsidRPr="0098262F" w:rsidRDefault="004A413E" w:rsidP="004B716A">
            <w:pPr>
              <w:pStyle w:val="TableText0"/>
              <w:jc w:val="center"/>
              <w:rPr>
                <w:rFonts w:cs="Arial"/>
              </w:rPr>
            </w:pPr>
            <w:r w:rsidRPr="00330FA7">
              <w:t>58 (50, 65)</w:t>
            </w:r>
          </w:p>
        </w:tc>
        <w:tc>
          <w:tcPr>
            <w:tcW w:w="834" w:type="pct"/>
          </w:tcPr>
          <w:p w14:paraId="6F83EE4A" w14:textId="77777777" w:rsidR="004A413E" w:rsidRPr="0098262F" w:rsidRDefault="004A413E" w:rsidP="004B716A">
            <w:pPr>
              <w:pStyle w:val="TableText0"/>
              <w:jc w:val="center"/>
              <w:rPr>
                <w:rFonts w:cs="Arial"/>
              </w:rPr>
            </w:pPr>
            <w:r w:rsidRPr="00330FA7">
              <w:t>52 (NR)</w:t>
            </w:r>
          </w:p>
        </w:tc>
      </w:tr>
      <w:tr w:rsidR="004A413E" w:rsidRPr="0098262F" w14:paraId="7A10C2B9" w14:textId="77777777" w:rsidTr="007D46B4">
        <w:trPr>
          <w:tblHeader/>
        </w:trPr>
        <w:tc>
          <w:tcPr>
            <w:tcW w:w="1287" w:type="pct"/>
          </w:tcPr>
          <w:p w14:paraId="0A10FE93" w14:textId="77777777" w:rsidR="004A413E" w:rsidRDefault="004A413E" w:rsidP="004B716A">
            <w:pPr>
              <w:pStyle w:val="TableText0"/>
            </w:pPr>
            <m:oMath>
              <m:r>
                <m:rPr>
                  <m:sty m:val="p"/>
                </m:rPr>
                <w:rPr>
                  <w:rFonts w:ascii="Cambria Math" w:eastAsiaTheme="minorHAnsi" w:hAnsi="Cambria Math"/>
                </w:rPr>
                <m:t>≥</m:t>
              </m:r>
            </m:oMath>
            <w:r>
              <w:rPr>
                <w:rFonts w:eastAsiaTheme="minorHAnsi"/>
              </w:rPr>
              <w:t>18 months (95% CI)</w:t>
            </w:r>
          </w:p>
        </w:tc>
        <w:tc>
          <w:tcPr>
            <w:tcW w:w="757" w:type="pct"/>
          </w:tcPr>
          <w:p w14:paraId="49030AB2" w14:textId="77777777" w:rsidR="004A413E" w:rsidRPr="0098262F" w:rsidRDefault="004A413E" w:rsidP="004B716A">
            <w:pPr>
              <w:pStyle w:val="TableText0"/>
              <w:jc w:val="center"/>
              <w:rPr>
                <w:rFonts w:cs="Arial"/>
              </w:rPr>
            </w:pPr>
            <w:r w:rsidRPr="00330FA7">
              <w:t>68 (56, 81)</w:t>
            </w:r>
          </w:p>
        </w:tc>
        <w:tc>
          <w:tcPr>
            <w:tcW w:w="985" w:type="pct"/>
          </w:tcPr>
          <w:p w14:paraId="14BE1879" w14:textId="77777777" w:rsidR="004A413E" w:rsidRPr="0098262F" w:rsidRDefault="004A413E" w:rsidP="004B716A">
            <w:pPr>
              <w:pStyle w:val="TableText0"/>
              <w:jc w:val="center"/>
              <w:rPr>
                <w:rFonts w:cs="Arial"/>
              </w:rPr>
            </w:pPr>
            <w:r w:rsidRPr="00330FA7">
              <w:t>NR</w:t>
            </w:r>
          </w:p>
        </w:tc>
        <w:tc>
          <w:tcPr>
            <w:tcW w:w="1137" w:type="pct"/>
          </w:tcPr>
          <w:p w14:paraId="5BBD8A36" w14:textId="77777777" w:rsidR="004A413E" w:rsidRPr="0098262F" w:rsidRDefault="004A413E" w:rsidP="004B716A">
            <w:pPr>
              <w:pStyle w:val="TableText0"/>
              <w:jc w:val="center"/>
              <w:rPr>
                <w:rFonts w:cs="Arial"/>
              </w:rPr>
            </w:pPr>
            <w:r w:rsidRPr="00330FA7">
              <w:t>47 (40, 55)</w:t>
            </w:r>
          </w:p>
        </w:tc>
        <w:tc>
          <w:tcPr>
            <w:tcW w:w="834" w:type="pct"/>
          </w:tcPr>
          <w:p w14:paraId="116C128F" w14:textId="77777777" w:rsidR="004A413E" w:rsidRPr="0098262F" w:rsidRDefault="004A413E" w:rsidP="004B716A">
            <w:pPr>
              <w:pStyle w:val="TableText0"/>
              <w:jc w:val="center"/>
              <w:rPr>
                <w:rFonts w:cs="Arial"/>
              </w:rPr>
            </w:pPr>
            <w:r w:rsidRPr="00330FA7">
              <w:t>NR</w:t>
            </w:r>
          </w:p>
        </w:tc>
      </w:tr>
      <w:tr w:rsidR="004A413E" w:rsidRPr="0098262F" w14:paraId="0CC65764" w14:textId="77777777" w:rsidTr="007D46B4">
        <w:trPr>
          <w:tblHeader/>
        </w:trPr>
        <w:tc>
          <w:tcPr>
            <w:tcW w:w="1287" w:type="pct"/>
          </w:tcPr>
          <w:p w14:paraId="700B3E0C" w14:textId="77777777" w:rsidR="004A413E" w:rsidRDefault="004A413E" w:rsidP="004B716A">
            <w:pPr>
              <w:pStyle w:val="TableText0"/>
            </w:pPr>
            <m:oMath>
              <m:r>
                <m:rPr>
                  <m:sty m:val="p"/>
                </m:rPr>
                <w:rPr>
                  <w:rFonts w:ascii="Cambria Math" w:eastAsiaTheme="minorHAnsi" w:hAnsi="Cambria Math"/>
                </w:rPr>
                <m:t>≥</m:t>
              </m:r>
            </m:oMath>
            <w:r>
              <w:rPr>
                <w:rFonts w:eastAsiaTheme="minorHAnsi"/>
              </w:rPr>
              <w:t>24 months (95% CI)</w:t>
            </w:r>
          </w:p>
        </w:tc>
        <w:tc>
          <w:tcPr>
            <w:tcW w:w="757" w:type="pct"/>
          </w:tcPr>
          <w:p w14:paraId="7A584286" w14:textId="77777777" w:rsidR="004A413E" w:rsidRPr="0098262F" w:rsidRDefault="004A413E" w:rsidP="004B716A">
            <w:pPr>
              <w:pStyle w:val="TableText0"/>
              <w:jc w:val="center"/>
              <w:rPr>
                <w:rFonts w:cs="Arial"/>
              </w:rPr>
            </w:pPr>
            <w:r w:rsidRPr="00330FA7">
              <w:t>62 (50, 75)</w:t>
            </w:r>
          </w:p>
        </w:tc>
        <w:tc>
          <w:tcPr>
            <w:tcW w:w="985" w:type="pct"/>
          </w:tcPr>
          <w:p w14:paraId="26FD0BBD" w14:textId="77777777" w:rsidR="004A413E" w:rsidRPr="0098262F" w:rsidRDefault="004A413E" w:rsidP="004B716A">
            <w:pPr>
              <w:pStyle w:val="TableText0"/>
              <w:jc w:val="center"/>
              <w:rPr>
                <w:rFonts w:cs="Arial"/>
              </w:rPr>
            </w:pPr>
            <w:r w:rsidRPr="00330FA7">
              <w:t>NR</w:t>
            </w:r>
          </w:p>
        </w:tc>
        <w:tc>
          <w:tcPr>
            <w:tcW w:w="1137" w:type="pct"/>
          </w:tcPr>
          <w:p w14:paraId="54B80B47" w14:textId="77777777" w:rsidR="004A413E" w:rsidRPr="0098262F" w:rsidRDefault="004A413E" w:rsidP="004B716A">
            <w:pPr>
              <w:pStyle w:val="TableText0"/>
              <w:jc w:val="center"/>
              <w:rPr>
                <w:rFonts w:cs="Arial"/>
              </w:rPr>
            </w:pPr>
            <w:r w:rsidRPr="00330FA7">
              <w:t>NR</w:t>
            </w:r>
          </w:p>
        </w:tc>
        <w:tc>
          <w:tcPr>
            <w:tcW w:w="834" w:type="pct"/>
          </w:tcPr>
          <w:p w14:paraId="339596C8" w14:textId="77777777" w:rsidR="004A413E" w:rsidRPr="0098262F" w:rsidRDefault="004A413E" w:rsidP="004B716A">
            <w:pPr>
              <w:pStyle w:val="TableText0"/>
              <w:jc w:val="center"/>
              <w:rPr>
                <w:rFonts w:cs="Arial"/>
              </w:rPr>
            </w:pPr>
            <w:r w:rsidRPr="00330FA7">
              <w:t>NR</w:t>
            </w:r>
          </w:p>
        </w:tc>
      </w:tr>
      <w:tr w:rsidR="004A413E" w:rsidRPr="0098262F" w14:paraId="72069187" w14:textId="77777777" w:rsidTr="007D46B4">
        <w:trPr>
          <w:tblHeader/>
        </w:trPr>
        <w:tc>
          <w:tcPr>
            <w:tcW w:w="5000" w:type="pct"/>
            <w:gridSpan w:val="5"/>
          </w:tcPr>
          <w:p w14:paraId="30135DE9" w14:textId="77777777" w:rsidR="004A413E" w:rsidRPr="00674782" w:rsidRDefault="004A413E" w:rsidP="004B716A">
            <w:pPr>
              <w:pStyle w:val="TableText0"/>
              <w:rPr>
                <w:rFonts w:cs="Arial"/>
                <w:b/>
                <w:bCs w:val="0"/>
              </w:rPr>
            </w:pPr>
            <w:r w:rsidRPr="00674782">
              <w:rPr>
                <w:rFonts w:cs="Arial"/>
                <w:b/>
                <w:bCs w:val="0"/>
              </w:rPr>
              <w:t>OS</w:t>
            </w:r>
          </w:p>
        </w:tc>
      </w:tr>
      <w:tr w:rsidR="004A413E" w:rsidRPr="0098262F" w14:paraId="3F93D4DC" w14:textId="77777777" w:rsidTr="007D46B4">
        <w:trPr>
          <w:tblHeader/>
        </w:trPr>
        <w:tc>
          <w:tcPr>
            <w:tcW w:w="1287" w:type="pct"/>
          </w:tcPr>
          <w:p w14:paraId="0109D8BD" w14:textId="77777777" w:rsidR="004A413E" w:rsidRDefault="004A413E" w:rsidP="004B716A">
            <w:pPr>
              <w:pStyle w:val="TableText0"/>
            </w:pPr>
            <w:r>
              <w:t>OS</w:t>
            </w:r>
            <w:r w:rsidRPr="001918C4">
              <w:t>, median (95% CI) months</w:t>
            </w:r>
          </w:p>
        </w:tc>
        <w:tc>
          <w:tcPr>
            <w:tcW w:w="757" w:type="pct"/>
          </w:tcPr>
          <w:p w14:paraId="71CC8554" w14:textId="77777777" w:rsidR="004A413E" w:rsidRPr="0098262F" w:rsidRDefault="004A413E" w:rsidP="004B716A">
            <w:pPr>
              <w:pStyle w:val="TableText0"/>
              <w:jc w:val="center"/>
              <w:rPr>
                <w:rFonts w:cs="Arial"/>
              </w:rPr>
            </w:pPr>
            <w:r w:rsidRPr="00854F14">
              <w:t>NE (37.3, NE)</w:t>
            </w:r>
          </w:p>
        </w:tc>
        <w:tc>
          <w:tcPr>
            <w:tcW w:w="985" w:type="pct"/>
          </w:tcPr>
          <w:p w14:paraId="4E23C9F9" w14:textId="77777777" w:rsidR="004A413E" w:rsidRPr="0098262F" w:rsidRDefault="004A413E" w:rsidP="004B716A">
            <w:pPr>
              <w:pStyle w:val="TableText0"/>
              <w:jc w:val="center"/>
              <w:rPr>
                <w:rFonts w:cs="Arial"/>
              </w:rPr>
            </w:pPr>
            <w:r w:rsidRPr="00854F14">
              <w:t>NR</w:t>
            </w:r>
          </w:p>
        </w:tc>
        <w:tc>
          <w:tcPr>
            <w:tcW w:w="1137" w:type="pct"/>
          </w:tcPr>
          <w:p w14:paraId="4E082E65" w14:textId="77777777" w:rsidR="004A413E" w:rsidRPr="0098262F" w:rsidRDefault="004A413E" w:rsidP="004B716A">
            <w:pPr>
              <w:pStyle w:val="TableText0"/>
              <w:jc w:val="center"/>
              <w:rPr>
                <w:rFonts w:cs="Arial"/>
              </w:rPr>
            </w:pPr>
            <w:r w:rsidRPr="00854F14">
              <w:t>44.1 (40.1, NE)</w:t>
            </w:r>
          </w:p>
        </w:tc>
        <w:tc>
          <w:tcPr>
            <w:tcW w:w="834" w:type="pct"/>
          </w:tcPr>
          <w:p w14:paraId="2AE8C9D6" w14:textId="77777777" w:rsidR="004A413E" w:rsidRPr="0098262F" w:rsidRDefault="004A413E" w:rsidP="004B716A">
            <w:pPr>
              <w:pStyle w:val="TableText0"/>
              <w:jc w:val="center"/>
              <w:rPr>
                <w:rFonts w:cs="Arial"/>
              </w:rPr>
            </w:pPr>
            <w:r w:rsidRPr="00854F14">
              <w:t>31.2 (20.2, NE)</w:t>
            </w:r>
          </w:p>
        </w:tc>
      </w:tr>
      <w:tr w:rsidR="004A413E" w:rsidRPr="0098262F" w14:paraId="00006752" w14:textId="77777777" w:rsidTr="007D46B4">
        <w:trPr>
          <w:tblHeader/>
        </w:trPr>
        <w:tc>
          <w:tcPr>
            <w:tcW w:w="5000" w:type="pct"/>
            <w:gridSpan w:val="5"/>
            <w:vAlign w:val="center"/>
          </w:tcPr>
          <w:p w14:paraId="2559C5A7" w14:textId="77777777" w:rsidR="004A413E" w:rsidRPr="0098262F" w:rsidRDefault="004A413E" w:rsidP="004B716A">
            <w:pPr>
              <w:pStyle w:val="TableText0"/>
              <w:rPr>
                <w:rFonts w:cs="Arial"/>
              </w:rPr>
            </w:pPr>
            <w:r>
              <w:rPr>
                <w:rFonts w:cs="Arial"/>
                <w:b/>
                <w:bCs w:val="0"/>
              </w:rPr>
              <w:t>OS</w:t>
            </w:r>
            <w:r w:rsidRPr="0074064D">
              <w:rPr>
                <w:rFonts w:cs="Arial"/>
                <w:b/>
                <w:bCs w:val="0"/>
              </w:rPr>
              <w:t xml:space="preserve"> </w:t>
            </w:r>
            <w:r>
              <w:rPr>
                <w:rFonts w:cs="Arial"/>
                <w:b/>
                <w:bCs w:val="0"/>
              </w:rPr>
              <w:t>l</w:t>
            </w:r>
            <w:r w:rsidRPr="0074064D">
              <w:rPr>
                <w:rFonts w:cs="Arial"/>
                <w:b/>
                <w:bCs w:val="0"/>
              </w:rPr>
              <w:t xml:space="preserve">andmark </w:t>
            </w:r>
            <w:r>
              <w:rPr>
                <w:rFonts w:cs="Arial"/>
                <w:b/>
                <w:bCs w:val="0"/>
              </w:rPr>
              <w:t>a</w:t>
            </w:r>
            <w:r w:rsidRPr="0074064D">
              <w:rPr>
                <w:rFonts w:cs="Arial"/>
                <w:b/>
                <w:bCs w:val="0"/>
              </w:rPr>
              <w:t>nalyses (</w:t>
            </w:r>
            <w:r>
              <w:rPr>
                <w:rFonts w:cs="Arial"/>
                <w:b/>
                <w:bCs w:val="0"/>
              </w:rPr>
              <w:t>s</w:t>
            </w:r>
            <w:r w:rsidRPr="0074064D">
              <w:rPr>
                <w:rFonts w:cs="Arial"/>
                <w:b/>
                <w:bCs w:val="0"/>
              </w:rPr>
              <w:t xml:space="preserve">urvival </w:t>
            </w:r>
            <w:r>
              <w:rPr>
                <w:rFonts w:cs="Arial"/>
                <w:b/>
                <w:bCs w:val="0"/>
              </w:rPr>
              <w:t>p</w:t>
            </w:r>
            <w:r w:rsidRPr="0074064D">
              <w:rPr>
                <w:rFonts w:cs="Arial"/>
                <w:b/>
                <w:bCs w:val="0"/>
              </w:rPr>
              <w:t>robabilities by KM)</w:t>
            </w:r>
          </w:p>
        </w:tc>
      </w:tr>
      <w:tr w:rsidR="004A413E" w:rsidRPr="0098262F" w14:paraId="14754E66" w14:textId="77777777" w:rsidTr="007D46B4">
        <w:trPr>
          <w:tblHeader/>
        </w:trPr>
        <w:tc>
          <w:tcPr>
            <w:tcW w:w="1287" w:type="pct"/>
          </w:tcPr>
          <w:p w14:paraId="2A886B7D" w14:textId="77777777" w:rsidR="004A413E" w:rsidRDefault="004A413E" w:rsidP="004B716A">
            <w:pPr>
              <w:pStyle w:val="TableText0"/>
            </w:pPr>
            <m:oMath>
              <m:r>
                <m:rPr>
                  <m:sty m:val="p"/>
                </m:rPr>
                <w:rPr>
                  <w:rFonts w:ascii="Cambria Math" w:eastAsiaTheme="minorHAnsi" w:hAnsi="Cambria Math"/>
                </w:rPr>
                <m:t>≥</m:t>
              </m:r>
            </m:oMath>
            <w:r>
              <w:rPr>
                <w:rFonts w:eastAsiaTheme="minorHAnsi"/>
              </w:rPr>
              <w:t>12 months (95% CI)</w:t>
            </w:r>
          </w:p>
        </w:tc>
        <w:tc>
          <w:tcPr>
            <w:tcW w:w="757" w:type="pct"/>
          </w:tcPr>
          <w:p w14:paraId="4E9064D1" w14:textId="77777777" w:rsidR="004A413E" w:rsidRPr="0098262F" w:rsidRDefault="004A413E" w:rsidP="004B716A">
            <w:pPr>
              <w:pStyle w:val="TableText0"/>
              <w:jc w:val="center"/>
              <w:rPr>
                <w:rFonts w:cs="Arial"/>
              </w:rPr>
            </w:pPr>
            <w:r w:rsidRPr="00FD4BBC">
              <w:t>92 (85, 99)</w:t>
            </w:r>
          </w:p>
        </w:tc>
        <w:tc>
          <w:tcPr>
            <w:tcW w:w="985" w:type="pct"/>
          </w:tcPr>
          <w:p w14:paraId="1478755A" w14:textId="77777777" w:rsidR="004A413E" w:rsidRPr="0098262F" w:rsidRDefault="004A413E" w:rsidP="004B716A">
            <w:pPr>
              <w:pStyle w:val="TableText0"/>
              <w:jc w:val="center"/>
              <w:rPr>
                <w:rFonts w:cs="Arial"/>
              </w:rPr>
            </w:pPr>
            <w:r w:rsidRPr="00FD4BBC">
              <w:t>91 (84, 98)</w:t>
            </w:r>
          </w:p>
        </w:tc>
        <w:tc>
          <w:tcPr>
            <w:tcW w:w="1137" w:type="pct"/>
          </w:tcPr>
          <w:p w14:paraId="6C3AC5D9" w14:textId="77777777" w:rsidR="004A413E" w:rsidRPr="0098262F" w:rsidRDefault="004A413E" w:rsidP="004B716A">
            <w:pPr>
              <w:pStyle w:val="TableText0"/>
              <w:jc w:val="center"/>
              <w:rPr>
                <w:rFonts w:cs="Arial"/>
              </w:rPr>
            </w:pPr>
            <w:r w:rsidRPr="00FD4BBC">
              <w:t>81 (75, 87)</w:t>
            </w:r>
          </w:p>
        </w:tc>
        <w:tc>
          <w:tcPr>
            <w:tcW w:w="834" w:type="pct"/>
          </w:tcPr>
          <w:p w14:paraId="25C512F7" w14:textId="77777777" w:rsidR="004A413E" w:rsidRPr="0098262F" w:rsidRDefault="004A413E" w:rsidP="004B716A">
            <w:pPr>
              <w:pStyle w:val="TableText0"/>
              <w:jc w:val="center"/>
              <w:rPr>
                <w:rFonts w:cs="Arial"/>
              </w:rPr>
            </w:pPr>
            <w:r w:rsidRPr="00FD4BBC">
              <w:t>NR</w:t>
            </w:r>
          </w:p>
        </w:tc>
      </w:tr>
      <w:tr w:rsidR="004A413E" w:rsidRPr="0098262F" w14:paraId="1CA14BB4" w14:textId="77777777" w:rsidTr="007D46B4">
        <w:trPr>
          <w:tblHeader/>
        </w:trPr>
        <w:tc>
          <w:tcPr>
            <w:tcW w:w="1287" w:type="pct"/>
          </w:tcPr>
          <w:p w14:paraId="734D4929" w14:textId="77777777" w:rsidR="004A413E" w:rsidRDefault="004A413E" w:rsidP="004B716A">
            <w:pPr>
              <w:pStyle w:val="TableText0"/>
            </w:pPr>
            <m:oMath>
              <m:r>
                <m:rPr>
                  <m:sty m:val="p"/>
                </m:rPr>
                <w:rPr>
                  <w:rFonts w:ascii="Cambria Math" w:eastAsiaTheme="minorHAnsi" w:hAnsi="Cambria Math"/>
                </w:rPr>
                <m:t>≥</m:t>
              </m:r>
            </m:oMath>
            <w:r>
              <w:rPr>
                <w:rFonts w:eastAsiaTheme="minorHAnsi"/>
              </w:rPr>
              <w:t>18 months (95% CI)</w:t>
            </w:r>
          </w:p>
        </w:tc>
        <w:tc>
          <w:tcPr>
            <w:tcW w:w="757" w:type="pct"/>
          </w:tcPr>
          <w:p w14:paraId="76FCAD3E" w14:textId="77777777" w:rsidR="004A413E" w:rsidRPr="0098262F" w:rsidRDefault="004A413E" w:rsidP="004B716A">
            <w:pPr>
              <w:pStyle w:val="TableText0"/>
              <w:jc w:val="center"/>
              <w:rPr>
                <w:rFonts w:cs="Arial"/>
              </w:rPr>
            </w:pPr>
            <w:r w:rsidRPr="00FD4BBC">
              <w:t>87 (78, 95)</w:t>
            </w:r>
          </w:p>
        </w:tc>
        <w:tc>
          <w:tcPr>
            <w:tcW w:w="985" w:type="pct"/>
          </w:tcPr>
          <w:p w14:paraId="568F0D65" w14:textId="77777777" w:rsidR="004A413E" w:rsidRPr="0098262F" w:rsidRDefault="004A413E" w:rsidP="004B716A">
            <w:pPr>
              <w:pStyle w:val="TableText0"/>
              <w:jc w:val="center"/>
              <w:rPr>
                <w:rFonts w:cs="Arial"/>
              </w:rPr>
            </w:pPr>
            <w:r w:rsidRPr="00FD4BBC">
              <w:t>86 (78, 95)</w:t>
            </w:r>
          </w:p>
        </w:tc>
        <w:tc>
          <w:tcPr>
            <w:tcW w:w="1137" w:type="pct"/>
          </w:tcPr>
          <w:p w14:paraId="4901CEDB" w14:textId="77777777" w:rsidR="004A413E" w:rsidRPr="0098262F" w:rsidRDefault="004A413E" w:rsidP="004B716A">
            <w:pPr>
              <w:pStyle w:val="TableText0"/>
              <w:jc w:val="center"/>
              <w:rPr>
                <w:rFonts w:cs="Arial"/>
              </w:rPr>
            </w:pPr>
            <w:r w:rsidRPr="00FD4BBC">
              <w:t>74 (67, 81)</w:t>
            </w:r>
          </w:p>
        </w:tc>
        <w:tc>
          <w:tcPr>
            <w:tcW w:w="834" w:type="pct"/>
          </w:tcPr>
          <w:p w14:paraId="6569885D" w14:textId="77777777" w:rsidR="004A413E" w:rsidRPr="0098262F" w:rsidRDefault="004A413E" w:rsidP="004B716A">
            <w:pPr>
              <w:pStyle w:val="TableText0"/>
              <w:jc w:val="center"/>
              <w:rPr>
                <w:rFonts w:cs="Arial"/>
              </w:rPr>
            </w:pPr>
            <w:r w:rsidRPr="00FD4BBC">
              <w:t>NR</w:t>
            </w:r>
          </w:p>
        </w:tc>
      </w:tr>
      <w:tr w:rsidR="004A413E" w:rsidRPr="0098262F" w14:paraId="0B8466D4" w14:textId="77777777" w:rsidTr="007D46B4">
        <w:trPr>
          <w:tblHeader/>
        </w:trPr>
        <w:tc>
          <w:tcPr>
            <w:tcW w:w="1287" w:type="pct"/>
          </w:tcPr>
          <w:p w14:paraId="72E1EBCA" w14:textId="77777777" w:rsidR="004A413E" w:rsidRDefault="004A413E" w:rsidP="004B716A">
            <w:pPr>
              <w:pStyle w:val="TableText0"/>
            </w:pPr>
            <m:oMath>
              <m:r>
                <m:rPr>
                  <m:sty m:val="p"/>
                </m:rPr>
                <w:rPr>
                  <w:rFonts w:ascii="Cambria Math" w:eastAsiaTheme="minorHAnsi" w:hAnsi="Cambria Math"/>
                </w:rPr>
                <m:t>≥</m:t>
              </m:r>
            </m:oMath>
            <w:r>
              <w:rPr>
                <w:rFonts w:eastAsiaTheme="minorHAnsi"/>
              </w:rPr>
              <w:t>24 months (95% CI)</w:t>
            </w:r>
          </w:p>
        </w:tc>
        <w:tc>
          <w:tcPr>
            <w:tcW w:w="757" w:type="pct"/>
          </w:tcPr>
          <w:p w14:paraId="601F9573" w14:textId="77777777" w:rsidR="004A413E" w:rsidRPr="0098262F" w:rsidRDefault="004A413E" w:rsidP="004B716A">
            <w:pPr>
              <w:pStyle w:val="TableText0"/>
              <w:jc w:val="center"/>
              <w:rPr>
                <w:rFonts w:cs="Arial"/>
              </w:rPr>
            </w:pPr>
            <w:r w:rsidRPr="00FD4BBC">
              <w:t>74 (63, 86)</w:t>
            </w:r>
          </w:p>
        </w:tc>
        <w:tc>
          <w:tcPr>
            <w:tcW w:w="985" w:type="pct"/>
          </w:tcPr>
          <w:p w14:paraId="36B53A5D" w14:textId="77777777" w:rsidR="004A413E" w:rsidRPr="0098262F" w:rsidRDefault="004A413E" w:rsidP="004B716A">
            <w:pPr>
              <w:pStyle w:val="TableText0"/>
              <w:jc w:val="center"/>
              <w:rPr>
                <w:rFonts w:cs="Arial"/>
              </w:rPr>
            </w:pPr>
            <w:r w:rsidRPr="00FD4BBC">
              <w:t>75 (65, 86)</w:t>
            </w:r>
          </w:p>
        </w:tc>
        <w:tc>
          <w:tcPr>
            <w:tcW w:w="1137" w:type="pct"/>
          </w:tcPr>
          <w:p w14:paraId="618CD69A" w14:textId="77777777" w:rsidR="004A413E" w:rsidRPr="0098262F" w:rsidRDefault="004A413E" w:rsidP="004B716A">
            <w:pPr>
              <w:pStyle w:val="TableText0"/>
              <w:jc w:val="center"/>
              <w:rPr>
                <w:rFonts w:cs="Arial"/>
              </w:rPr>
            </w:pPr>
            <w:r w:rsidRPr="00FD4BBC">
              <w:t>NR</w:t>
            </w:r>
          </w:p>
        </w:tc>
        <w:tc>
          <w:tcPr>
            <w:tcW w:w="834" w:type="pct"/>
          </w:tcPr>
          <w:p w14:paraId="7311C375" w14:textId="77777777" w:rsidR="004A413E" w:rsidRPr="0098262F" w:rsidRDefault="004A413E" w:rsidP="004B716A">
            <w:pPr>
              <w:pStyle w:val="TableText0"/>
              <w:jc w:val="center"/>
              <w:rPr>
                <w:rFonts w:cs="Arial"/>
              </w:rPr>
            </w:pPr>
            <w:r w:rsidRPr="00FD4BBC">
              <w:t>NR</w:t>
            </w:r>
          </w:p>
        </w:tc>
      </w:tr>
      <w:tr w:rsidR="004A413E" w:rsidRPr="0098262F" w14:paraId="789E5E57" w14:textId="77777777" w:rsidTr="007D46B4">
        <w:trPr>
          <w:tblHeader/>
        </w:trPr>
        <w:tc>
          <w:tcPr>
            <w:tcW w:w="5000" w:type="pct"/>
            <w:gridSpan w:val="5"/>
          </w:tcPr>
          <w:p w14:paraId="71698849" w14:textId="77777777" w:rsidR="004A413E" w:rsidRPr="00DF0D7D" w:rsidRDefault="004A413E" w:rsidP="004B716A">
            <w:pPr>
              <w:pStyle w:val="TableText0"/>
              <w:rPr>
                <w:rFonts w:cs="Arial"/>
                <w:b/>
                <w:bCs w:val="0"/>
              </w:rPr>
            </w:pPr>
            <w:r w:rsidRPr="00DF0D7D">
              <w:rPr>
                <w:rFonts w:cs="Arial"/>
                <w:b/>
                <w:bCs w:val="0"/>
              </w:rPr>
              <w:t>Intracranial ORR per BICR</w:t>
            </w:r>
          </w:p>
        </w:tc>
      </w:tr>
      <w:tr w:rsidR="004A413E" w:rsidRPr="0098262F" w14:paraId="494AFB48" w14:textId="77777777" w:rsidTr="007D46B4">
        <w:trPr>
          <w:tblHeader/>
        </w:trPr>
        <w:tc>
          <w:tcPr>
            <w:tcW w:w="1287" w:type="pct"/>
          </w:tcPr>
          <w:p w14:paraId="6E961954" w14:textId="77777777" w:rsidR="004A413E" w:rsidRDefault="004A413E" w:rsidP="004B716A">
            <w:pPr>
              <w:pStyle w:val="TableText0"/>
            </w:pPr>
            <w:r>
              <w:t xml:space="preserve">IC-ORR (CR + PR), n/N (%), (95% CI) </w:t>
            </w:r>
            <w:r w:rsidRPr="00A45267">
              <w:rPr>
                <w:vertAlign w:val="superscript"/>
              </w:rPr>
              <w:t>d</w:t>
            </w:r>
          </w:p>
        </w:tc>
        <w:tc>
          <w:tcPr>
            <w:tcW w:w="757" w:type="pct"/>
            <w:vAlign w:val="center"/>
          </w:tcPr>
          <w:p w14:paraId="0F5690BF" w14:textId="77777777" w:rsidR="004A413E" w:rsidRPr="0098262F" w:rsidRDefault="004A413E" w:rsidP="004B716A">
            <w:pPr>
              <w:pStyle w:val="TableText0"/>
              <w:jc w:val="center"/>
              <w:rPr>
                <w:rFonts w:cs="Arial"/>
              </w:rPr>
            </w:pPr>
            <w:r w:rsidRPr="00557EA2">
              <w:rPr>
                <w:rFonts w:cs="Arial"/>
              </w:rPr>
              <w:t>–</w:t>
            </w:r>
          </w:p>
        </w:tc>
        <w:tc>
          <w:tcPr>
            <w:tcW w:w="985" w:type="pct"/>
            <w:vAlign w:val="center"/>
          </w:tcPr>
          <w:p w14:paraId="06FBB227" w14:textId="77777777" w:rsidR="004A413E" w:rsidRPr="0098262F" w:rsidRDefault="004A413E" w:rsidP="004B716A">
            <w:pPr>
              <w:pStyle w:val="TableText0"/>
              <w:jc w:val="center"/>
              <w:rPr>
                <w:rFonts w:cs="Arial"/>
              </w:rPr>
            </w:pPr>
            <w:r w:rsidRPr="00C80E85">
              <w:rPr>
                <w:rFonts w:cs="Arial"/>
              </w:rPr>
              <w:t>8/9 (88.9)</w:t>
            </w:r>
            <w:r>
              <w:rPr>
                <w:rFonts w:cs="Arial"/>
              </w:rPr>
              <w:t xml:space="preserve">, </w:t>
            </w:r>
            <w:r w:rsidRPr="000D1C82">
              <w:rPr>
                <w:rFonts w:cs="Arial"/>
              </w:rPr>
              <w:t>(52, 100)</w:t>
            </w:r>
            <w:r>
              <w:rPr>
                <w:rFonts w:cs="Arial"/>
              </w:rPr>
              <w:t xml:space="preserve"> </w:t>
            </w:r>
            <w:r w:rsidRPr="00F537C2">
              <w:rPr>
                <w:rFonts w:cs="Arial"/>
                <w:vertAlign w:val="superscript"/>
              </w:rPr>
              <w:t>e</w:t>
            </w:r>
          </w:p>
        </w:tc>
        <w:tc>
          <w:tcPr>
            <w:tcW w:w="1137" w:type="pct"/>
            <w:vAlign w:val="center"/>
          </w:tcPr>
          <w:p w14:paraId="00EE2F94" w14:textId="77777777" w:rsidR="004A413E" w:rsidRPr="0098262F" w:rsidRDefault="004A413E" w:rsidP="004B716A">
            <w:pPr>
              <w:pStyle w:val="TableText0"/>
              <w:jc w:val="center"/>
              <w:rPr>
                <w:rFonts w:cs="Arial"/>
              </w:rPr>
            </w:pPr>
            <w:r>
              <w:rPr>
                <w:rFonts w:cs="Arial"/>
              </w:rPr>
              <w:t xml:space="preserve">25/51 (49), </w:t>
            </w:r>
            <w:r w:rsidRPr="007D4883">
              <w:rPr>
                <w:rFonts w:cs="Arial"/>
              </w:rPr>
              <w:t>(35, 63)</w:t>
            </w:r>
            <w:r>
              <w:rPr>
                <w:rFonts w:cs="Arial"/>
              </w:rPr>
              <w:t xml:space="preserve"> </w:t>
            </w:r>
            <w:r w:rsidRPr="00F537C2">
              <w:rPr>
                <w:rFonts w:cs="Arial"/>
                <w:vertAlign w:val="superscript"/>
              </w:rPr>
              <w:t>f</w:t>
            </w:r>
          </w:p>
        </w:tc>
        <w:tc>
          <w:tcPr>
            <w:tcW w:w="834" w:type="pct"/>
            <w:vAlign w:val="center"/>
          </w:tcPr>
          <w:p w14:paraId="4CA3F717" w14:textId="77777777" w:rsidR="004A413E" w:rsidRPr="0098262F" w:rsidRDefault="004A413E" w:rsidP="004B716A">
            <w:pPr>
              <w:pStyle w:val="TableText0"/>
              <w:jc w:val="center"/>
              <w:rPr>
                <w:rFonts w:cs="Arial"/>
              </w:rPr>
            </w:pPr>
            <w:r w:rsidRPr="00557EA2">
              <w:rPr>
                <w:rFonts w:cs="Arial"/>
              </w:rPr>
              <w:t>–</w:t>
            </w:r>
          </w:p>
        </w:tc>
      </w:tr>
      <w:tr w:rsidR="004A413E" w:rsidRPr="0098262F" w14:paraId="32340042" w14:textId="77777777" w:rsidTr="007D46B4">
        <w:trPr>
          <w:tblHeader/>
        </w:trPr>
        <w:tc>
          <w:tcPr>
            <w:tcW w:w="1287" w:type="pct"/>
          </w:tcPr>
          <w:p w14:paraId="5C96DADC" w14:textId="77777777" w:rsidR="004A413E" w:rsidRDefault="004A413E" w:rsidP="004B716A">
            <w:pPr>
              <w:pStyle w:val="TableText0"/>
            </w:pPr>
            <w:r>
              <w:t>IC-DOR, median (95% CI) months</w:t>
            </w:r>
          </w:p>
        </w:tc>
        <w:tc>
          <w:tcPr>
            <w:tcW w:w="757" w:type="pct"/>
            <w:vAlign w:val="center"/>
          </w:tcPr>
          <w:p w14:paraId="225724BB" w14:textId="77777777" w:rsidR="004A413E" w:rsidRPr="0098262F" w:rsidRDefault="004A413E" w:rsidP="004B716A">
            <w:pPr>
              <w:pStyle w:val="TableText0"/>
              <w:jc w:val="center"/>
              <w:rPr>
                <w:rFonts w:cs="Arial"/>
              </w:rPr>
            </w:pPr>
            <w:r w:rsidRPr="00557EA2">
              <w:rPr>
                <w:rFonts w:cs="Arial"/>
              </w:rPr>
              <w:t>–</w:t>
            </w:r>
          </w:p>
        </w:tc>
        <w:tc>
          <w:tcPr>
            <w:tcW w:w="985" w:type="pct"/>
            <w:vAlign w:val="center"/>
          </w:tcPr>
          <w:p w14:paraId="0428E89D" w14:textId="77777777" w:rsidR="004A413E" w:rsidRPr="0098262F" w:rsidRDefault="004A413E" w:rsidP="004B716A">
            <w:pPr>
              <w:pStyle w:val="TableText0"/>
              <w:jc w:val="center"/>
              <w:rPr>
                <w:rFonts w:cs="Arial"/>
              </w:rPr>
            </w:pPr>
            <w:r>
              <w:rPr>
                <w:rFonts w:cs="Arial"/>
              </w:rPr>
              <w:t>NR</w:t>
            </w:r>
          </w:p>
        </w:tc>
        <w:tc>
          <w:tcPr>
            <w:tcW w:w="1137" w:type="pct"/>
            <w:vAlign w:val="center"/>
          </w:tcPr>
          <w:p w14:paraId="307077DF" w14:textId="77777777" w:rsidR="004A413E" w:rsidRPr="0098262F" w:rsidRDefault="004A413E" w:rsidP="004B716A">
            <w:pPr>
              <w:pStyle w:val="TableText0"/>
              <w:jc w:val="center"/>
              <w:rPr>
                <w:rFonts w:cs="Arial"/>
              </w:rPr>
            </w:pPr>
            <w:r w:rsidRPr="00E001CA">
              <w:rPr>
                <w:rFonts w:cs="Arial"/>
              </w:rPr>
              <w:t>12.9 (7.6</w:t>
            </w:r>
            <w:r>
              <w:rPr>
                <w:rFonts w:cs="Arial"/>
              </w:rPr>
              <w:t xml:space="preserve">, </w:t>
            </w:r>
            <w:r w:rsidRPr="00E001CA">
              <w:rPr>
                <w:rFonts w:cs="Arial"/>
              </w:rPr>
              <w:t>22.5)</w:t>
            </w:r>
          </w:p>
        </w:tc>
        <w:tc>
          <w:tcPr>
            <w:tcW w:w="834" w:type="pct"/>
            <w:vAlign w:val="center"/>
          </w:tcPr>
          <w:p w14:paraId="65B37FA0" w14:textId="77777777" w:rsidR="004A413E" w:rsidRPr="0098262F" w:rsidRDefault="004A413E" w:rsidP="004B716A">
            <w:pPr>
              <w:pStyle w:val="TableText0"/>
              <w:jc w:val="center"/>
              <w:rPr>
                <w:rFonts w:cs="Arial"/>
              </w:rPr>
            </w:pPr>
            <w:r w:rsidRPr="00557EA2">
              <w:rPr>
                <w:rFonts w:cs="Arial"/>
              </w:rPr>
              <w:t>–</w:t>
            </w:r>
          </w:p>
        </w:tc>
      </w:tr>
    </w:tbl>
    <w:p w14:paraId="0FFAA35F" w14:textId="77777777" w:rsidR="004A413E" w:rsidRPr="0098262F" w:rsidRDefault="004A413E" w:rsidP="004A413E">
      <w:pPr>
        <w:pStyle w:val="FooterTableFigure"/>
        <w:rPr>
          <w:rFonts w:eastAsia="Calibri"/>
        </w:rPr>
      </w:pPr>
      <w:r w:rsidRPr="003F178E">
        <w:rPr>
          <w:rFonts w:eastAsia="Calibri"/>
        </w:rPr>
        <w:t>Source: Table 30 (p63), Table 31 (p64), Table 32 (p66), Table 34 (p69), Table 36 (p72) of the submission.</w:t>
      </w:r>
    </w:p>
    <w:p w14:paraId="1D5A1A41" w14:textId="55A78A07" w:rsidR="004A413E" w:rsidRDefault="00BD4058" w:rsidP="004A413E">
      <w:pPr>
        <w:pStyle w:val="FooterTableFigure"/>
      </w:pPr>
      <w:r>
        <w:t xml:space="preserve">BL = baseline; </w:t>
      </w:r>
      <w:r w:rsidR="004A413E">
        <w:t>BOR = best objective response; BICR = b</w:t>
      </w:r>
      <w:r w:rsidR="004A413E" w:rsidRPr="00D81A6A">
        <w:t xml:space="preserve">linded </w:t>
      </w:r>
      <w:r w:rsidR="004A413E">
        <w:t>i</w:t>
      </w:r>
      <w:r w:rsidR="004A413E" w:rsidRPr="00D81A6A">
        <w:t xml:space="preserve">ndependent </w:t>
      </w:r>
      <w:r w:rsidR="004A413E">
        <w:t>c</w:t>
      </w:r>
      <w:r w:rsidR="004A413E" w:rsidRPr="00D81A6A">
        <w:t xml:space="preserve">entral </w:t>
      </w:r>
      <w:r w:rsidR="004A413E">
        <w:t>r</w:t>
      </w:r>
      <w:r w:rsidR="004A413E" w:rsidRPr="00D81A6A">
        <w:t>eview;</w:t>
      </w:r>
      <w:r w:rsidR="004A413E">
        <w:t xml:space="preserve"> CBR = clinical benefit rate (CR+PR+SD ≥ 6 weeks); </w:t>
      </w:r>
      <w:r w:rsidR="004A413E" w:rsidRPr="00924BD1">
        <w:t>CI</w:t>
      </w:r>
      <w:r w:rsidR="004A413E">
        <w:t xml:space="preserve"> </w:t>
      </w:r>
      <w:r w:rsidR="004A413E" w:rsidRPr="00924BD1">
        <w:t>=</w:t>
      </w:r>
      <w:r w:rsidR="004A413E">
        <w:t xml:space="preserve"> </w:t>
      </w:r>
      <w:r w:rsidR="004A413E" w:rsidRPr="00924BD1">
        <w:t>confidence interval; CR</w:t>
      </w:r>
      <w:r w:rsidR="004A413E">
        <w:t xml:space="preserve"> </w:t>
      </w:r>
      <w:r w:rsidR="004A413E" w:rsidRPr="00924BD1">
        <w:t>=</w:t>
      </w:r>
      <w:r w:rsidR="004A413E">
        <w:t xml:space="preserve"> </w:t>
      </w:r>
      <w:r w:rsidR="004A413E" w:rsidRPr="00924BD1">
        <w:t xml:space="preserve">complete response; </w:t>
      </w:r>
      <w:r w:rsidR="004A413E">
        <w:t xml:space="preserve">DOR = duration of response; IC = intracranial; </w:t>
      </w:r>
      <w:r w:rsidR="004A413E" w:rsidRPr="00C825CE">
        <w:t>KM = Kaplan-Meier</w:t>
      </w:r>
      <w:r w:rsidR="004A413E">
        <w:t xml:space="preserve">; </w:t>
      </w:r>
      <w:r w:rsidR="004A413E" w:rsidRPr="0082154C">
        <w:t>NE</w:t>
      </w:r>
      <w:r w:rsidR="004A413E">
        <w:t xml:space="preserve"> </w:t>
      </w:r>
      <w:r w:rsidR="004A413E" w:rsidRPr="0082154C">
        <w:t>=</w:t>
      </w:r>
      <w:r w:rsidR="004A413E">
        <w:t xml:space="preserve"> </w:t>
      </w:r>
      <w:r w:rsidR="004A413E" w:rsidRPr="0082154C">
        <w:t>not evaluable;</w:t>
      </w:r>
      <w:r w:rsidR="004A413E">
        <w:t xml:space="preserve"> </w:t>
      </w:r>
      <w:r w:rsidR="004A413E" w:rsidRPr="00924BD1">
        <w:t>NR</w:t>
      </w:r>
      <w:r w:rsidR="004A413E">
        <w:t xml:space="preserve"> </w:t>
      </w:r>
      <w:r w:rsidR="004A413E" w:rsidRPr="00924BD1">
        <w:t>=</w:t>
      </w:r>
      <w:r w:rsidR="004A413E">
        <w:t xml:space="preserve"> </w:t>
      </w:r>
      <w:r w:rsidR="004A413E" w:rsidRPr="00924BD1">
        <w:t>not reported; ORR</w:t>
      </w:r>
      <w:r w:rsidR="004A413E">
        <w:t xml:space="preserve"> </w:t>
      </w:r>
      <w:r w:rsidR="004A413E" w:rsidRPr="00924BD1">
        <w:t>=</w:t>
      </w:r>
      <w:r w:rsidR="004A413E">
        <w:t xml:space="preserve"> </w:t>
      </w:r>
      <w:r w:rsidR="004A413E" w:rsidRPr="00924BD1">
        <w:t xml:space="preserve">objective response rate; </w:t>
      </w:r>
      <w:r w:rsidR="004A413E">
        <w:t xml:space="preserve">OS = overall survival; </w:t>
      </w:r>
      <w:r w:rsidR="004A413E" w:rsidRPr="00924BD1">
        <w:t>PD</w:t>
      </w:r>
      <w:r w:rsidR="004A413E">
        <w:t xml:space="preserve"> </w:t>
      </w:r>
      <w:r w:rsidR="004A413E" w:rsidRPr="00924BD1">
        <w:t>=</w:t>
      </w:r>
      <w:r w:rsidR="004A413E">
        <w:t xml:space="preserve"> </w:t>
      </w:r>
      <w:r w:rsidR="004A413E" w:rsidRPr="00924BD1">
        <w:t xml:space="preserve">progressive disease; </w:t>
      </w:r>
      <w:r w:rsidR="004A413E">
        <w:t xml:space="preserve">PFS = progression-free survival; </w:t>
      </w:r>
      <w:r w:rsidR="004A413E" w:rsidRPr="00924BD1">
        <w:t>PR</w:t>
      </w:r>
      <w:r w:rsidR="004A413E">
        <w:t xml:space="preserve"> </w:t>
      </w:r>
      <w:r w:rsidR="004A413E" w:rsidRPr="00924BD1">
        <w:t>=</w:t>
      </w:r>
      <w:r w:rsidR="004A413E">
        <w:t xml:space="preserve"> </w:t>
      </w:r>
      <w:r w:rsidR="004A413E" w:rsidRPr="00924BD1">
        <w:t>partial response; SD</w:t>
      </w:r>
      <w:r w:rsidR="004A413E">
        <w:t xml:space="preserve"> </w:t>
      </w:r>
      <w:r w:rsidR="004A413E" w:rsidRPr="00924BD1">
        <w:t>=</w:t>
      </w:r>
      <w:r w:rsidR="004A413E">
        <w:t xml:space="preserve"> </w:t>
      </w:r>
      <w:r w:rsidR="004A413E" w:rsidRPr="00924BD1">
        <w:t>stable disease</w:t>
      </w:r>
    </w:p>
    <w:p w14:paraId="24ADDF92" w14:textId="77777777" w:rsidR="004A413E" w:rsidRDefault="004A413E" w:rsidP="004A413E">
      <w:pPr>
        <w:pStyle w:val="FooterTableFigure"/>
        <w:rPr>
          <w:rFonts w:eastAsia="Calibri"/>
        </w:rPr>
      </w:pPr>
      <w:r>
        <w:t>Notes: Absolute differences and hazard ratios were not calculated in the submission due to the naïve comparative approach implemented.</w:t>
      </w:r>
    </w:p>
    <w:p w14:paraId="3D66A11B" w14:textId="6BE7F4EB" w:rsidR="004A413E" w:rsidRDefault="004A413E" w:rsidP="004A413E">
      <w:pPr>
        <w:pStyle w:val="FooterTableFigure"/>
      </w:pPr>
      <w:r w:rsidRPr="00FB2A8E">
        <w:rPr>
          <w:vertAlign w:val="superscript"/>
        </w:rPr>
        <w:t>a</w:t>
      </w:r>
      <w:r>
        <w:t xml:space="preserve"> </w:t>
      </w:r>
      <w:r w:rsidRPr="00D51FA4">
        <w:t>Missing or not assessable included patients with no post</w:t>
      </w:r>
      <w:r>
        <w:t>-</w:t>
      </w:r>
      <w:r w:rsidR="00BD4058">
        <w:t>BL</w:t>
      </w:r>
      <w:r w:rsidRPr="00D51FA4">
        <w:t xml:space="preserve"> scans available, missing subsets of scans</w:t>
      </w:r>
      <w:r>
        <w:t>,</w:t>
      </w:r>
      <w:r w:rsidRPr="00D51FA4">
        <w:t xml:space="preserve"> or patients who discontinued before obtaining adequate scans to assess or confirm response</w:t>
      </w:r>
    </w:p>
    <w:p w14:paraId="253F6413" w14:textId="77777777" w:rsidR="004A413E" w:rsidRDefault="004A413E" w:rsidP="004A413E">
      <w:pPr>
        <w:pStyle w:val="FooterTableFigure"/>
      </w:pPr>
      <w:r w:rsidRPr="004570A2">
        <w:rPr>
          <w:vertAlign w:val="superscript"/>
        </w:rPr>
        <w:lastRenderedPageBreak/>
        <w:t>b</w:t>
      </w:r>
      <w:r>
        <w:t xml:space="preserve"> Median follow-up was 33.9 months for DOR and DOR landmark analysis</w:t>
      </w:r>
    </w:p>
    <w:p w14:paraId="0BEEE986" w14:textId="77777777" w:rsidR="004A413E" w:rsidRDefault="004A413E" w:rsidP="004A413E">
      <w:pPr>
        <w:pStyle w:val="FooterTableFigure"/>
      </w:pPr>
      <w:r w:rsidRPr="004570A2">
        <w:rPr>
          <w:vertAlign w:val="superscript"/>
        </w:rPr>
        <w:t>c</w:t>
      </w:r>
      <w:r w:rsidRPr="004570A2">
        <w:t xml:space="preserve"> </w:t>
      </w:r>
      <w:r>
        <w:t>Median follow-up was 37.8 months for DOR and DOR landmark analysis</w:t>
      </w:r>
    </w:p>
    <w:p w14:paraId="67816B21" w14:textId="725950E7" w:rsidR="004A413E" w:rsidRDefault="004A413E" w:rsidP="004A413E">
      <w:pPr>
        <w:pStyle w:val="FooterTableFigure"/>
      </w:pPr>
      <w:r w:rsidRPr="0044072E">
        <w:rPr>
          <w:vertAlign w:val="superscript"/>
        </w:rPr>
        <w:t>d</w:t>
      </w:r>
      <w:r>
        <w:t xml:space="preserve"> Of patients who had measurable brain metastases at </w:t>
      </w:r>
      <w:r w:rsidR="00BD4058">
        <w:t>BL</w:t>
      </w:r>
    </w:p>
    <w:p w14:paraId="6AF7CCB1" w14:textId="77777777" w:rsidR="004A413E" w:rsidRDefault="004A413E" w:rsidP="004A413E">
      <w:pPr>
        <w:pStyle w:val="FooterTableFigure"/>
      </w:pPr>
      <w:r w:rsidRPr="009D360F">
        <w:rPr>
          <w:vertAlign w:val="superscript"/>
        </w:rPr>
        <w:t>e</w:t>
      </w:r>
      <w:r>
        <w:t xml:space="preserve"> Of patients with a response, 1/8 patients achieved a complete response and 7/8 patients achieved a partial response</w:t>
      </w:r>
    </w:p>
    <w:p w14:paraId="0366DDD0" w14:textId="6F65A980" w:rsidR="004A413E" w:rsidRDefault="004A413E" w:rsidP="003D2C11">
      <w:pPr>
        <w:pStyle w:val="FooterTableFigure"/>
      </w:pPr>
      <w:r w:rsidRPr="009D360F">
        <w:rPr>
          <w:vertAlign w:val="superscript"/>
        </w:rPr>
        <w:t>f</w:t>
      </w:r>
      <w:r>
        <w:t xml:space="preserve"> Of patients with a response, 8/25 patients achieved a complete response and 17/25 patients achieved a partial response</w:t>
      </w:r>
    </w:p>
    <w:p w14:paraId="16C1D314" w14:textId="10DC6833" w:rsidR="003B25B7" w:rsidRDefault="00346C3B" w:rsidP="00CF1A4A">
      <w:pPr>
        <w:pStyle w:val="3-BodyText"/>
      </w:pPr>
      <w:r w:rsidRPr="007A38AF">
        <w:t>In TRIDENT-1, the</w:t>
      </w:r>
      <w:r w:rsidR="0012037C">
        <w:t xml:space="preserve"> </w:t>
      </w:r>
      <w:r w:rsidR="008C7CB1" w:rsidRPr="007A38AF">
        <w:t>o</w:t>
      </w:r>
      <w:r w:rsidR="00D14A14">
        <w:t>bjective</w:t>
      </w:r>
      <w:r w:rsidR="008C7CB1" w:rsidRPr="007A38AF">
        <w:t xml:space="preserve"> response rate (</w:t>
      </w:r>
      <w:r w:rsidR="00BB503C" w:rsidRPr="007A38AF">
        <w:t>ORR</w:t>
      </w:r>
      <w:r w:rsidR="008C7CB1" w:rsidRPr="007A38AF">
        <w:t>)</w:t>
      </w:r>
      <w:r w:rsidR="00BB503C" w:rsidRPr="007A38AF">
        <w:t xml:space="preserve"> </w:t>
      </w:r>
      <w:r w:rsidRPr="007A38AF">
        <w:t xml:space="preserve">to repotrectinib </w:t>
      </w:r>
      <w:r w:rsidR="00950F92" w:rsidRPr="007A38AF">
        <w:t xml:space="preserve">was </w:t>
      </w:r>
      <w:r w:rsidR="00813C73" w:rsidRPr="007A38AF">
        <w:t xml:space="preserve">78% </w:t>
      </w:r>
      <w:r w:rsidR="00920E20" w:rsidRPr="007A38AF">
        <w:t>(4</w:t>
      </w:r>
      <w:r w:rsidR="004F593E" w:rsidRPr="007A38AF">
        <w:t>9 of 63</w:t>
      </w:r>
      <w:r w:rsidR="00483715">
        <w:t> </w:t>
      </w:r>
      <w:r w:rsidR="004F593E" w:rsidRPr="007A38AF">
        <w:t xml:space="preserve">patients) </w:t>
      </w:r>
      <w:r w:rsidR="00813C73" w:rsidRPr="007A38AF">
        <w:t xml:space="preserve">in the </w:t>
      </w:r>
      <w:r w:rsidR="005D7641" w:rsidRPr="007A38AF">
        <w:t>p</w:t>
      </w:r>
      <w:r w:rsidR="00813C73" w:rsidRPr="007A38AF">
        <w:t>hase 2 component</w:t>
      </w:r>
      <w:r w:rsidR="00A02BC3">
        <w:t xml:space="preserve">, </w:t>
      </w:r>
      <w:r w:rsidR="00E669B3" w:rsidRPr="007A38AF">
        <w:t xml:space="preserve">79% </w:t>
      </w:r>
      <w:r w:rsidR="004F593E" w:rsidRPr="007A38AF">
        <w:t>(</w:t>
      </w:r>
      <w:r w:rsidR="00A37D54" w:rsidRPr="007A38AF">
        <w:t>56</w:t>
      </w:r>
      <w:r w:rsidR="004F593E" w:rsidRPr="007A38AF">
        <w:t xml:space="preserve"> of </w:t>
      </w:r>
      <w:r w:rsidR="00A37D54" w:rsidRPr="007A38AF">
        <w:t>71</w:t>
      </w:r>
      <w:r w:rsidR="004F593E" w:rsidRPr="007A38AF">
        <w:t xml:space="preserve"> patients) </w:t>
      </w:r>
      <w:r w:rsidR="00E669B3" w:rsidRPr="007A38AF">
        <w:t xml:space="preserve">in the </w:t>
      </w:r>
      <w:r w:rsidR="005D7641" w:rsidRPr="007A38AF">
        <w:t>p</w:t>
      </w:r>
      <w:r w:rsidR="00E669B3" w:rsidRPr="007A38AF">
        <w:t xml:space="preserve">hase 1 and </w:t>
      </w:r>
      <w:r w:rsidR="005D7641" w:rsidRPr="007A38AF">
        <w:t>p</w:t>
      </w:r>
      <w:r w:rsidR="00E669B3" w:rsidRPr="007A38AF">
        <w:t>hase 2</w:t>
      </w:r>
      <w:r w:rsidR="00A37D54" w:rsidRPr="007A38AF">
        <w:t xml:space="preserve"> component</w:t>
      </w:r>
      <w:r w:rsidR="00A02BC3">
        <w:t xml:space="preserve"> and 79% based on the data cut off period of 3 September 2024</w:t>
      </w:r>
      <w:r w:rsidR="00A37D54" w:rsidRPr="007A38AF">
        <w:t xml:space="preserve">. </w:t>
      </w:r>
      <w:r w:rsidR="004458A4" w:rsidRPr="007A38AF">
        <w:t xml:space="preserve">ORR </w:t>
      </w:r>
      <w:r w:rsidR="00511467" w:rsidRPr="007A38AF">
        <w:t xml:space="preserve">to entrectinib </w:t>
      </w:r>
      <w:r w:rsidR="004458A4" w:rsidRPr="007A38AF">
        <w:t xml:space="preserve">in the integrated analysis of </w:t>
      </w:r>
      <w:r w:rsidR="005D7641" w:rsidRPr="007A38AF">
        <w:t xml:space="preserve">the </w:t>
      </w:r>
      <w:r w:rsidR="004458A4" w:rsidRPr="007A38AF">
        <w:t>ALKA, STARTRK-1 and STARTRK-2 studies</w:t>
      </w:r>
      <w:r w:rsidR="00A066F8" w:rsidRPr="007A38AF">
        <w:t xml:space="preserve"> was </w:t>
      </w:r>
      <w:r w:rsidR="00394AC9">
        <w:t>~</w:t>
      </w:r>
      <w:r w:rsidR="007B47C2" w:rsidRPr="007A38AF">
        <w:t>6</w:t>
      </w:r>
      <w:r w:rsidR="007B47C2">
        <w:t>7</w:t>
      </w:r>
      <w:r w:rsidR="00AA7823" w:rsidRPr="007A38AF">
        <w:t>% (116 of 172 patients)</w:t>
      </w:r>
      <w:r w:rsidR="005D7641" w:rsidRPr="007A38AF">
        <w:t>,</w:t>
      </w:r>
      <w:r w:rsidR="00AA7823" w:rsidRPr="007A38AF">
        <w:t xml:space="preserve"> </w:t>
      </w:r>
      <w:r w:rsidR="00C17AB3" w:rsidRPr="007A38AF">
        <w:t xml:space="preserve">and </w:t>
      </w:r>
      <w:r w:rsidR="000E2A45" w:rsidRPr="007A38AF">
        <w:t>82% (44 of 55 patients) in the BFAST study.</w:t>
      </w:r>
      <w:r w:rsidR="00E842CB" w:rsidRPr="007A38AF">
        <w:t xml:space="preserve"> </w:t>
      </w:r>
      <w:r w:rsidR="00AF7A81" w:rsidRPr="007A38AF">
        <w:t xml:space="preserve">As per the prespecified analysis plan, </w:t>
      </w:r>
      <w:r w:rsidR="00970A0A" w:rsidRPr="007A38AF">
        <w:t xml:space="preserve">study investigators considered </w:t>
      </w:r>
      <w:r w:rsidR="00AF7A81" w:rsidRPr="007A38AF">
        <w:t>a</w:t>
      </w:r>
      <w:r w:rsidR="00C07C9B" w:rsidRPr="007A38AF">
        <w:t xml:space="preserve"> clinically meaningful treatment effect </w:t>
      </w:r>
      <w:r w:rsidR="00C36E09" w:rsidRPr="007A38AF">
        <w:t xml:space="preserve">to be </w:t>
      </w:r>
      <w:r w:rsidR="00534C25" w:rsidRPr="007A38AF">
        <w:t xml:space="preserve">66% and 50% for ORR in TRIDENT-1 and the integrated analysis, respectively. </w:t>
      </w:r>
      <w:r w:rsidR="00A72671" w:rsidRPr="007A38AF">
        <w:t>Thus</w:t>
      </w:r>
      <w:r w:rsidR="00791E87" w:rsidRPr="007A38AF">
        <w:t>,</w:t>
      </w:r>
      <w:r w:rsidR="00A72671" w:rsidRPr="007A38AF">
        <w:t xml:space="preserve"> </w:t>
      </w:r>
      <w:r w:rsidR="00947DB6" w:rsidRPr="007A38AF">
        <w:t xml:space="preserve">an ORR of </w:t>
      </w:r>
      <w:r w:rsidR="00E40CB4" w:rsidRPr="007A38AF">
        <w:t xml:space="preserve">78% and 79% in </w:t>
      </w:r>
      <w:r w:rsidR="00A72671" w:rsidRPr="007A38AF">
        <w:t>repotrectinib</w:t>
      </w:r>
      <w:r w:rsidR="00E40CB4" w:rsidRPr="007A38AF">
        <w:t>-treated patients</w:t>
      </w:r>
      <w:r w:rsidR="00C36E09" w:rsidRPr="007A38AF">
        <w:t xml:space="preserve"> and </w:t>
      </w:r>
      <w:r w:rsidR="00617996" w:rsidRPr="007A38AF">
        <w:t>6</w:t>
      </w:r>
      <w:r w:rsidR="00617996">
        <w:t>7</w:t>
      </w:r>
      <w:r w:rsidR="0031287A" w:rsidRPr="007A38AF">
        <w:t>% in entrectinib-treated patients (from the integrated analysis)</w:t>
      </w:r>
      <w:r w:rsidR="004B3CBD" w:rsidRPr="007A38AF">
        <w:t xml:space="preserve"> </w:t>
      </w:r>
      <w:r w:rsidR="00A72671" w:rsidRPr="007A38AF">
        <w:t xml:space="preserve">is considered to </w:t>
      </w:r>
      <w:r w:rsidR="0078286F" w:rsidRPr="007A38AF">
        <w:t>be</w:t>
      </w:r>
      <w:r w:rsidR="00A72671" w:rsidRPr="007A38AF">
        <w:t xml:space="preserve"> a clinically meaningful treatment effect</w:t>
      </w:r>
      <w:r w:rsidR="00AF7A81" w:rsidRPr="007A38AF">
        <w:t>.</w:t>
      </w:r>
      <w:r w:rsidR="00436DAD" w:rsidRPr="007A38AF">
        <w:rPr>
          <w:rStyle w:val="FootnoteReference"/>
        </w:rPr>
        <w:footnoteReference w:id="6"/>
      </w:r>
      <w:r w:rsidR="00B87F9F" w:rsidRPr="007A38AF">
        <w:t xml:space="preserve"> </w:t>
      </w:r>
      <w:r w:rsidR="007B179A" w:rsidRPr="007A38AF">
        <w:t xml:space="preserve">Results for </w:t>
      </w:r>
      <w:r w:rsidR="00A567B8" w:rsidRPr="007A38AF">
        <w:t>ORR between repotrectinib and entrectinib are considered comparable.</w:t>
      </w:r>
      <w:r w:rsidR="00315668">
        <w:t xml:space="preserve"> </w:t>
      </w:r>
    </w:p>
    <w:p w14:paraId="34DD7C6D" w14:textId="53123A2F" w:rsidR="00315668" w:rsidRPr="00E1356B" w:rsidRDefault="00315668" w:rsidP="00CF1A4A">
      <w:pPr>
        <w:pStyle w:val="3-BodyText"/>
      </w:pPr>
      <w:r w:rsidRPr="00E1356B">
        <w:t>The P</w:t>
      </w:r>
      <w:r w:rsidR="004262D2">
        <w:t xml:space="preserve">re-Sub Committee Response </w:t>
      </w:r>
      <w:r w:rsidRPr="00E1356B">
        <w:t xml:space="preserve">provided additional results from an updated analysis of TRIDENT-1 (September 2024 data cut), which showed similar results for repotrectinib in terms of objective response rate, complete response and partial response compared to the results presented in </w:t>
      </w:r>
      <w:r w:rsidRPr="00E1356B">
        <w:rPr>
          <w:rFonts w:cstheme="minorHAnsi"/>
          <w:szCs w:val="24"/>
        </w:rPr>
        <w:fldChar w:fldCharType="begin"/>
      </w:r>
      <w:r w:rsidRPr="00E1356B">
        <w:rPr>
          <w:rFonts w:cstheme="minorHAnsi"/>
          <w:szCs w:val="24"/>
        </w:rPr>
        <w:instrText xml:space="preserve"> REF _Ref192239163 \h  \* MERGEFORMAT </w:instrText>
      </w:r>
      <w:r w:rsidRPr="00E1356B">
        <w:rPr>
          <w:rFonts w:cstheme="minorHAnsi"/>
          <w:szCs w:val="24"/>
        </w:rPr>
      </w:r>
      <w:r w:rsidRPr="00E1356B">
        <w:rPr>
          <w:rFonts w:cstheme="minorHAnsi"/>
          <w:szCs w:val="24"/>
        </w:rPr>
        <w:fldChar w:fldCharType="separate"/>
      </w:r>
      <w:r w:rsidR="00D32E93" w:rsidRPr="00D32E93">
        <w:rPr>
          <w:rFonts w:cstheme="minorHAnsi"/>
          <w:szCs w:val="24"/>
        </w:rPr>
        <w:t xml:space="preserve">Table </w:t>
      </w:r>
      <w:r w:rsidR="00D32E93" w:rsidRPr="00D32E93">
        <w:rPr>
          <w:rStyle w:val="CommentReference"/>
          <w:rFonts w:asciiTheme="minorHAnsi" w:hAnsiTheme="minorHAnsi" w:cstheme="minorHAnsi"/>
          <w:b w:val="0"/>
          <w:bCs/>
          <w:noProof/>
          <w:sz w:val="24"/>
          <w:szCs w:val="24"/>
        </w:rPr>
        <w:t>4</w:t>
      </w:r>
      <w:r w:rsidRPr="00E1356B">
        <w:rPr>
          <w:rFonts w:cstheme="minorHAnsi"/>
          <w:szCs w:val="24"/>
        </w:rPr>
        <w:fldChar w:fldCharType="end"/>
      </w:r>
      <w:r w:rsidRPr="00E1356B">
        <w:rPr>
          <w:rFonts w:cstheme="minorHAnsi"/>
          <w:szCs w:val="24"/>
        </w:rPr>
        <w:t xml:space="preserve"> above</w:t>
      </w:r>
      <w:r w:rsidRPr="00E1356B">
        <w:t>.</w:t>
      </w:r>
    </w:p>
    <w:p w14:paraId="72E3A504" w14:textId="60C8CD3A" w:rsidR="00902D82" w:rsidRPr="007A38AF" w:rsidRDefault="004B14DD" w:rsidP="00CF1A4A">
      <w:pPr>
        <w:pStyle w:val="3-BodyText"/>
      </w:pPr>
      <w:r w:rsidRPr="007A38AF">
        <w:t>Analysis of survival probabilities by KM curves</w:t>
      </w:r>
      <w:r w:rsidR="007B4801" w:rsidRPr="007A38AF">
        <w:t xml:space="preserve"> </w:t>
      </w:r>
      <w:r w:rsidR="00455258" w:rsidRPr="007A38AF">
        <w:t xml:space="preserve">for </w:t>
      </w:r>
      <w:r w:rsidR="007735D1" w:rsidRPr="007A38AF">
        <w:t xml:space="preserve">the </w:t>
      </w:r>
      <w:r w:rsidR="00455258" w:rsidRPr="007A38AF">
        <w:t>duration of response (</w:t>
      </w:r>
      <w:r w:rsidR="00EC6990" w:rsidRPr="007A38AF">
        <w:t>DOR</w:t>
      </w:r>
      <w:r w:rsidR="00455258" w:rsidRPr="007A38AF">
        <w:t>) at 12 months</w:t>
      </w:r>
      <w:r w:rsidR="00C52FD8" w:rsidRPr="007A38AF">
        <w:t>,</w:t>
      </w:r>
      <w:r w:rsidR="00455258" w:rsidRPr="007A38AF">
        <w:t xml:space="preserve"> </w:t>
      </w:r>
      <w:r w:rsidR="00B55BFD" w:rsidRPr="007A38AF">
        <w:t xml:space="preserve">demonstrated </w:t>
      </w:r>
      <w:r w:rsidR="00D26219" w:rsidRPr="007A38AF">
        <w:t xml:space="preserve">continued response </w:t>
      </w:r>
      <w:r w:rsidR="00FB3568" w:rsidRPr="007A38AF">
        <w:t xml:space="preserve">in 85%, 65% and 57% of patients in </w:t>
      </w:r>
      <w:r w:rsidR="00797094" w:rsidRPr="007A38AF">
        <w:t>TRIDENT-1 (</w:t>
      </w:r>
      <w:r w:rsidR="002F3588" w:rsidRPr="007A38AF">
        <w:t>p</w:t>
      </w:r>
      <w:r w:rsidR="00797094" w:rsidRPr="007A38AF">
        <w:t>hase 2), the integrated analysis of ALKA, STARTRK-1 and STARTRK-2</w:t>
      </w:r>
      <w:r w:rsidR="002F3588" w:rsidRPr="007A38AF">
        <w:t>,</w:t>
      </w:r>
      <w:r w:rsidR="00797094" w:rsidRPr="007A38AF">
        <w:t xml:space="preserve"> and BFAST, respectively.</w:t>
      </w:r>
      <w:r w:rsidR="007B4801" w:rsidRPr="007A38AF">
        <w:t xml:space="preserve"> DOR </w:t>
      </w:r>
      <w:r w:rsidR="00835888" w:rsidRPr="007A38AF">
        <w:t xml:space="preserve">combined </w:t>
      </w:r>
      <w:r w:rsidR="007B4801" w:rsidRPr="007A38AF">
        <w:t xml:space="preserve">KM curves </w:t>
      </w:r>
      <w:r w:rsidR="009B3F66" w:rsidRPr="007A38AF">
        <w:t xml:space="preserve">are presented in </w:t>
      </w:r>
      <w:r w:rsidR="009B3F66" w:rsidRPr="007A38AF">
        <w:fldChar w:fldCharType="begin"/>
      </w:r>
      <w:r w:rsidR="009B3F66" w:rsidRPr="007A38AF">
        <w:instrText xml:space="preserve"> REF _Ref191627772 \h </w:instrText>
      </w:r>
      <w:r w:rsidR="007A38AF" w:rsidRPr="007A38AF">
        <w:instrText xml:space="preserve"> \* MERGEFORMAT </w:instrText>
      </w:r>
      <w:r w:rsidR="009B3F66" w:rsidRPr="007A38AF">
        <w:fldChar w:fldCharType="separate"/>
      </w:r>
      <w:r w:rsidR="00D32E93">
        <w:t xml:space="preserve">Figure </w:t>
      </w:r>
      <w:r w:rsidR="00D32E93">
        <w:rPr>
          <w:noProof/>
        </w:rPr>
        <w:t>2</w:t>
      </w:r>
      <w:r w:rsidR="009B3F66" w:rsidRPr="007A38AF">
        <w:fldChar w:fldCharType="end"/>
      </w:r>
      <w:r w:rsidR="009B3F66" w:rsidRPr="007A38AF">
        <w:t>.</w:t>
      </w:r>
    </w:p>
    <w:p w14:paraId="223E71A2" w14:textId="3A8AE300" w:rsidR="00902D82" w:rsidRDefault="00902D82" w:rsidP="00902D82">
      <w:pPr>
        <w:pStyle w:val="Caption"/>
      </w:pPr>
      <w:bookmarkStart w:id="23" w:name="_Ref191627772"/>
      <w:r>
        <w:lastRenderedPageBreak/>
        <w:t xml:space="preserve">Figure </w:t>
      </w:r>
      <w:r w:rsidR="007F7DF9">
        <w:fldChar w:fldCharType="begin"/>
      </w:r>
      <w:r w:rsidR="007F7DF9">
        <w:instrText xml:space="preserve"> SEQ Figure \* ARABIC </w:instrText>
      </w:r>
      <w:r w:rsidR="007F7DF9">
        <w:fldChar w:fldCharType="separate"/>
      </w:r>
      <w:r w:rsidR="00D32E93">
        <w:rPr>
          <w:noProof/>
        </w:rPr>
        <w:t>2</w:t>
      </w:r>
      <w:r w:rsidR="007F7DF9">
        <w:rPr>
          <w:noProof/>
        </w:rPr>
        <w:fldChar w:fldCharType="end"/>
      </w:r>
      <w:bookmarkEnd w:id="23"/>
      <w:r>
        <w:t>: Duration of response Kaplan-Meier curves</w:t>
      </w:r>
    </w:p>
    <w:p w14:paraId="509A0BF9" w14:textId="77777777" w:rsidR="00902D82" w:rsidRPr="00AB6244" w:rsidRDefault="00902D82" w:rsidP="00902D82">
      <w:r>
        <w:rPr>
          <w:noProof/>
        </w:rPr>
        <w:drawing>
          <wp:inline distT="0" distB="0" distL="0" distR="0" wp14:anchorId="26E6F70D" wp14:editId="4C78C3B9">
            <wp:extent cx="5690855" cy="3382108"/>
            <wp:effectExtent l="0" t="0" r="5715" b="8890"/>
            <wp:docPr id="761277917" name="Picture 1" descr="Figure 2: Duration of response Kaplan-Meier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77917" name="Picture 1" descr="Figure 2: Duration of response Kaplan-Meier curves"/>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5722807" cy="3401098"/>
                    </a:xfrm>
                    <a:prstGeom prst="rect">
                      <a:avLst/>
                    </a:prstGeom>
                    <a:noFill/>
                    <a:ln>
                      <a:noFill/>
                    </a:ln>
                    <a:extLst>
                      <a:ext uri="{53640926-AAD7-44D8-BBD7-CCE9431645EC}">
                        <a14:shadowObscured xmlns:a14="http://schemas.microsoft.com/office/drawing/2010/main"/>
                      </a:ext>
                    </a:extLst>
                  </pic:spPr>
                </pic:pic>
              </a:graphicData>
            </a:graphic>
          </wp:inline>
        </w:drawing>
      </w:r>
    </w:p>
    <w:p w14:paraId="60816D33" w14:textId="22BE3B7A" w:rsidR="00645C6C" w:rsidRPr="00645C6C" w:rsidRDefault="00902D82" w:rsidP="00F511D9">
      <w:pPr>
        <w:pStyle w:val="TableFigureFooter"/>
      </w:pPr>
      <w:r w:rsidRPr="00B2347A">
        <w:t>Source: Figure 14, p.65 of the submission.</w:t>
      </w:r>
    </w:p>
    <w:p w14:paraId="0BCC28A0" w14:textId="5FD7D6EB" w:rsidR="00DF05BA" w:rsidRDefault="00CB645D" w:rsidP="006E4155">
      <w:pPr>
        <w:pStyle w:val="3-BodyText"/>
      </w:pPr>
      <w:bookmarkStart w:id="24" w:name="_Ref192680468"/>
      <w:r w:rsidRPr="007A38AF">
        <w:t xml:space="preserve">In TRIDENT-1, median PFS in repotrectinib-treated patients was </w:t>
      </w:r>
      <w:r w:rsidR="00066187" w:rsidRPr="007A38AF">
        <w:t>37.1</w:t>
      </w:r>
      <w:r w:rsidR="004E6104" w:rsidRPr="007A38AF">
        <w:t xml:space="preserve"> months</w:t>
      </w:r>
      <w:r w:rsidRPr="007A38AF">
        <w:t xml:space="preserve"> in the </w:t>
      </w:r>
      <w:r w:rsidR="00BC5CAE" w:rsidRPr="007A38AF">
        <w:t>p</w:t>
      </w:r>
      <w:r w:rsidRPr="007A38AF">
        <w:t xml:space="preserve">hase 2 component and </w:t>
      </w:r>
      <w:r w:rsidR="00A677EF" w:rsidRPr="007A38AF">
        <w:t>35.7 months</w:t>
      </w:r>
      <w:r w:rsidRPr="007A38AF">
        <w:t xml:space="preserve"> in the </w:t>
      </w:r>
      <w:r w:rsidR="00BC5CAE" w:rsidRPr="007A38AF">
        <w:t>p</w:t>
      </w:r>
      <w:r w:rsidRPr="007A38AF">
        <w:t xml:space="preserve">hase 1 and </w:t>
      </w:r>
      <w:r w:rsidR="00BC5CAE" w:rsidRPr="007A38AF">
        <w:t>p</w:t>
      </w:r>
      <w:r w:rsidRPr="007A38AF">
        <w:t xml:space="preserve">hase 2 component. </w:t>
      </w:r>
      <w:r w:rsidR="009F1BFE" w:rsidRPr="007A38AF">
        <w:t xml:space="preserve">Median </w:t>
      </w:r>
      <w:r w:rsidR="000B3B5C" w:rsidRPr="007A38AF">
        <w:t>PFS in</w:t>
      </w:r>
      <w:r w:rsidRPr="007A38AF">
        <w:t xml:space="preserve"> entrectinib</w:t>
      </w:r>
      <w:r w:rsidR="000B3B5C" w:rsidRPr="007A38AF">
        <w:t>-treated patients</w:t>
      </w:r>
      <w:r w:rsidRPr="007A38AF">
        <w:t xml:space="preserve"> in the integrated analysis of ALKA, STARTRK-1 and STARTRK-2 was </w:t>
      </w:r>
      <w:r w:rsidR="000B3B5C" w:rsidRPr="007A38AF">
        <w:t>16.8 months</w:t>
      </w:r>
      <w:r w:rsidR="00BC5CAE" w:rsidRPr="007A38AF">
        <w:t>,</w:t>
      </w:r>
      <w:r w:rsidRPr="007A38AF">
        <w:t xml:space="preserve"> and </w:t>
      </w:r>
      <w:r w:rsidR="000B3B5C" w:rsidRPr="007A38AF">
        <w:t>14.8 months</w:t>
      </w:r>
      <w:r w:rsidRPr="007A38AF">
        <w:t xml:space="preserve"> in BFAST.</w:t>
      </w:r>
      <w:r w:rsidR="007D5F15" w:rsidRPr="007A38AF">
        <w:t xml:space="preserve"> </w:t>
      </w:r>
      <w:r w:rsidR="001750F2" w:rsidRPr="007A38AF">
        <w:t xml:space="preserve">PFS combined KM curves are presented in </w:t>
      </w:r>
      <w:r w:rsidR="001750F2" w:rsidRPr="007A38AF">
        <w:fldChar w:fldCharType="begin"/>
      </w:r>
      <w:r w:rsidR="001750F2" w:rsidRPr="007A38AF">
        <w:instrText xml:space="preserve"> REF _Ref191631987 \h </w:instrText>
      </w:r>
      <w:r w:rsidR="007A38AF" w:rsidRPr="007A38AF">
        <w:instrText xml:space="preserve"> \* MERGEFORMAT </w:instrText>
      </w:r>
      <w:r w:rsidR="001750F2" w:rsidRPr="007A38AF">
        <w:fldChar w:fldCharType="separate"/>
      </w:r>
      <w:r w:rsidR="00D32E93">
        <w:t>Figure</w:t>
      </w:r>
      <w:r w:rsidR="00D32E93">
        <w:rPr>
          <w:noProof/>
        </w:rPr>
        <w:t xml:space="preserve"> 3</w:t>
      </w:r>
      <w:r w:rsidR="001750F2" w:rsidRPr="007A38AF">
        <w:fldChar w:fldCharType="end"/>
      </w:r>
      <w:r w:rsidR="001750F2" w:rsidRPr="007A38AF">
        <w:t xml:space="preserve">. </w:t>
      </w:r>
    </w:p>
    <w:p w14:paraId="14D3DDC2" w14:textId="6CD39370" w:rsidR="00651523" w:rsidRPr="007A38AF" w:rsidRDefault="00DE0A09" w:rsidP="006E4155">
      <w:pPr>
        <w:pStyle w:val="3-BodyText"/>
      </w:pPr>
      <w:bookmarkStart w:id="25" w:name="_Ref198202117"/>
      <w:r w:rsidRPr="007A38AF">
        <w:t>The submission argued that</w:t>
      </w:r>
      <w:r w:rsidR="003823AE" w:rsidRPr="007A38AF">
        <w:t xml:space="preserve"> </w:t>
      </w:r>
      <w:r w:rsidR="002A5C50" w:rsidRPr="007A38AF">
        <w:t xml:space="preserve">for </w:t>
      </w:r>
      <w:r w:rsidR="00E83562" w:rsidRPr="007A38AF">
        <w:t>the assessment of non-infer</w:t>
      </w:r>
      <w:r w:rsidR="003B3302" w:rsidRPr="007A38AF">
        <w:t xml:space="preserve">iority </w:t>
      </w:r>
      <w:r w:rsidR="00855C63" w:rsidRPr="007A38AF">
        <w:t>for PFS</w:t>
      </w:r>
      <w:r w:rsidR="00A43DCB" w:rsidRPr="007A38AF">
        <w:t>,</w:t>
      </w:r>
      <w:r w:rsidR="00855C63" w:rsidRPr="007A38AF">
        <w:t xml:space="preserve"> </w:t>
      </w:r>
      <w:r w:rsidR="00143D98" w:rsidRPr="007A38AF">
        <w:t xml:space="preserve">the difference in the point estimate </w:t>
      </w:r>
      <w:r w:rsidR="005F26AB" w:rsidRPr="007A38AF">
        <w:t xml:space="preserve">of median PFS among repotrectinib-treated patients is not more than 4 months less than </w:t>
      </w:r>
      <w:r w:rsidR="00610172" w:rsidRPr="007A38AF">
        <w:t>for</w:t>
      </w:r>
      <w:r w:rsidR="005F26AB" w:rsidRPr="007A38AF">
        <w:t xml:space="preserve"> entrectinib</w:t>
      </w:r>
      <w:r w:rsidR="00610172" w:rsidRPr="007A38AF">
        <w:t>-</w:t>
      </w:r>
      <w:r w:rsidR="005F26AB" w:rsidRPr="007A38AF">
        <w:t>treated patients</w:t>
      </w:r>
      <w:r w:rsidR="00691A04" w:rsidRPr="007A38AF">
        <w:t xml:space="preserve">, therefore </w:t>
      </w:r>
      <w:r w:rsidR="00784B2A" w:rsidRPr="007A38AF">
        <w:t>non-inferiority is supported</w:t>
      </w:r>
      <w:r w:rsidR="005F26AB" w:rsidRPr="007A38AF">
        <w:t>.</w:t>
      </w:r>
      <w:r w:rsidR="0064342D" w:rsidRPr="007A38AF">
        <w:t xml:space="preserve"> </w:t>
      </w:r>
      <w:r w:rsidR="00F46955" w:rsidRPr="007A38AF">
        <w:t>Given the</w:t>
      </w:r>
      <w:r w:rsidR="000C78BD" w:rsidRPr="007A38AF">
        <w:t xml:space="preserve"> </w:t>
      </w:r>
      <w:r w:rsidR="00D14973" w:rsidRPr="007A38AF">
        <w:t>lack of direct comparative evidence</w:t>
      </w:r>
      <w:r w:rsidR="00BC5A45" w:rsidRPr="007A38AF">
        <w:t xml:space="preserve"> </w:t>
      </w:r>
      <w:r w:rsidR="003226D0" w:rsidRPr="007A38AF">
        <w:t>or</w:t>
      </w:r>
      <w:r w:rsidR="00BC5A45" w:rsidRPr="007A38AF">
        <w:t xml:space="preserve"> </w:t>
      </w:r>
      <w:r w:rsidR="003226D0" w:rsidRPr="007A38AF">
        <w:t>supportive</w:t>
      </w:r>
      <w:r w:rsidR="00B4299F" w:rsidRPr="007A38AF">
        <w:t xml:space="preserve"> </w:t>
      </w:r>
      <w:r w:rsidR="00BC5A45" w:rsidRPr="007A38AF">
        <w:t xml:space="preserve">statistical </w:t>
      </w:r>
      <w:r w:rsidR="00F46955" w:rsidRPr="007A38AF">
        <w:t>analysis</w:t>
      </w:r>
      <w:r w:rsidR="00D14973" w:rsidRPr="007A38AF">
        <w:t xml:space="preserve">, time-to-event </w:t>
      </w:r>
      <w:r w:rsidR="009B1CA1" w:rsidRPr="007A38AF">
        <w:t xml:space="preserve">outcomes </w:t>
      </w:r>
      <w:r w:rsidR="003B2E74" w:rsidRPr="007A38AF">
        <w:t>are difficult to interpret.</w:t>
      </w:r>
      <w:r w:rsidR="00624B5B" w:rsidRPr="007A38AF">
        <w:t xml:space="preserve"> </w:t>
      </w:r>
      <w:r w:rsidR="00F836FC" w:rsidRPr="007A38AF">
        <w:t xml:space="preserve">The </w:t>
      </w:r>
      <w:r w:rsidR="00651523" w:rsidRPr="007A38AF">
        <w:t>considerable heterogeneity in patient demographic</w:t>
      </w:r>
      <w:r w:rsidR="00F836FC" w:rsidRPr="007A38AF">
        <w:t>s</w:t>
      </w:r>
      <w:r w:rsidR="00651523" w:rsidRPr="007A38AF">
        <w:t>, disease characteristics, and study follow-up durations</w:t>
      </w:r>
      <w:r w:rsidR="00F836FC" w:rsidRPr="007A38AF">
        <w:t xml:space="preserve"> must also be taken into consideration</w:t>
      </w:r>
      <w:r w:rsidR="00DE3909" w:rsidRPr="007A38AF">
        <w:t xml:space="preserve"> </w:t>
      </w:r>
      <w:r w:rsidR="004C09AC" w:rsidRPr="007A38AF">
        <w:t>and are assumed to</w:t>
      </w:r>
      <w:r w:rsidR="00DE3909" w:rsidRPr="007A38AF">
        <w:t xml:space="preserve"> likely impact the results</w:t>
      </w:r>
      <w:r w:rsidR="00F836FC" w:rsidRPr="007A38AF">
        <w:t>.</w:t>
      </w:r>
      <w:bookmarkEnd w:id="25"/>
      <w:r w:rsidR="00D0541B" w:rsidRPr="007A38AF">
        <w:t xml:space="preserve"> </w:t>
      </w:r>
      <w:bookmarkEnd w:id="24"/>
    </w:p>
    <w:p w14:paraId="5DB292F3" w14:textId="59F7D6C2" w:rsidR="004113C8" w:rsidRDefault="004113C8" w:rsidP="0066395E">
      <w:pPr>
        <w:pStyle w:val="Caption"/>
      </w:pPr>
      <w:bookmarkStart w:id="26" w:name="_Ref191631987"/>
      <w:bookmarkStart w:id="27" w:name="_Ref198211570"/>
      <w:r>
        <w:lastRenderedPageBreak/>
        <w:t xml:space="preserve">Figure </w:t>
      </w:r>
      <w:r w:rsidR="007F7DF9">
        <w:fldChar w:fldCharType="begin"/>
      </w:r>
      <w:r w:rsidR="007F7DF9">
        <w:instrText xml:space="preserve"> SEQ Figure \* ARABIC </w:instrText>
      </w:r>
      <w:r w:rsidR="007F7DF9">
        <w:fldChar w:fldCharType="separate"/>
      </w:r>
      <w:r w:rsidR="00D32E93">
        <w:rPr>
          <w:noProof/>
        </w:rPr>
        <w:t>3</w:t>
      </w:r>
      <w:r w:rsidR="007F7DF9">
        <w:rPr>
          <w:noProof/>
        </w:rPr>
        <w:fldChar w:fldCharType="end"/>
      </w:r>
      <w:bookmarkEnd w:id="26"/>
      <w:bookmarkEnd w:id="27"/>
      <w:r>
        <w:t>: Progression-free survival Kaplan-Meier curves</w:t>
      </w:r>
    </w:p>
    <w:p w14:paraId="26BC6EDD" w14:textId="77777777" w:rsidR="004113C8" w:rsidRDefault="004113C8" w:rsidP="00DF7CC5">
      <w:r w:rsidRPr="00F062CE">
        <w:rPr>
          <w:noProof/>
        </w:rPr>
        <w:drawing>
          <wp:inline distT="0" distB="0" distL="0" distR="0" wp14:anchorId="61EECAA6" wp14:editId="2312CBBF">
            <wp:extent cx="5724629" cy="3054927"/>
            <wp:effectExtent l="0" t="0" r="0" b="0"/>
            <wp:docPr id="710534491" name="Picture 1" descr="A graph of a patient's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34491" name="Picture 1" descr="A graph of a patient's growth"/>
                    <pic:cNvPicPr/>
                  </pic:nvPicPr>
                  <pic:blipFill rotWithShape="1">
                    <a:blip r:embed="rId13"/>
                    <a:srcRect l="1633" t="71564" r="1036" b="735"/>
                    <a:stretch/>
                  </pic:blipFill>
                  <pic:spPr bwMode="auto">
                    <a:xfrm>
                      <a:off x="0" y="0"/>
                      <a:ext cx="5765302" cy="3076632"/>
                    </a:xfrm>
                    <a:prstGeom prst="rect">
                      <a:avLst/>
                    </a:prstGeom>
                    <a:ln>
                      <a:noFill/>
                    </a:ln>
                    <a:extLst>
                      <a:ext uri="{53640926-AAD7-44D8-BBD7-CCE9431645EC}">
                        <a14:shadowObscured xmlns:a14="http://schemas.microsoft.com/office/drawing/2010/main"/>
                      </a:ext>
                    </a:extLst>
                  </pic:spPr>
                </pic:pic>
              </a:graphicData>
            </a:graphic>
          </wp:inline>
        </w:drawing>
      </w:r>
    </w:p>
    <w:p w14:paraId="77D25A29" w14:textId="07C63B04" w:rsidR="004113C8" w:rsidRPr="00AB36C4" w:rsidRDefault="004113C8" w:rsidP="00F511D9">
      <w:pPr>
        <w:pStyle w:val="TableFigureFooter"/>
      </w:pPr>
      <w:r w:rsidRPr="00B2347A">
        <w:t>Source: Figure 15, p.68 of the submission.</w:t>
      </w:r>
    </w:p>
    <w:p w14:paraId="4C6D3938" w14:textId="3712C890" w:rsidR="00525A4F" w:rsidRDefault="00292CE6" w:rsidP="00CF1A4A">
      <w:pPr>
        <w:pStyle w:val="3-BodyText"/>
      </w:pPr>
      <w:r w:rsidRPr="00292CE6">
        <w:t xml:space="preserve">In TRIDENT-1, median </w:t>
      </w:r>
      <w:r>
        <w:t>OS</w:t>
      </w:r>
      <w:r w:rsidRPr="00292CE6">
        <w:t xml:space="preserve"> in repotrectinib-treated patients was </w:t>
      </w:r>
      <w:r>
        <w:t xml:space="preserve">not </w:t>
      </w:r>
      <w:r w:rsidR="006B1372">
        <w:t>reached</w:t>
      </w:r>
      <w:r w:rsidRPr="00292CE6">
        <w:t xml:space="preserve"> </w:t>
      </w:r>
      <w:r w:rsidR="004B4F0C">
        <w:t>(</w:t>
      </w:r>
      <w:r w:rsidR="00765E2C">
        <w:t>not estimable [</w:t>
      </w:r>
      <w:r w:rsidR="00833D36">
        <w:t>NE</w:t>
      </w:r>
      <w:r w:rsidR="00765E2C">
        <w:t>]</w:t>
      </w:r>
      <w:r w:rsidR="00833D36">
        <w:t xml:space="preserve">, </w:t>
      </w:r>
      <w:r w:rsidR="00234B23">
        <w:t xml:space="preserve">95% </w:t>
      </w:r>
      <w:r w:rsidR="00D239AE">
        <w:t>confidence interval [CI]: 37.3</w:t>
      </w:r>
      <w:r w:rsidR="003C2C8D">
        <w:t xml:space="preserve">, NE) </w:t>
      </w:r>
      <w:r w:rsidRPr="00292CE6">
        <w:t xml:space="preserve">in the </w:t>
      </w:r>
      <w:r w:rsidR="00C51B24">
        <w:t>p</w:t>
      </w:r>
      <w:r w:rsidRPr="00292CE6">
        <w:t xml:space="preserve">hase 2 component and </w:t>
      </w:r>
      <w:r w:rsidR="001E18E0">
        <w:t>not reported</w:t>
      </w:r>
      <w:r w:rsidRPr="00292CE6">
        <w:t xml:space="preserve"> in the </w:t>
      </w:r>
      <w:r w:rsidR="007C03A9">
        <w:t>p</w:t>
      </w:r>
      <w:r w:rsidRPr="00292CE6">
        <w:t xml:space="preserve">hase 1 and </w:t>
      </w:r>
      <w:r w:rsidR="007C03A9">
        <w:t>p</w:t>
      </w:r>
      <w:r w:rsidRPr="00292CE6">
        <w:t xml:space="preserve">hase 2 component. Median </w:t>
      </w:r>
      <w:r w:rsidR="00617FA1">
        <w:t>OS</w:t>
      </w:r>
      <w:r w:rsidRPr="00292CE6">
        <w:t xml:space="preserve"> in entrectinib-treated patients in the integrated analysis of ALKA, STARTRK-1 and STARTRK-2 was </w:t>
      </w:r>
      <w:r w:rsidR="00586CB8">
        <w:t>44.1</w:t>
      </w:r>
      <w:r w:rsidR="00897864">
        <w:t> </w:t>
      </w:r>
      <w:r w:rsidRPr="00292CE6">
        <w:t>months</w:t>
      </w:r>
      <w:r w:rsidR="007C03A9">
        <w:t>,</w:t>
      </w:r>
      <w:r w:rsidRPr="00292CE6">
        <w:t xml:space="preserve"> and </w:t>
      </w:r>
      <w:r w:rsidR="00586CB8">
        <w:t>31.2</w:t>
      </w:r>
      <w:r w:rsidRPr="00292CE6">
        <w:t xml:space="preserve"> months in BFAST. </w:t>
      </w:r>
      <w:r w:rsidR="00D5257F">
        <w:t>T</w:t>
      </w:r>
      <w:r w:rsidR="00170E64">
        <w:t>he submission</w:t>
      </w:r>
      <w:r w:rsidR="00D5257F">
        <w:t xml:space="preserve"> state</w:t>
      </w:r>
      <w:r w:rsidR="00A300C8">
        <w:t>d</w:t>
      </w:r>
      <w:r w:rsidR="00D5257F">
        <w:t xml:space="preserve"> that</w:t>
      </w:r>
      <w:r w:rsidR="00170E64">
        <w:t xml:space="preserve"> </w:t>
      </w:r>
      <w:r w:rsidR="00BD5375">
        <w:t xml:space="preserve">despite the </w:t>
      </w:r>
      <w:r w:rsidR="00170E64">
        <w:t xml:space="preserve">median OS </w:t>
      </w:r>
      <w:r w:rsidR="00C92BD3">
        <w:t xml:space="preserve">not </w:t>
      </w:r>
      <w:r w:rsidR="00BD5375">
        <w:t xml:space="preserve">being </w:t>
      </w:r>
      <w:r w:rsidR="00C92BD3">
        <w:t>reached for repotrectinib</w:t>
      </w:r>
      <w:r w:rsidR="002325B4">
        <w:t xml:space="preserve"> (</w:t>
      </w:r>
      <w:r w:rsidR="005715B4">
        <w:t>resulting in</w:t>
      </w:r>
      <w:r w:rsidR="00F83895">
        <w:t xml:space="preserve"> </w:t>
      </w:r>
      <w:r w:rsidR="004B2051">
        <w:t xml:space="preserve">the inability to assess </w:t>
      </w:r>
      <w:r w:rsidR="00F83895">
        <w:t>non-inferiority</w:t>
      </w:r>
      <w:r w:rsidR="002325B4">
        <w:t>),</w:t>
      </w:r>
      <w:r w:rsidR="00BD5375">
        <w:t xml:space="preserve"> </w:t>
      </w:r>
      <w:r w:rsidR="00C978E4" w:rsidRPr="00C978E4">
        <w:t xml:space="preserve">the lower bound of the 95% </w:t>
      </w:r>
      <w:r w:rsidR="00C978E4">
        <w:t>CI</w:t>
      </w:r>
      <w:r w:rsidR="00C978E4" w:rsidRPr="00C978E4">
        <w:t xml:space="preserve"> </w:t>
      </w:r>
      <w:r w:rsidR="0084076C">
        <w:t xml:space="preserve">of </w:t>
      </w:r>
      <w:r w:rsidR="00C978E4" w:rsidRPr="00C978E4">
        <w:t xml:space="preserve">37.3 months is greater than </w:t>
      </w:r>
      <w:r w:rsidR="00CC3465">
        <w:t xml:space="preserve">the </w:t>
      </w:r>
      <w:r w:rsidR="00C978E4" w:rsidRPr="00C978E4">
        <w:t xml:space="preserve">median OS </w:t>
      </w:r>
      <w:r w:rsidR="00EE358F">
        <w:t xml:space="preserve">of 31.2 months </w:t>
      </w:r>
      <w:r w:rsidR="00C978E4" w:rsidRPr="00C978E4">
        <w:t>reported in the BFAST trial</w:t>
      </w:r>
      <w:r w:rsidR="00EE358F">
        <w:t xml:space="preserve">. </w:t>
      </w:r>
      <w:r w:rsidR="00336FFC">
        <w:t xml:space="preserve">The </w:t>
      </w:r>
      <w:r w:rsidR="00574176">
        <w:t>applicant claim</w:t>
      </w:r>
      <w:r w:rsidR="00D00DE8">
        <w:t>ed</w:t>
      </w:r>
      <w:r w:rsidR="00574176">
        <w:t xml:space="preserve"> </w:t>
      </w:r>
      <w:r w:rsidR="00BB4CA9">
        <w:t>t</w:t>
      </w:r>
      <w:r w:rsidR="002876F4" w:rsidRPr="002876F4">
        <w:t>his observation supports a conclusion that the median OS for repotrectinib will be greater than the median OS reported in at least one trial of entrectinib (BFAST).</w:t>
      </w:r>
      <w:r w:rsidR="00BB4CA9">
        <w:t xml:space="preserve"> </w:t>
      </w:r>
    </w:p>
    <w:p w14:paraId="36287CE4" w14:textId="15418713" w:rsidR="00292CE6" w:rsidRPr="007A38AF" w:rsidRDefault="00AC54F4" w:rsidP="00CF1A4A">
      <w:pPr>
        <w:pStyle w:val="3-BodyText"/>
      </w:pPr>
      <w:r w:rsidRPr="007A38AF">
        <w:t>Analysis of survival probabilities by KM curves</w:t>
      </w:r>
      <w:r w:rsidRPr="007A38AF" w:rsidDel="00AC54F4">
        <w:t xml:space="preserve"> </w:t>
      </w:r>
      <w:r w:rsidR="006F45EB" w:rsidRPr="007A38AF">
        <w:t>for OS</w:t>
      </w:r>
      <w:r w:rsidR="00AA3FBC" w:rsidRPr="007A38AF">
        <w:t xml:space="preserve"> </w:t>
      </w:r>
      <w:r w:rsidR="006F45EB" w:rsidRPr="007A38AF">
        <w:t xml:space="preserve">at 12 months demonstrated </w:t>
      </w:r>
      <w:r w:rsidR="005E0D9C" w:rsidRPr="007A38AF">
        <w:t xml:space="preserve">a survival rate </w:t>
      </w:r>
      <w:r w:rsidR="009F69E0" w:rsidRPr="007A38AF">
        <w:t xml:space="preserve">of </w:t>
      </w:r>
      <w:r w:rsidR="00C705DA" w:rsidRPr="007A38AF">
        <w:t>92</w:t>
      </w:r>
      <w:r w:rsidR="00320B50" w:rsidRPr="007A38AF">
        <w:t xml:space="preserve">%, </w:t>
      </w:r>
      <w:r w:rsidR="00C705DA" w:rsidRPr="007A38AF">
        <w:t>91%</w:t>
      </w:r>
      <w:r w:rsidR="00027BA7" w:rsidRPr="007A38AF">
        <w:t xml:space="preserve"> and</w:t>
      </w:r>
      <w:r w:rsidR="00C705DA" w:rsidRPr="007A38AF">
        <w:t xml:space="preserve"> 81</w:t>
      </w:r>
      <w:r w:rsidR="00320B50" w:rsidRPr="007A38AF">
        <w:t>% in TRIDENT-1 (</w:t>
      </w:r>
      <w:r w:rsidR="00691F2A" w:rsidRPr="007A38AF">
        <w:t>p</w:t>
      </w:r>
      <w:r w:rsidR="00320B50" w:rsidRPr="007A38AF">
        <w:t>hase 2),</w:t>
      </w:r>
      <w:r w:rsidR="00C705DA" w:rsidRPr="007A38AF">
        <w:t xml:space="preserve"> TRIDENT-1 (</w:t>
      </w:r>
      <w:r w:rsidR="00691F2A" w:rsidRPr="007A38AF">
        <w:t>p</w:t>
      </w:r>
      <w:r w:rsidR="00C705DA" w:rsidRPr="007A38AF">
        <w:t>hase 1 and 2) and</w:t>
      </w:r>
      <w:r w:rsidR="00320B50" w:rsidRPr="007A38AF">
        <w:t xml:space="preserve"> the integrated analysis of </w:t>
      </w:r>
      <w:r w:rsidR="00691F2A" w:rsidRPr="007A38AF">
        <w:t xml:space="preserve">the </w:t>
      </w:r>
      <w:r w:rsidR="00320B50" w:rsidRPr="007A38AF">
        <w:t>ALKA, STARTRK-1 and STARTRK-2 studies, respectively.</w:t>
      </w:r>
      <w:r w:rsidR="00742E61" w:rsidRPr="007A38AF">
        <w:t xml:space="preserve"> </w:t>
      </w:r>
      <w:r w:rsidR="00FA7B67" w:rsidRPr="007A38AF">
        <w:t>BFAST</w:t>
      </w:r>
      <w:r w:rsidR="00F2620C" w:rsidRPr="007A38AF">
        <w:t xml:space="preserve"> did not report </w:t>
      </w:r>
      <w:r w:rsidR="00296100" w:rsidRPr="007A38AF">
        <w:t xml:space="preserve">the </w:t>
      </w:r>
      <w:r w:rsidR="00201AF3" w:rsidRPr="007A38AF">
        <w:t xml:space="preserve">OS </w:t>
      </w:r>
      <w:r w:rsidR="00C07F1F" w:rsidRPr="007A38AF">
        <w:t xml:space="preserve">rate </w:t>
      </w:r>
      <w:r w:rsidR="00201AF3" w:rsidRPr="007A38AF">
        <w:t>at 12 months.</w:t>
      </w:r>
      <w:r w:rsidR="0098547F" w:rsidRPr="007A38AF">
        <w:t xml:space="preserve"> </w:t>
      </w:r>
      <w:r w:rsidR="00B5722F" w:rsidRPr="007A38AF">
        <w:t xml:space="preserve">According to </w:t>
      </w:r>
      <w:r w:rsidR="00292CE6" w:rsidRPr="007A38AF">
        <w:t>the submission</w:t>
      </w:r>
      <w:r w:rsidR="00B5722F" w:rsidRPr="007A38AF">
        <w:t xml:space="preserve"> for</w:t>
      </w:r>
      <w:r w:rsidR="00292CE6" w:rsidRPr="007A38AF">
        <w:t xml:space="preserve"> the assessment of non-inferiority for </w:t>
      </w:r>
      <w:r w:rsidR="000C6F4B" w:rsidRPr="007A38AF">
        <w:t>OS</w:t>
      </w:r>
      <w:r w:rsidR="00292CE6" w:rsidRPr="007A38AF">
        <w:t xml:space="preserve">, the </w:t>
      </w:r>
      <w:r w:rsidR="00FE3759" w:rsidRPr="007A38AF">
        <w:t>percentage</w:t>
      </w:r>
      <w:r w:rsidR="008922AB" w:rsidRPr="007A38AF">
        <w:t xml:space="preserve"> </w:t>
      </w:r>
      <w:r w:rsidR="00292CE6" w:rsidRPr="007A38AF">
        <w:t xml:space="preserve">difference in </w:t>
      </w:r>
      <w:r w:rsidR="00261760" w:rsidRPr="007A38AF">
        <w:t xml:space="preserve">1-year survival rate reported among repotrectinib-treated patients is not more than 6% lower than </w:t>
      </w:r>
      <w:r w:rsidR="005234D4" w:rsidRPr="007A38AF">
        <w:t xml:space="preserve">for </w:t>
      </w:r>
      <w:r w:rsidR="00261760" w:rsidRPr="007A38AF">
        <w:t>entrectinib</w:t>
      </w:r>
      <w:r w:rsidR="005234D4" w:rsidRPr="007A38AF">
        <w:t>-</w:t>
      </w:r>
      <w:r w:rsidR="00261760" w:rsidRPr="007A38AF">
        <w:t>treated patients</w:t>
      </w:r>
      <w:r w:rsidR="00292CE6" w:rsidRPr="007A38AF">
        <w:t xml:space="preserve">, therefore non-inferiority is supported. </w:t>
      </w:r>
      <w:r w:rsidR="0050112E" w:rsidRPr="007A38AF">
        <w:t xml:space="preserve">OS combined KM curves are presented in </w:t>
      </w:r>
      <w:r w:rsidR="0050112E" w:rsidRPr="007A38AF">
        <w:fldChar w:fldCharType="begin"/>
      </w:r>
      <w:r w:rsidR="0050112E" w:rsidRPr="007A38AF">
        <w:instrText xml:space="preserve"> REF _Ref191634033 \h </w:instrText>
      </w:r>
      <w:r w:rsidR="007A38AF" w:rsidRPr="007A38AF">
        <w:instrText xml:space="preserve"> \* MERGEFORMAT </w:instrText>
      </w:r>
      <w:r w:rsidR="0050112E" w:rsidRPr="007A38AF">
        <w:fldChar w:fldCharType="separate"/>
      </w:r>
      <w:r w:rsidR="00D32E93">
        <w:t>Figure</w:t>
      </w:r>
      <w:r w:rsidR="00D32E93">
        <w:rPr>
          <w:noProof/>
        </w:rPr>
        <w:t xml:space="preserve"> 4</w:t>
      </w:r>
      <w:r w:rsidR="0050112E" w:rsidRPr="007A38AF">
        <w:fldChar w:fldCharType="end"/>
      </w:r>
      <w:r w:rsidR="0050112E" w:rsidRPr="007A38AF">
        <w:t>.</w:t>
      </w:r>
      <w:r w:rsidR="00741170" w:rsidRPr="007A38AF">
        <w:t xml:space="preserve"> As discussed in paragraph</w:t>
      </w:r>
      <w:r w:rsidR="00055E96">
        <w:t xml:space="preserve"> </w:t>
      </w:r>
      <w:r w:rsidR="00055E96">
        <w:fldChar w:fldCharType="begin"/>
      </w:r>
      <w:r w:rsidR="00055E96">
        <w:instrText xml:space="preserve"> REF _Ref198202117 \r \h </w:instrText>
      </w:r>
      <w:r w:rsidR="00055E96">
        <w:fldChar w:fldCharType="separate"/>
      </w:r>
      <w:r w:rsidR="00D32E93">
        <w:t>6.20</w:t>
      </w:r>
      <w:r w:rsidR="00055E96">
        <w:fldChar w:fldCharType="end"/>
      </w:r>
      <w:r w:rsidR="00741170" w:rsidRPr="007A38AF">
        <w:t xml:space="preserve">, the OS data presented in </w:t>
      </w:r>
      <w:r w:rsidR="00741170" w:rsidRPr="007A38AF">
        <w:fldChar w:fldCharType="begin"/>
      </w:r>
      <w:r w:rsidR="00741170" w:rsidRPr="007A38AF">
        <w:instrText xml:space="preserve"> REF _Ref191634033 \h  \* MERGEFORMAT </w:instrText>
      </w:r>
      <w:r w:rsidR="00741170" w:rsidRPr="007A38AF">
        <w:fldChar w:fldCharType="separate"/>
      </w:r>
      <w:r w:rsidR="00D32E93">
        <w:t>Figure</w:t>
      </w:r>
      <w:r w:rsidR="00D32E93">
        <w:rPr>
          <w:noProof/>
        </w:rPr>
        <w:t xml:space="preserve"> 4</w:t>
      </w:r>
      <w:r w:rsidR="00741170" w:rsidRPr="007A38AF">
        <w:fldChar w:fldCharType="end"/>
      </w:r>
      <w:r w:rsidR="00741170" w:rsidRPr="007A38AF">
        <w:t xml:space="preserve"> </w:t>
      </w:r>
      <w:r w:rsidR="000D46BD" w:rsidRPr="007A38AF">
        <w:t>is</w:t>
      </w:r>
      <w:r w:rsidR="00741170" w:rsidRPr="007A38AF">
        <w:t xml:space="preserve"> difficult to interpret for the same reasons and, leading to substantial uncertainty for the assessing the clinical claim.</w:t>
      </w:r>
    </w:p>
    <w:p w14:paraId="40D3E12D" w14:textId="2515FEA1" w:rsidR="001C2848" w:rsidRDefault="001C2848" w:rsidP="00D01FD6">
      <w:pPr>
        <w:pStyle w:val="TableFigureHeading"/>
      </w:pPr>
      <w:bookmarkStart w:id="28" w:name="_Ref191634033"/>
      <w:bookmarkStart w:id="29" w:name="_Ref198211571"/>
      <w:r>
        <w:lastRenderedPageBreak/>
        <w:t xml:space="preserve">Figure </w:t>
      </w:r>
      <w:r w:rsidR="007F7DF9">
        <w:fldChar w:fldCharType="begin"/>
      </w:r>
      <w:r w:rsidR="007F7DF9">
        <w:instrText xml:space="preserve"> SEQ Figure \* ARABIC </w:instrText>
      </w:r>
      <w:r w:rsidR="007F7DF9">
        <w:fldChar w:fldCharType="separate"/>
      </w:r>
      <w:r w:rsidR="00D32E93">
        <w:rPr>
          <w:noProof/>
        </w:rPr>
        <w:t>4</w:t>
      </w:r>
      <w:r w:rsidR="007F7DF9">
        <w:rPr>
          <w:noProof/>
        </w:rPr>
        <w:fldChar w:fldCharType="end"/>
      </w:r>
      <w:bookmarkEnd w:id="28"/>
      <w:bookmarkEnd w:id="29"/>
      <w:r>
        <w:t xml:space="preserve">: </w:t>
      </w:r>
      <w:r w:rsidRPr="00E549E2">
        <w:t>Overall survival Kaplan-Meier curves</w:t>
      </w:r>
    </w:p>
    <w:p w14:paraId="1B724707" w14:textId="77777777" w:rsidR="001C2848" w:rsidRDefault="001C2848" w:rsidP="00EB54F1">
      <w:r w:rsidRPr="00F062CE">
        <w:rPr>
          <w:noProof/>
        </w:rPr>
        <w:drawing>
          <wp:inline distT="0" distB="0" distL="0" distR="0" wp14:anchorId="6051B239" wp14:editId="6829CC9F">
            <wp:extent cx="5774145" cy="2951018"/>
            <wp:effectExtent l="0" t="0" r="0" b="1905"/>
            <wp:docPr id="1686134910" name="Picture 1" descr="A graph of a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34910" name="Picture 1" descr="A graph of a patient"/>
                    <pic:cNvPicPr/>
                  </pic:nvPicPr>
                  <pic:blipFill rotWithShape="1">
                    <a:blip r:embed="rId14"/>
                    <a:srcRect t="73151"/>
                    <a:stretch/>
                  </pic:blipFill>
                  <pic:spPr bwMode="auto">
                    <a:xfrm>
                      <a:off x="0" y="0"/>
                      <a:ext cx="5827968" cy="2978526"/>
                    </a:xfrm>
                    <a:prstGeom prst="rect">
                      <a:avLst/>
                    </a:prstGeom>
                    <a:ln>
                      <a:noFill/>
                    </a:ln>
                    <a:extLst>
                      <a:ext uri="{53640926-AAD7-44D8-BBD7-CCE9431645EC}">
                        <a14:shadowObscured xmlns:a14="http://schemas.microsoft.com/office/drawing/2010/main"/>
                      </a:ext>
                    </a:extLst>
                  </pic:spPr>
                </pic:pic>
              </a:graphicData>
            </a:graphic>
          </wp:inline>
        </w:drawing>
      </w:r>
    </w:p>
    <w:p w14:paraId="7205ABC8" w14:textId="68CDE44C" w:rsidR="001C2848" w:rsidRPr="00292CE6" w:rsidRDefault="001C2848" w:rsidP="00F511D9">
      <w:pPr>
        <w:pStyle w:val="TableFigureFooter"/>
      </w:pPr>
      <w:r w:rsidRPr="00E0728D">
        <w:t>Source: Figure 16, p.71 of the submission.</w:t>
      </w:r>
    </w:p>
    <w:p w14:paraId="3A3014D3" w14:textId="3EA133C8" w:rsidR="00D66E5F" w:rsidRDefault="00AC54F4" w:rsidP="00F94DE1">
      <w:pPr>
        <w:pStyle w:val="3-BodyText"/>
      </w:pPr>
      <w:r w:rsidRPr="007A38AF">
        <w:t>For patients with measurable brain metastasis at baseline</w:t>
      </w:r>
      <w:r w:rsidR="006E6D86" w:rsidRPr="007A38AF">
        <w:t xml:space="preserve"> (BL)</w:t>
      </w:r>
      <w:r w:rsidRPr="007A38AF">
        <w:t>, intracranial ORR (</w:t>
      </w:r>
      <w:proofErr w:type="spellStart"/>
      <w:r w:rsidRPr="007A38AF">
        <w:t>icORR</w:t>
      </w:r>
      <w:proofErr w:type="spellEnd"/>
      <w:r w:rsidRPr="007A38AF">
        <w:t>) was 89% (8 of 9 patients) for repotrectinib-treated patients in TRIDENT-1 (phase 1 and phase 2; N = 9) and 49% (25 of 51 patients) for entrectinib-treated patients in the integrated analysis of the ALKA, STARTRK-1 and STARTRK-2 studies.</w:t>
      </w:r>
      <w:r w:rsidR="00B96F67" w:rsidRPr="007A38AF">
        <w:t xml:space="preserve"> </w:t>
      </w:r>
      <w:r w:rsidR="0035070E" w:rsidRPr="007A38AF">
        <w:t xml:space="preserve">Given the relatively small </w:t>
      </w:r>
      <w:r w:rsidR="00171F96" w:rsidRPr="007A38AF">
        <w:t xml:space="preserve">number of patients </w:t>
      </w:r>
      <w:r w:rsidR="00F57617" w:rsidRPr="007A38AF">
        <w:t xml:space="preserve">with </w:t>
      </w:r>
      <w:r w:rsidR="00503474" w:rsidRPr="007A38AF">
        <w:t xml:space="preserve">brain </w:t>
      </w:r>
      <w:r w:rsidR="00E67E36" w:rsidRPr="007A38AF">
        <w:t xml:space="preserve">metastases at </w:t>
      </w:r>
      <w:r w:rsidR="006E6D86" w:rsidRPr="007A38AF">
        <w:t>BL</w:t>
      </w:r>
      <w:r w:rsidR="00E67E36" w:rsidRPr="007A38AF">
        <w:t xml:space="preserve"> </w:t>
      </w:r>
      <w:r w:rsidR="00991AF0" w:rsidRPr="007A38AF">
        <w:t xml:space="preserve">it is difficult to determine </w:t>
      </w:r>
      <w:r w:rsidR="00D62F06" w:rsidRPr="007A38AF">
        <w:t>whether this</w:t>
      </w:r>
      <w:r w:rsidR="00EB1B87" w:rsidRPr="007A38AF">
        <w:t xml:space="preserve"> result is clinically meaningful.</w:t>
      </w:r>
      <w:r w:rsidR="00D041D3" w:rsidRPr="007A38AF">
        <w:t xml:space="preserve"> </w:t>
      </w:r>
      <w:r w:rsidR="00623CB7">
        <w:t>D</w:t>
      </w:r>
      <w:r w:rsidR="004C3CF3" w:rsidRPr="007A38AF">
        <w:t xml:space="preserve">ue to </w:t>
      </w:r>
      <w:r w:rsidR="005E6465" w:rsidRPr="007A38AF">
        <w:t>the</w:t>
      </w:r>
      <w:r w:rsidR="004C3CF3" w:rsidRPr="007A38AF">
        <w:t xml:space="preserve"> observed imbalance in prior treatment history between the repotrectinib and entrectinib trial populations, subgroup analyses stratified by prior treatment were conducted to allow for a more comparable assessment of treatment effects</w:t>
      </w:r>
      <w:r w:rsidR="00A743CE" w:rsidRPr="007A38AF">
        <w:t xml:space="preserve"> (</w:t>
      </w:r>
      <w:r w:rsidR="002A2893" w:rsidRPr="00F94DE1">
        <w:fldChar w:fldCharType="begin"/>
      </w:r>
      <w:r w:rsidR="002A2893" w:rsidRPr="007A38AF">
        <w:instrText xml:space="preserve"> REF _Ref191734798 \h </w:instrText>
      </w:r>
      <w:r w:rsidR="007A38AF" w:rsidRPr="007A38AF">
        <w:instrText xml:space="preserve"> \* MERGEFORMAT </w:instrText>
      </w:r>
      <w:r w:rsidR="002A2893" w:rsidRPr="00F94DE1">
        <w:fldChar w:fldCharType="separate"/>
      </w:r>
      <w:r w:rsidR="00D32E93">
        <w:t>Table</w:t>
      </w:r>
      <w:r w:rsidR="00D32E93">
        <w:rPr>
          <w:noProof/>
        </w:rPr>
        <w:t xml:space="preserve"> 5</w:t>
      </w:r>
      <w:r w:rsidR="002A2893" w:rsidRPr="00F94DE1">
        <w:fldChar w:fldCharType="end"/>
      </w:r>
      <w:r w:rsidR="00A743CE" w:rsidRPr="007A38AF">
        <w:t>)</w:t>
      </w:r>
      <w:r w:rsidR="002A2893" w:rsidRPr="007A38AF">
        <w:t>.</w:t>
      </w:r>
      <w:r w:rsidR="00D04A2A" w:rsidRPr="007A38AF">
        <w:t xml:space="preserve"> </w:t>
      </w:r>
    </w:p>
    <w:p w14:paraId="1814D428" w14:textId="2E1D8E2D" w:rsidR="00361164" w:rsidRPr="00361164" w:rsidRDefault="00597E1F" w:rsidP="00055E96">
      <w:pPr>
        <w:pStyle w:val="3-BodyText"/>
      </w:pPr>
      <w:r w:rsidRPr="007A38AF">
        <w:t xml:space="preserve">When comparing the </w:t>
      </w:r>
      <w:r w:rsidR="00594B38" w:rsidRPr="007A38AF">
        <w:t xml:space="preserve">subgroup of </w:t>
      </w:r>
      <w:r w:rsidR="00EE1F8E" w:rsidRPr="007A38AF">
        <w:t xml:space="preserve">patients without prior chemotherapy in TRIDENT-1 to the integrated analysis </w:t>
      </w:r>
      <w:r w:rsidR="00093EEF" w:rsidRPr="007A38AF">
        <w:t>of ALKA, STARTRK-1 and STARTRK-2</w:t>
      </w:r>
      <w:r w:rsidR="00594B38" w:rsidRPr="007A38AF">
        <w:t xml:space="preserve">, </w:t>
      </w:r>
      <w:r w:rsidR="00D230F9" w:rsidRPr="007A38AF">
        <w:t xml:space="preserve">the </w:t>
      </w:r>
      <w:r w:rsidR="00594B38" w:rsidRPr="007A38AF">
        <w:t>results show</w:t>
      </w:r>
      <w:r w:rsidR="007E022B" w:rsidRPr="007A38AF">
        <w:t xml:space="preserve"> </w:t>
      </w:r>
      <w:r w:rsidR="00700C60" w:rsidRPr="007A38AF">
        <w:t xml:space="preserve">that </w:t>
      </w:r>
      <w:r w:rsidR="00D175E4" w:rsidRPr="007A38AF">
        <w:t xml:space="preserve">ORR </w:t>
      </w:r>
      <w:r w:rsidR="00925F41" w:rsidRPr="007A38AF">
        <w:t>was higher in</w:t>
      </w:r>
      <w:r w:rsidR="00CB0588" w:rsidRPr="007A38AF">
        <w:t xml:space="preserve"> repotrectinib</w:t>
      </w:r>
      <w:r w:rsidR="00664E84" w:rsidRPr="007A38AF">
        <w:t xml:space="preserve">-treated patients </w:t>
      </w:r>
      <w:r w:rsidR="00A64B3D" w:rsidRPr="007A38AF">
        <w:t>(</w:t>
      </w:r>
      <w:r w:rsidR="00F33AA5" w:rsidRPr="007A38AF">
        <w:t xml:space="preserve">82%) </w:t>
      </w:r>
      <w:r w:rsidR="0059360A" w:rsidRPr="007A38AF">
        <w:t xml:space="preserve">than </w:t>
      </w:r>
      <w:r w:rsidR="00A64B3D" w:rsidRPr="007A38AF">
        <w:t>for entrectinib-treated patients</w:t>
      </w:r>
      <w:r w:rsidR="00F33AA5" w:rsidRPr="007A38AF">
        <w:t xml:space="preserve"> (69%)</w:t>
      </w:r>
      <w:r w:rsidR="00A64B3D" w:rsidRPr="007A38AF">
        <w:t xml:space="preserve">. </w:t>
      </w:r>
      <w:r w:rsidR="00183832" w:rsidRPr="007A38AF">
        <w:t>Median PFS was</w:t>
      </w:r>
      <w:r w:rsidR="00183832">
        <w:t xml:space="preserve"> </w:t>
      </w:r>
      <w:r w:rsidR="00183832" w:rsidRPr="007A38AF">
        <w:t>longer in repotrectinib-treated patients (</w:t>
      </w:r>
      <w:r w:rsidR="00821F95" w:rsidRPr="007A38AF">
        <w:t>37.1 months</w:t>
      </w:r>
      <w:r w:rsidR="00183832" w:rsidRPr="007A38AF">
        <w:t xml:space="preserve">) than </w:t>
      </w:r>
      <w:r w:rsidR="00CD0CBA" w:rsidRPr="007A38AF">
        <w:t xml:space="preserve">in </w:t>
      </w:r>
      <w:r w:rsidR="00183832" w:rsidRPr="007A38AF">
        <w:t>entrectinib-treated patients (</w:t>
      </w:r>
      <w:r w:rsidR="00821F95" w:rsidRPr="007A38AF">
        <w:t>17.7 months</w:t>
      </w:r>
      <w:r w:rsidR="00183832" w:rsidRPr="007A38AF">
        <w:t>)</w:t>
      </w:r>
      <w:r w:rsidR="00E16E4C" w:rsidRPr="007A38AF">
        <w:t xml:space="preserve">, and median DOR was comparable </w:t>
      </w:r>
      <w:r w:rsidR="004136A9" w:rsidRPr="007A38AF">
        <w:t>between repotrectinib-treated patients (33</w:t>
      </w:r>
      <w:r w:rsidR="00241545" w:rsidRPr="007A38AF">
        <w:t>.6</w:t>
      </w:r>
      <w:r w:rsidR="004136A9" w:rsidRPr="007A38AF">
        <w:t xml:space="preserve"> months) </w:t>
      </w:r>
      <w:r w:rsidR="00241545" w:rsidRPr="007A38AF">
        <w:t>and</w:t>
      </w:r>
      <w:r w:rsidR="004136A9" w:rsidRPr="007A38AF">
        <w:t xml:space="preserve"> entrectinib-treated patients</w:t>
      </w:r>
      <w:r w:rsidR="00BB2F71" w:rsidRPr="007A38AF">
        <w:t xml:space="preserve"> (35.6 months).</w:t>
      </w:r>
      <w:r w:rsidR="00D73B09" w:rsidRPr="007A38AF">
        <w:t xml:space="preserve"> </w:t>
      </w:r>
      <w:r w:rsidR="00B043BA" w:rsidRPr="007A38AF">
        <w:t xml:space="preserve">The </w:t>
      </w:r>
      <w:r w:rsidR="00765CD1" w:rsidRPr="007A38AF">
        <w:t xml:space="preserve">submission concludes that </w:t>
      </w:r>
      <w:r w:rsidR="00300523" w:rsidRPr="007A38AF">
        <w:t xml:space="preserve">the results of the subgroup analysis </w:t>
      </w:r>
      <w:r w:rsidR="003A0454" w:rsidRPr="007A38AF">
        <w:t>suggest that repotrectinib demonstrates at least non-inferior</w:t>
      </w:r>
      <w:r w:rsidR="00083C3D" w:rsidRPr="007A38AF">
        <w:t xml:space="preserve"> </w:t>
      </w:r>
      <w:r w:rsidR="003A0454" w:rsidRPr="007A38AF">
        <w:t>efficacy compared with entrectinib.</w:t>
      </w:r>
      <w:r w:rsidR="00966102" w:rsidRPr="007A38AF">
        <w:t xml:space="preserve"> </w:t>
      </w:r>
      <w:r w:rsidR="0005077C" w:rsidRPr="007A38AF">
        <w:t>As discussed in paragraph</w:t>
      </w:r>
      <w:r w:rsidR="00055E96">
        <w:t xml:space="preserve"> </w:t>
      </w:r>
      <w:r w:rsidR="00055E96">
        <w:fldChar w:fldCharType="begin"/>
      </w:r>
      <w:r w:rsidR="00055E96">
        <w:instrText xml:space="preserve"> REF _Ref198202117 \r \h </w:instrText>
      </w:r>
      <w:r w:rsidR="00055E96">
        <w:fldChar w:fldCharType="separate"/>
      </w:r>
      <w:r w:rsidR="00D32E93">
        <w:t>6.20</w:t>
      </w:r>
      <w:r w:rsidR="00055E96">
        <w:fldChar w:fldCharType="end"/>
      </w:r>
      <w:r w:rsidR="00997285">
        <w:t>,</w:t>
      </w:r>
      <w:r w:rsidR="0005077C" w:rsidRPr="007A38AF">
        <w:t xml:space="preserve"> the subgroup </w:t>
      </w:r>
      <w:r w:rsidR="004902AD" w:rsidRPr="007A38AF">
        <w:t>analyses</w:t>
      </w:r>
      <w:r w:rsidR="0005077C" w:rsidRPr="007A38AF">
        <w:t xml:space="preserve"> presented in </w:t>
      </w:r>
      <w:r w:rsidR="0005077C" w:rsidRPr="007A38AF">
        <w:fldChar w:fldCharType="begin"/>
      </w:r>
      <w:r w:rsidR="0005077C" w:rsidRPr="007A38AF">
        <w:instrText xml:space="preserve"> REF _Ref191734798 \h  \* MERGEFORMAT </w:instrText>
      </w:r>
      <w:r w:rsidR="0005077C" w:rsidRPr="007A38AF">
        <w:fldChar w:fldCharType="separate"/>
      </w:r>
      <w:r w:rsidR="00D32E93">
        <w:t>Table</w:t>
      </w:r>
      <w:r w:rsidR="00D32E93">
        <w:rPr>
          <w:noProof/>
        </w:rPr>
        <w:t xml:space="preserve"> 5</w:t>
      </w:r>
      <w:r w:rsidR="0005077C" w:rsidRPr="007A38AF">
        <w:fldChar w:fldCharType="end"/>
      </w:r>
      <w:r w:rsidR="0005077C" w:rsidRPr="007A38AF">
        <w:t xml:space="preserve"> </w:t>
      </w:r>
      <w:r w:rsidR="004902AD" w:rsidRPr="007A38AF">
        <w:t>are</w:t>
      </w:r>
      <w:r w:rsidR="0005077C" w:rsidRPr="007A38AF">
        <w:t xml:space="preserve"> difficult to interpret for the same reasons.</w:t>
      </w:r>
      <w:r w:rsidR="0005077C" w:rsidRPr="00055E96">
        <w:rPr>
          <w:i/>
          <w:iCs/>
        </w:rPr>
        <w:t xml:space="preserve"> </w:t>
      </w:r>
    </w:p>
    <w:p w14:paraId="1D6DC1C6" w14:textId="172A85F8" w:rsidR="00B338EC" w:rsidRDefault="00E14256" w:rsidP="00B338EC">
      <w:pPr>
        <w:pStyle w:val="Caption"/>
      </w:pPr>
      <w:bookmarkStart w:id="30" w:name="_Ref191734798"/>
      <w:r>
        <w:lastRenderedPageBreak/>
        <w:t xml:space="preserve">Table </w:t>
      </w:r>
      <w:r w:rsidR="007F7DF9">
        <w:fldChar w:fldCharType="begin"/>
      </w:r>
      <w:r w:rsidR="007F7DF9">
        <w:instrText xml:space="preserve"> SEQ Table \* ARABIC </w:instrText>
      </w:r>
      <w:r w:rsidR="007F7DF9">
        <w:fldChar w:fldCharType="separate"/>
      </w:r>
      <w:r w:rsidR="00D32E93">
        <w:rPr>
          <w:noProof/>
        </w:rPr>
        <w:t>5</w:t>
      </w:r>
      <w:r w:rsidR="007F7DF9">
        <w:rPr>
          <w:noProof/>
        </w:rPr>
        <w:fldChar w:fldCharType="end"/>
      </w:r>
      <w:bookmarkEnd w:id="30"/>
      <w:r w:rsidR="00A0711C">
        <w:t xml:space="preserve">: </w:t>
      </w:r>
      <w:r w:rsidR="00A0711C" w:rsidRPr="00A0711C">
        <w:t>Subgroup analysis</w:t>
      </w:r>
      <w:r w:rsidR="00A0711C">
        <w:t xml:space="preserve">: </w:t>
      </w:r>
      <w:r w:rsidR="00CE7B9D">
        <w:t>e</w:t>
      </w:r>
      <w:r w:rsidR="008F135B">
        <w:t xml:space="preserve">ffectiveness </w:t>
      </w:r>
      <w:r w:rsidR="00A0711C" w:rsidRPr="00A0711C">
        <w:t>results by prior systemic therapy</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2284"/>
        <w:gridCol w:w="3685"/>
      </w:tblGrid>
      <w:tr w:rsidR="00DC3891" w:rsidRPr="0098262F" w14:paraId="13C5916C" w14:textId="77777777" w:rsidTr="00B3019C">
        <w:trPr>
          <w:cantSplit/>
          <w:tblHeader/>
        </w:trPr>
        <w:tc>
          <w:tcPr>
            <w:tcW w:w="1657" w:type="pct"/>
            <w:vAlign w:val="center"/>
          </w:tcPr>
          <w:p w14:paraId="7FF07C81" w14:textId="77777777" w:rsidR="00776CA3" w:rsidRPr="0098262F" w:rsidRDefault="00776CA3" w:rsidP="00776CA3">
            <w:pPr>
              <w:pStyle w:val="In-tableHeading"/>
              <w:rPr>
                <w:lang w:val="en-AU"/>
              </w:rPr>
            </w:pPr>
          </w:p>
        </w:tc>
        <w:tc>
          <w:tcPr>
            <w:tcW w:w="1279" w:type="pct"/>
          </w:tcPr>
          <w:p w14:paraId="02410FE5" w14:textId="77777777" w:rsidR="002F0DD9" w:rsidRDefault="002F0DD9" w:rsidP="002F0DD9">
            <w:pPr>
              <w:pStyle w:val="In-tableHeading"/>
              <w:jc w:val="center"/>
            </w:pPr>
            <w:r>
              <w:t xml:space="preserve">Repotrectinib </w:t>
            </w:r>
          </w:p>
          <w:p w14:paraId="576EDE51" w14:textId="1B607CD5" w:rsidR="002F0DD9" w:rsidRDefault="002F0DD9" w:rsidP="00DC3891">
            <w:pPr>
              <w:pStyle w:val="In-tableHeading"/>
              <w:jc w:val="center"/>
            </w:pPr>
            <w:r>
              <w:t>(TRIDENT-1 Phase 1 &amp; 2)</w:t>
            </w:r>
          </w:p>
          <w:p w14:paraId="448AB011" w14:textId="00023D0F" w:rsidR="00DF0643" w:rsidRPr="00776CA3" w:rsidRDefault="000B7820" w:rsidP="002F0DD9">
            <w:pPr>
              <w:pStyle w:val="In-tableHeading"/>
              <w:jc w:val="center"/>
            </w:pPr>
            <w:r>
              <w:t>n</w:t>
            </w:r>
            <w:r w:rsidR="0005311D">
              <w:t>=71</w:t>
            </w:r>
          </w:p>
        </w:tc>
        <w:tc>
          <w:tcPr>
            <w:tcW w:w="2064" w:type="pct"/>
          </w:tcPr>
          <w:p w14:paraId="254D7220" w14:textId="77777777" w:rsidR="00F668D5" w:rsidRDefault="00F668D5" w:rsidP="00F668D5">
            <w:pPr>
              <w:pStyle w:val="In-tableHeading"/>
              <w:jc w:val="center"/>
            </w:pPr>
            <w:r>
              <w:t>Entrectinib</w:t>
            </w:r>
          </w:p>
          <w:p w14:paraId="27200B6B" w14:textId="77777777" w:rsidR="00F668D5" w:rsidRDefault="00F668D5" w:rsidP="00F668D5">
            <w:pPr>
              <w:pStyle w:val="In-tableHeading"/>
              <w:jc w:val="center"/>
            </w:pPr>
            <w:r>
              <w:t>(ALKA, STARTRK-1 &amp; 2 integrated analysis)</w:t>
            </w:r>
          </w:p>
          <w:p w14:paraId="353D26CE" w14:textId="1362E0E4" w:rsidR="0005311D" w:rsidRPr="00776CA3" w:rsidRDefault="00F668D5" w:rsidP="00F668D5">
            <w:pPr>
              <w:pStyle w:val="In-tableHeading"/>
              <w:jc w:val="center"/>
            </w:pPr>
            <w:r>
              <w:t>n=172</w:t>
            </w:r>
          </w:p>
        </w:tc>
      </w:tr>
      <w:tr w:rsidR="00DC3891" w:rsidRPr="00352617" w14:paraId="68335BE1" w14:textId="77777777" w:rsidTr="00B3019C">
        <w:trPr>
          <w:cantSplit/>
          <w:tblHeader/>
        </w:trPr>
        <w:tc>
          <w:tcPr>
            <w:tcW w:w="1657" w:type="pct"/>
            <w:vAlign w:val="center"/>
          </w:tcPr>
          <w:p w14:paraId="1D68AB70" w14:textId="77777777" w:rsidR="003A013A" w:rsidRPr="0098262F" w:rsidRDefault="003A013A" w:rsidP="003A013A">
            <w:pPr>
              <w:pStyle w:val="In-tableHeading"/>
              <w:rPr>
                <w:lang w:val="en-AU"/>
              </w:rPr>
            </w:pPr>
            <w:r>
              <w:rPr>
                <w:rFonts w:eastAsiaTheme="minorHAnsi"/>
              </w:rPr>
              <w:t>Follow-up, median (months)</w:t>
            </w:r>
          </w:p>
        </w:tc>
        <w:tc>
          <w:tcPr>
            <w:tcW w:w="1279" w:type="pct"/>
          </w:tcPr>
          <w:p w14:paraId="53859AF0" w14:textId="2ACBA3F1" w:rsidR="003A013A" w:rsidRPr="003A013A" w:rsidRDefault="003A013A" w:rsidP="003A013A">
            <w:pPr>
              <w:pStyle w:val="In-tableHeading"/>
              <w:jc w:val="center"/>
              <w:rPr>
                <w:b w:val="0"/>
                <w:bCs/>
                <w:lang w:val="en-AU"/>
              </w:rPr>
            </w:pPr>
            <w:r w:rsidRPr="003A013A">
              <w:rPr>
                <w:rFonts w:eastAsiaTheme="minorHAnsi"/>
                <w:b w:val="0"/>
                <w:bCs/>
              </w:rPr>
              <w:t>33.9</w:t>
            </w:r>
          </w:p>
        </w:tc>
        <w:tc>
          <w:tcPr>
            <w:tcW w:w="2064" w:type="pct"/>
          </w:tcPr>
          <w:p w14:paraId="4795CC51" w14:textId="4CAD1C50" w:rsidR="003A013A" w:rsidRPr="003A013A" w:rsidRDefault="003A013A" w:rsidP="003A013A">
            <w:pPr>
              <w:pStyle w:val="In-tableHeading"/>
              <w:jc w:val="center"/>
              <w:rPr>
                <w:b w:val="0"/>
                <w:bCs/>
                <w:lang w:val="en-AU"/>
              </w:rPr>
            </w:pPr>
            <w:r w:rsidRPr="003A013A">
              <w:rPr>
                <w:rFonts w:eastAsiaTheme="minorHAnsi"/>
                <w:b w:val="0"/>
                <w:bCs/>
              </w:rPr>
              <w:t>37.8</w:t>
            </w:r>
          </w:p>
        </w:tc>
      </w:tr>
      <w:tr w:rsidR="00DC3891" w:rsidRPr="0098262F" w14:paraId="7C0FBB73" w14:textId="77777777" w:rsidTr="00B3019C">
        <w:trPr>
          <w:cantSplit/>
        </w:trPr>
        <w:tc>
          <w:tcPr>
            <w:tcW w:w="1657" w:type="pct"/>
          </w:tcPr>
          <w:p w14:paraId="445C673B" w14:textId="316EAEC2" w:rsidR="00214C20" w:rsidRPr="00EC029F" w:rsidRDefault="00214C20" w:rsidP="00214C20">
            <w:pPr>
              <w:pStyle w:val="TableText0"/>
              <w:rPr>
                <w:b/>
                <w:bCs w:val="0"/>
              </w:rPr>
            </w:pPr>
            <w:r w:rsidRPr="00EC029F">
              <w:rPr>
                <w:rFonts w:eastAsiaTheme="minorEastAsia" w:cs="Arial"/>
                <w:b/>
                <w:bCs w:val="0"/>
                <w:color w:val="222222"/>
              </w:rPr>
              <w:t>Prior chemotherapy, n (%)</w:t>
            </w:r>
          </w:p>
        </w:tc>
        <w:tc>
          <w:tcPr>
            <w:tcW w:w="1279" w:type="pct"/>
          </w:tcPr>
          <w:p w14:paraId="27F12DA8" w14:textId="104EFC29" w:rsidR="00214C20" w:rsidRPr="0098262F" w:rsidRDefault="00214C20" w:rsidP="00214C20">
            <w:pPr>
              <w:pStyle w:val="TableText0"/>
              <w:jc w:val="center"/>
              <w:rPr>
                <w:rFonts w:cs="Arial"/>
              </w:rPr>
            </w:pPr>
          </w:p>
        </w:tc>
        <w:tc>
          <w:tcPr>
            <w:tcW w:w="2064" w:type="pct"/>
          </w:tcPr>
          <w:p w14:paraId="6A715D18" w14:textId="7C8EE0B2" w:rsidR="00214C20" w:rsidRPr="0098262F" w:rsidRDefault="00214C20" w:rsidP="00214C20">
            <w:pPr>
              <w:pStyle w:val="TableText0"/>
              <w:jc w:val="center"/>
              <w:rPr>
                <w:rFonts w:cs="Arial"/>
              </w:rPr>
            </w:pPr>
          </w:p>
        </w:tc>
      </w:tr>
      <w:tr w:rsidR="00DC3891" w:rsidRPr="0098262F" w14:paraId="30701409" w14:textId="77777777" w:rsidTr="00B3019C">
        <w:trPr>
          <w:cantSplit/>
        </w:trPr>
        <w:tc>
          <w:tcPr>
            <w:tcW w:w="1657" w:type="pct"/>
          </w:tcPr>
          <w:p w14:paraId="02972C1C" w14:textId="661D3302" w:rsidR="00106113" w:rsidRPr="0098262F" w:rsidRDefault="004D35C7" w:rsidP="00106113">
            <w:pPr>
              <w:pStyle w:val="TableText0"/>
              <w:ind w:left="720"/>
            </w:pPr>
            <w:r>
              <w:rPr>
                <w:rFonts w:eastAsiaTheme="minorHAnsi"/>
              </w:rPr>
              <w:t>w</w:t>
            </w:r>
            <w:r w:rsidR="00106113">
              <w:rPr>
                <w:rFonts w:eastAsiaTheme="minorHAnsi"/>
              </w:rPr>
              <w:t>ith prior chemotherapy</w:t>
            </w:r>
          </w:p>
        </w:tc>
        <w:tc>
          <w:tcPr>
            <w:tcW w:w="1279" w:type="pct"/>
          </w:tcPr>
          <w:p w14:paraId="7C83CF10" w14:textId="2E469B40" w:rsidR="00106113" w:rsidRPr="0098262F" w:rsidRDefault="00106113" w:rsidP="00106113">
            <w:pPr>
              <w:pStyle w:val="TableText0"/>
              <w:jc w:val="center"/>
              <w:rPr>
                <w:rFonts w:cs="Arial"/>
              </w:rPr>
            </w:pPr>
            <w:r>
              <w:rPr>
                <w:rFonts w:eastAsiaTheme="minorHAnsi"/>
              </w:rPr>
              <w:t>20</w:t>
            </w:r>
          </w:p>
        </w:tc>
        <w:tc>
          <w:tcPr>
            <w:tcW w:w="2064" w:type="pct"/>
          </w:tcPr>
          <w:p w14:paraId="67AB8F0D" w14:textId="38900CCC" w:rsidR="00106113" w:rsidRPr="0098262F" w:rsidRDefault="00106113" w:rsidP="00106113">
            <w:pPr>
              <w:pStyle w:val="TableText0"/>
              <w:jc w:val="center"/>
              <w:rPr>
                <w:rFonts w:cs="Arial"/>
              </w:rPr>
            </w:pPr>
            <w:r w:rsidRPr="004F1446">
              <w:rPr>
                <w:rFonts w:cs="Arial"/>
              </w:rPr>
              <w:t>–</w:t>
            </w:r>
          </w:p>
        </w:tc>
      </w:tr>
      <w:tr w:rsidR="00DC3891" w:rsidRPr="0098262F" w14:paraId="1881AA22" w14:textId="77777777" w:rsidTr="00B3019C">
        <w:trPr>
          <w:cantSplit/>
        </w:trPr>
        <w:tc>
          <w:tcPr>
            <w:tcW w:w="1657" w:type="pct"/>
          </w:tcPr>
          <w:p w14:paraId="56BD7157" w14:textId="093AC31C" w:rsidR="00106113" w:rsidRPr="0098262F" w:rsidRDefault="004D35C7" w:rsidP="00106113">
            <w:pPr>
              <w:pStyle w:val="TableText0"/>
              <w:ind w:left="720"/>
            </w:pPr>
            <w:r>
              <w:rPr>
                <w:rFonts w:eastAsiaTheme="minorHAnsi"/>
              </w:rPr>
              <w:t>w</w:t>
            </w:r>
            <w:r w:rsidR="00106113">
              <w:rPr>
                <w:rFonts w:eastAsiaTheme="minorHAnsi"/>
              </w:rPr>
              <w:t>ithout prior chemotherapy</w:t>
            </w:r>
          </w:p>
        </w:tc>
        <w:tc>
          <w:tcPr>
            <w:tcW w:w="1279" w:type="pct"/>
          </w:tcPr>
          <w:p w14:paraId="3CB1E8CD" w14:textId="5EABA8C1" w:rsidR="00106113" w:rsidRPr="0098262F" w:rsidRDefault="00106113" w:rsidP="00106113">
            <w:pPr>
              <w:pStyle w:val="TableText0"/>
              <w:jc w:val="center"/>
              <w:rPr>
                <w:rFonts w:cs="Arial"/>
              </w:rPr>
            </w:pPr>
            <w:r>
              <w:rPr>
                <w:rFonts w:eastAsiaTheme="minorHAnsi"/>
              </w:rPr>
              <w:t>51</w:t>
            </w:r>
          </w:p>
        </w:tc>
        <w:tc>
          <w:tcPr>
            <w:tcW w:w="2064" w:type="pct"/>
          </w:tcPr>
          <w:p w14:paraId="103CE448" w14:textId="219DA926" w:rsidR="00106113" w:rsidRPr="0098262F" w:rsidRDefault="00106113" w:rsidP="00106113">
            <w:pPr>
              <w:pStyle w:val="TableText0"/>
              <w:jc w:val="center"/>
              <w:rPr>
                <w:rFonts w:cs="Arial"/>
              </w:rPr>
            </w:pPr>
            <w:r w:rsidRPr="004F1446">
              <w:rPr>
                <w:rFonts w:cs="Arial"/>
              </w:rPr>
              <w:t>–</w:t>
            </w:r>
          </w:p>
        </w:tc>
      </w:tr>
      <w:tr w:rsidR="00DC3891" w:rsidRPr="0098262F" w14:paraId="4C15A8F8" w14:textId="77777777" w:rsidTr="00B3019C">
        <w:trPr>
          <w:cantSplit/>
        </w:trPr>
        <w:tc>
          <w:tcPr>
            <w:tcW w:w="1657" w:type="pct"/>
          </w:tcPr>
          <w:p w14:paraId="41689E16" w14:textId="2E5BD035" w:rsidR="00214C20" w:rsidRPr="0098262F" w:rsidRDefault="004D35C7" w:rsidP="00214C20">
            <w:pPr>
              <w:pStyle w:val="TableText0"/>
              <w:ind w:left="720"/>
            </w:pPr>
            <w:r>
              <w:rPr>
                <w:rFonts w:eastAsiaTheme="minorHAnsi"/>
              </w:rPr>
              <w:t>n</w:t>
            </w:r>
            <w:r w:rsidR="00214C20">
              <w:rPr>
                <w:rFonts w:eastAsiaTheme="minorHAnsi"/>
              </w:rPr>
              <w:t>o prior systemic therapy</w:t>
            </w:r>
          </w:p>
        </w:tc>
        <w:tc>
          <w:tcPr>
            <w:tcW w:w="1279" w:type="pct"/>
          </w:tcPr>
          <w:p w14:paraId="6585939F" w14:textId="5F2E2BC6" w:rsidR="00106113" w:rsidRPr="00106113" w:rsidRDefault="00106113" w:rsidP="00106113">
            <w:pPr>
              <w:pStyle w:val="TableText0"/>
              <w:jc w:val="center"/>
              <w:rPr>
                <w:rFonts w:eastAsiaTheme="minorHAnsi"/>
              </w:rPr>
            </w:pPr>
            <w:r w:rsidRPr="00557EA2">
              <w:rPr>
                <w:rFonts w:cs="Arial"/>
              </w:rPr>
              <w:t>–</w:t>
            </w:r>
          </w:p>
        </w:tc>
        <w:tc>
          <w:tcPr>
            <w:tcW w:w="2064" w:type="pct"/>
          </w:tcPr>
          <w:p w14:paraId="507D2E9A" w14:textId="4C4975AE" w:rsidR="00214C20" w:rsidRPr="0098262F" w:rsidRDefault="00214C20" w:rsidP="00214C20">
            <w:pPr>
              <w:pStyle w:val="TableText0"/>
              <w:jc w:val="center"/>
              <w:rPr>
                <w:rFonts w:cs="Arial"/>
              </w:rPr>
            </w:pPr>
            <w:r>
              <w:rPr>
                <w:rFonts w:eastAsiaTheme="minorHAnsi"/>
              </w:rPr>
              <w:t>67</w:t>
            </w:r>
          </w:p>
        </w:tc>
      </w:tr>
      <w:tr w:rsidR="00DC3891" w:rsidRPr="0098262F" w14:paraId="6C0BB6EE" w14:textId="77777777" w:rsidTr="00B3019C">
        <w:trPr>
          <w:cantSplit/>
        </w:trPr>
        <w:tc>
          <w:tcPr>
            <w:tcW w:w="1657" w:type="pct"/>
          </w:tcPr>
          <w:p w14:paraId="76000377" w14:textId="0AF95FC5" w:rsidR="00214C20" w:rsidRPr="00EC029F" w:rsidRDefault="00CA65C6" w:rsidP="00214C20">
            <w:pPr>
              <w:pStyle w:val="TableText0"/>
              <w:rPr>
                <w:b/>
                <w:bCs w:val="0"/>
              </w:rPr>
            </w:pPr>
            <w:r>
              <w:rPr>
                <w:rFonts w:eastAsiaTheme="minorHAnsi"/>
                <w:b/>
                <w:bCs w:val="0"/>
              </w:rPr>
              <w:t>ORR</w:t>
            </w:r>
            <w:r w:rsidR="00214C20" w:rsidRPr="00EC029F">
              <w:rPr>
                <w:rFonts w:eastAsiaTheme="minorHAnsi"/>
                <w:b/>
                <w:bCs w:val="0"/>
              </w:rPr>
              <w:t>, % (95% CI)</w:t>
            </w:r>
          </w:p>
        </w:tc>
        <w:tc>
          <w:tcPr>
            <w:tcW w:w="1279" w:type="pct"/>
          </w:tcPr>
          <w:p w14:paraId="7991D01B" w14:textId="04DEFF21" w:rsidR="00214C20" w:rsidRPr="0098262F" w:rsidRDefault="00214C20" w:rsidP="00214C20">
            <w:pPr>
              <w:pStyle w:val="TableText0"/>
              <w:jc w:val="center"/>
              <w:rPr>
                <w:rFonts w:cs="Arial"/>
              </w:rPr>
            </w:pPr>
          </w:p>
        </w:tc>
        <w:tc>
          <w:tcPr>
            <w:tcW w:w="2064" w:type="pct"/>
          </w:tcPr>
          <w:p w14:paraId="69E9A0F4" w14:textId="2FBD1BC4" w:rsidR="00214C20" w:rsidRPr="0098262F" w:rsidRDefault="00214C20" w:rsidP="00214C20">
            <w:pPr>
              <w:pStyle w:val="TableText0"/>
              <w:jc w:val="center"/>
              <w:rPr>
                <w:rFonts w:cs="Arial"/>
              </w:rPr>
            </w:pPr>
          </w:p>
        </w:tc>
      </w:tr>
      <w:tr w:rsidR="00DC3891" w:rsidRPr="0098262F" w14:paraId="3C0869D6" w14:textId="77777777" w:rsidTr="00B3019C">
        <w:trPr>
          <w:cantSplit/>
        </w:trPr>
        <w:tc>
          <w:tcPr>
            <w:tcW w:w="1657" w:type="pct"/>
          </w:tcPr>
          <w:p w14:paraId="1875B8B5" w14:textId="1BDBAF88" w:rsidR="00106113" w:rsidRPr="0098262F" w:rsidRDefault="00A541F5" w:rsidP="00106113">
            <w:pPr>
              <w:pStyle w:val="TableText0"/>
              <w:ind w:left="720"/>
            </w:pPr>
            <w:r>
              <w:rPr>
                <w:rFonts w:eastAsiaTheme="minorHAnsi"/>
              </w:rPr>
              <w:t>w</w:t>
            </w:r>
            <w:r w:rsidR="00106113">
              <w:rPr>
                <w:rFonts w:eastAsiaTheme="minorHAnsi"/>
              </w:rPr>
              <w:t>ith prior chemotherapy</w:t>
            </w:r>
          </w:p>
        </w:tc>
        <w:tc>
          <w:tcPr>
            <w:tcW w:w="1279" w:type="pct"/>
          </w:tcPr>
          <w:p w14:paraId="773BAF1F" w14:textId="393474DF" w:rsidR="00106113" w:rsidRPr="0098262F" w:rsidRDefault="00106113" w:rsidP="00106113">
            <w:pPr>
              <w:pStyle w:val="TableText0"/>
              <w:jc w:val="center"/>
              <w:rPr>
                <w:rFonts w:cs="Arial"/>
              </w:rPr>
            </w:pPr>
            <w:r w:rsidRPr="00FF1207">
              <w:rPr>
                <w:rFonts w:eastAsiaTheme="minorHAnsi"/>
              </w:rPr>
              <w:t>70 (46</w:t>
            </w:r>
            <w:r>
              <w:rPr>
                <w:rFonts w:eastAsiaTheme="minorHAnsi"/>
              </w:rPr>
              <w:t xml:space="preserve">, </w:t>
            </w:r>
            <w:r w:rsidRPr="00FF1207">
              <w:rPr>
                <w:rFonts w:eastAsiaTheme="minorHAnsi"/>
              </w:rPr>
              <w:t>88)</w:t>
            </w:r>
          </w:p>
        </w:tc>
        <w:tc>
          <w:tcPr>
            <w:tcW w:w="2064" w:type="pct"/>
          </w:tcPr>
          <w:p w14:paraId="47BA4161" w14:textId="6A894781" w:rsidR="00106113" w:rsidRPr="0098262F" w:rsidRDefault="00106113" w:rsidP="00106113">
            <w:pPr>
              <w:pStyle w:val="TableText0"/>
              <w:jc w:val="center"/>
              <w:rPr>
                <w:rFonts w:cs="Arial"/>
              </w:rPr>
            </w:pPr>
            <w:r w:rsidRPr="004230C7">
              <w:rPr>
                <w:rFonts w:cs="Arial"/>
              </w:rPr>
              <w:t>–</w:t>
            </w:r>
          </w:p>
        </w:tc>
      </w:tr>
      <w:tr w:rsidR="00106113" w:rsidRPr="0098262F" w14:paraId="03F55209" w14:textId="77777777" w:rsidTr="00B3019C">
        <w:trPr>
          <w:cantSplit/>
        </w:trPr>
        <w:tc>
          <w:tcPr>
            <w:tcW w:w="1657" w:type="pct"/>
          </w:tcPr>
          <w:p w14:paraId="119A3CA3" w14:textId="55E9B944" w:rsidR="00106113" w:rsidRPr="7502E591" w:rsidRDefault="00A541F5" w:rsidP="00106113">
            <w:pPr>
              <w:pStyle w:val="TableText0"/>
              <w:ind w:left="720"/>
              <w:rPr>
                <w:rFonts w:eastAsiaTheme="minorEastAsia"/>
              </w:rPr>
            </w:pPr>
            <w:r>
              <w:rPr>
                <w:rFonts w:eastAsiaTheme="minorHAnsi"/>
              </w:rPr>
              <w:t>w</w:t>
            </w:r>
            <w:r w:rsidR="00106113">
              <w:rPr>
                <w:rFonts w:eastAsiaTheme="minorHAnsi"/>
              </w:rPr>
              <w:t>ithout prior chemotherapy</w:t>
            </w:r>
          </w:p>
        </w:tc>
        <w:tc>
          <w:tcPr>
            <w:tcW w:w="1279" w:type="pct"/>
          </w:tcPr>
          <w:p w14:paraId="6514E665" w14:textId="04F93223" w:rsidR="00106113" w:rsidRPr="00F062CE" w:rsidRDefault="00106113" w:rsidP="00106113">
            <w:pPr>
              <w:pStyle w:val="TableText0"/>
              <w:jc w:val="center"/>
            </w:pPr>
            <w:r w:rsidRPr="00FF1207">
              <w:rPr>
                <w:rFonts w:eastAsiaTheme="minorHAnsi"/>
              </w:rPr>
              <w:t>82 (69</w:t>
            </w:r>
            <w:r>
              <w:rPr>
                <w:rFonts w:eastAsiaTheme="minorHAnsi"/>
              </w:rPr>
              <w:t xml:space="preserve">, </w:t>
            </w:r>
            <w:r w:rsidRPr="00FF1207">
              <w:rPr>
                <w:rFonts w:eastAsiaTheme="minorHAnsi"/>
              </w:rPr>
              <w:t>92)</w:t>
            </w:r>
          </w:p>
        </w:tc>
        <w:tc>
          <w:tcPr>
            <w:tcW w:w="2064" w:type="pct"/>
          </w:tcPr>
          <w:p w14:paraId="6DD79ED5" w14:textId="369DCC05" w:rsidR="00106113" w:rsidRPr="00F062CE" w:rsidRDefault="00106113" w:rsidP="00106113">
            <w:pPr>
              <w:pStyle w:val="TableText0"/>
              <w:jc w:val="center"/>
              <w:rPr>
                <w:rFonts w:eastAsiaTheme="minorHAnsi"/>
              </w:rPr>
            </w:pPr>
            <w:r w:rsidRPr="004230C7">
              <w:rPr>
                <w:rFonts w:cs="Arial"/>
              </w:rPr>
              <w:t>–</w:t>
            </w:r>
          </w:p>
        </w:tc>
      </w:tr>
      <w:tr w:rsidR="00214C20" w:rsidRPr="0098262F" w14:paraId="497BF786" w14:textId="77777777" w:rsidTr="00B3019C">
        <w:trPr>
          <w:cantSplit/>
        </w:trPr>
        <w:tc>
          <w:tcPr>
            <w:tcW w:w="1657" w:type="pct"/>
          </w:tcPr>
          <w:p w14:paraId="2FA038D6" w14:textId="02753CC6" w:rsidR="00214C20" w:rsidRPr="7502E591" w:rsidRDefault="00A541F5" w:rsidP="00214C20">
            <w:pPr>
              <w:pStyle w:val="TableText0"/>
              <w:ind w:left="720"/>
              <w:rPr>
                <w:rFonts w:eastAsiaTheme="minorEastAsia"/>
              </w:rPr>
            </w:pPr>
            <w:r>
              <w:rPr>
                <w:rFonts w:eastAsiaTheme="minorHAnsi"/>
              </w:rPr>
              <w:t>n</w:t>
            </w:r>
            <w:r w:rsidR="00214C20">
              <w:rPr>
                <w:rFonts w:eastAsiaTheme="minorHAnsi"/>
              </w:rPr>
              <w:t>o prior systemic therapy</w:t>
            </w:r>
          </w:p>
        </w:tc>
        <w:tc>
          <w:tcPr>
            <w:tcW w:w="1279" w:type="pct"/>
          </w:tcPr>
          <w:p w14:paraId="30B130A0" w14:textId="58D83B4B" w:rsidR="00214C20" w:rsidRPr="00F062CE" w:rsidRDefault="00106113" w:rsidP="00214C20">
            <w:pPr>
              <w:pStyle w:val="TableText0"/>
              <w:jc w:val="center"/>
            </w:pPr>
            <w:r w:rsidRPr="00557EA2">
              <w:rPr>
                <w:rFonts w:cs="Arial"/>
              </w:rPr>
              <w:t>–</w:t>
            </w:r>
          </w:p>
        </w:tc>
        <w:tc>
          <w:tcPr>
            <w:tcW w:w="2064" w:type="pct"/>
          </w:tcPr>
          <w:p w14:paraId="18A33D86" w14:textId="29E72B87" w:rsidR="00214C20" w:rsidRPr="00F062CE" w:rsidRDefault="00214C20" w:rsidP="00214C20">
            <w:pPr>
              <w:pStyle w:val="TableText0"/>
              <w:jc w:val="center"/>
              <w:rPr>
                <w:rFonts w:eastAsiaTheme="minorHAnsi"/>
              </w:rPr>
            </w:pPr>
            <w:r w:rsidRPr="00CA0C1E">
              <w:rPr>
                <w:rFonts w:eastAsiaTheme="minorHAnsi"/>
              </w:rPr>
              <w:t>6</w:t>
            </w:r>
            <w:r>
              <w:rPr>
                <w:rFonts w:eastAsiaTheme="minorHAnsi"/>
              </w:rPr>
              <w:t xml:space="preserve">9 </w:t>
            </w:r>
            <w:r w:rsidRPr="00CA0C1E">
              <w:rPr>
                <w:rFonts w:eastAsiaTheme="minorHAnsi"/>
              </w:rPr>
              <w:t>(56</w:t>
            </w:r>
            <w:r>
              <w:rPr>
                <w:rFonts w:eastAsiaTheme="minorHAnsi"/>
              </w:rPr>
              <w:t xml:space="preserve">, </w:t>
            </w:r>
            <w:r w:rsidRPr="00CA0C1E">
              <w:rPr>
                <w:rFonts w:eastAsiaTheme="minorHAnsi"/>
              </w:rPr>
              <w:t>79)</w:t>
            </w:r>
          </w:p>
        </w:tc>
      </w:tr>
      <w:tr w:rsidR="00214C20" w:rsidRPr="0098262F" w14:paraId="08BAB828" w14:textId="77777777" w:rsidTr="00B3019C">
        <w:trPr>
          <w:cantSplit/>
        </w:trPr>
        <w:tc>
          <w:tcPr>
            <w:tcW w:w="1657" w:type="pct"/>
          </w:tcPr>
          <w:p w14:paraId="28F2CAB8" w14:textId="74EF1418" w:rsidR="00214C20" w:rsidRPr="00EC029F" w:rsidRDefault="00214C20" w:rsidP="00214C20">
            <w:pPr>
              <w:pStyle w:val="TableText0"/>
              <w:rPr>
                <w:rFonts w:eastAsiaTheme="minorEastAsia"/>
                <w:b/>
                <w:bCs w:val="0"/>
              </w:rPr>
            </w:pPr>
            <w:r w:rsidRPr="00EC029F">
              <w:rPr>
                <w:rFonts w:eastAsiaTheme="minorHAnsi"/>
                <w:b/>
                <w:bCs w:val="0"/>
              </w:rPr>
              <w:t>Median PFS, months (95% CI)</w:t>
            </w:r>
          </w:p>
        </w:tc>
        <w:tc>
          <w:tcPr>
            <w:tcW w:w="1279" w:type="pct"/>
          </w:tcPr>
          <w:p w14:paraId="0557CE16" w14:textId="77777777" w:rsidR="00214C20" w:rsidRPr="00F062CE" w:rsidRDefault="00214C20" w:rsidP="00214C20">
            <w:pPr>
              <w:pStyle w:val="TableText0"/>
              <w:jc w:val="center"/>
            </w:pPr>
          </w:p>
        </w:tc>
        <w:tc>
          <w:tcPr>
            <w:tcW w:w="2064" w:type="pct"/>
          </w:tcPr>
          <w:p w14:paraId="1489E249" w14:textId="77777777" w:rsidR="00214C20" w:rsidRPr="00F062CE" w:rsidRDefault="00214C20" w:rsidP="00214C20">
            <w:pPr>
              <w:pStyle w:val="TableText0"/>
              <w:jc w:val="center"/>
              <w:rPr>
                <w:rFonts w:eastAsiaTheme="minorHAnsi"/>
              </w:rPr>
            </w:pPr>
          </w:p>
        </w:tc>
      </w:tr>
      <w:tr w:rsidR="00106113" w:rsidRPr="0098262F" w14:paraId="0CCA6F7A" w14:textId="77777777" w:rsidTr="00B3019C">
        <w:trPr>
          <w:cantSplit/>
        </w:trPr>
        <w:tc>
          <w:tcPr>
            <w:tcW w:w="1657" w:type="pct"/>
          </w:tcPr>
          <w:p w14:paraId="059C45F9" w14:textId="66A92DF3" w:rsidR="00106113" w:rsidRPr="7502E591" w:rsidRDefault="00A541F5" w:rsidP="00106113">
            <w:pPr>
              <w:pStyle w:val="TableText0"/>
              <w:ind w:left="720"/>
              <w:rPr>
                <w:rFonts w:eastAsiaTheme="minorEastAsia"/>
              </w:rPr>
            </w:pPr>
            <w:r>
              <w:rPr>
                <w:rFonts w:eastAsiaTheme="minorHAnsi"/>
              </w:rPr>
              <w:t>w</w:t>
            </w:r>
            <w:r w:rsidR="00106113" w:rsidRPr="007D0472">
              <w:rPr>
                <w:rFonts w:eastAsiaTheme="minorHAnsi"/>
              </w:rPr>
              <w:t>ith prior chemotherapy</w:t>
            </w:r>
          </w:p>
        </w:tc>
        <w:tc>
          <w:tcPr>
            <w:tcW w:w="1279" w:type="pct"/>
          </w:tcPr>
          <w:p w14:paraId="5735256A" w14:textId="247DA593" w:rsidR="00106113" w:rsidRPr="00F062CE" w:rsidRDefault="00106113" w:rsidP="00106113">
            <w:pPr>
              <w:pStyle w:val="TableText0"/>
              <w:jc w:val="center"/>
            </w:pPr>
            <w:r w:rsidRPr="00FF1207">
              <w:rPr>
                <w:rFonts w:eastAsiaTheme="minorHAnsi"/>
              </w:rPr>
              <w:t>35.7 (18.0</w:t>
            </w:r>
            <w:r>
              <w:rPr>
                <w:rFonts w:eastAsiaTheme="minorHAnsi"/>
              </w:rPr>
              <w:t xml:space="preserve">, </w:t>
            </w:r>
            <w:r w:rsidRPr="00FF1207">
              <w:rPr>
                <w:rFonts w:eastAsiaTheme="minorHAnsi"/>
              </w:rPr>
              <w:t>NE)</w:t>
            </w:r>
          </w:p>
        </w:tc>
        <w:tc>
          <w:tcPr>
            <w:tcW w:w="2064" w:type="pct"/>
          </w:tcPr>
          <w:p w14:paraId="2CE94A0C" w14:textId="544BDBAF" w:rsidR="00106113" w:rsidRPr="00F062CE" w:rsidRDefault="00106113" w:rsidP="00106113">
            <w:pPr>
              <w:pStyle w:val="TableText0"/>
              <w:jc w:val="center"/>
              <w:rPr>
                <w:rFonts w:eastAsiaTheme="minorHAnsi"/>
              </w:rPr>
            </w:pPr>
            <w:r w:rsidRPr="00783F70">
              <w:rPr>
                <w:rFonts w:cs="Arial"/>
              </w:rPr>
              <w:t>–</w:t>
            </w:r>
          </w:p>
        </w:tc>
      </w:tr>
      <w:tr w:rsidR="00106113" w:rsidRPr="0098262F" w14:paraId="68E02DF7" w14:textId="77777777" w:rsidTr="00B3019C">
        <w:trPr>
          <w:cantSplit/>
        </w:trPr>
        <w:tc>
          <w:tcPr>
            <w:tcW w:w="1657" w:type="pct"/>
          </w:tcPr>
          <w:p w14:paraId="6B046590" w14:textId="0354C210" w:rsidR="00106113" w:rsidRPr="7502E591" w:rsidRDefault="00A541F5" w:rsidP="00106113">
            <w:pPr>
              <w:pStyle w:val="TableText0"/>
              <w:ind w:left="720"/>
              <w:rPr>
                <w:rFonts w:eastAsiaTheme="minorEastAsia"/>
              </w:rPr>
            </w:pPr>
            <w:r>
              <w:rPr>
                <w:rFonts w:eastAsiaTheme="minorHAnsi"/>
              </w:rPr>
              <w:t>w</w:t>
            </w:r>
            <w:r w:rsidR="00106113" w:rsidRPr="007D0472">
              <w:rPr>
                <w:rFonts w:eastAsiaTheme="minorHAnsi"/>
              </w:rPr>
              <w:t>ithout prior chemotherapy</w:t>
            </w:r>
          </w:p>
        </w:tc>
        <w:tc>
          <w:tcPr>
            <w:tcW w:w="1279" w:type="pct"/>
          </w:tcPr>
          <w:p w14:paraId="22B94119" w14:textId="2369A234" w:rsidR="00106113" w:rsidRPr="00F062CE" w:rsidRDefault="00106113" w:rsidP="00106113">
            <w:pPr>
              <w:pStyle w:val="TableText0"/>
              <w:jc w:val="center"/>
            </w:pPr>
            <w:r w:rsidRPr="00FF1207">
              <w:rPr>
                <w:rFonts w:eastAsiaTheme="minorHAnsi"/>
              </w:rPr>
              <w:t>37.1 (22.0</w:t>
            </w:r>
            <w:r>
              <w:rPr>
                <w:rFonts w:eastAsiaTheme="minorHAnsi"/>
              </w:rPr>
              <w:t xml:space="preserve">, </w:t>
            </w:r>
            <w:r w:rsidRPr="00FF1207">
              <w:rPr>
                <w:rFonts w:eastAsiaTheme="minorHAnsi"/>
              </w:rPr>
              <w:t>NE)</w:t>
            </w:r>
          </w:p>
        </w:tc>
        <w:tc>
          <w:tcPr>
            <w:tcW w:w="2064" w:type="pct"/>
          </w:tcPr>
          <w:p w14:paraId="38031242" w14:textId="5CFC500C" w:rsidR="00106113" w:rsidRPr="00F062CE" w:rsidRDefault="00106113" w:rsidP="00106113">
            <w:pPr>
              <w:pStyle w:val="TableText0"/>
              <w:jc w:val="center"/>
              <w:rPr>
                <w:rFonts w:eastAsiaTheme="minorHAnsi"/>
              </w:rPr>
            </w:pPr>
            <w:r w:rsidRPr="00783F70">
              <w:rPr>
                <w:rFonts w:cs="Arial"/>
              </w:rPr>
              <w:t>–</w:t>
            </w:r>
          </w:p>
        </w:tc>
      </w:tr>
      <w:tr w:rsidR="00214C20" w:rsidRPr="0098262F" w14:paraId="63DF8614" w14:textId="77777777" w:rsidTr="00B3019C">
        <w:trPr>
          <w:cantSplit/>
        </w:trPr>
        <w:tc>
          <w:tcPr>
            <w:tcW w:w="1657" w:type="pct"/>
          </w:tcPr>
          <w:p w14:paraId="0831C907" w14:textId="65A590D0" w:rsidR="00214C20" w:rsidRPr="7502E591" w:rsidRDefault="004227D8" w:rsidP="00214C20">
            <w:pPr>
              <w:pStyle w:val="TableText0"/>
              <w:ind w:left="720"/>
              <w:rPr>
                <w:rFonts w:eastAsiaTheme="minorEastAsia"/>
              </w:rPr>
            </w:pPr>
            <w:r>
              <w:rPr>
                <w:rFonts w:eastAsiaTheme="minorHAnsi"/>
              </w:rPr>
              <w:t>n</w:t>
            </w:r>
            <w:r w:rsidR="00214C20" w:rsidRPr="007D0472">
              <w:rPr>
                <w:rFonts w:eastAsiaTheme="minorHAnsi"/>
              </w:rPr>
              <w:t>o prior systemic therapy</w:t>
            </w:r>
          </w:p>
        </w:tc>
        <w:tc>
          <w:tcPr>
            <w:tcW w:w="1279" w:type="pct"/>
          </w:tcPr>
          <w:p w14:paraId="78F9C2C5" w14:textId="77CFB33C" w:rsidR="00214C20" w:rsidRPr="00F062CE" w:rsidRDefault="00106113" w:rsidP="00214C20">
            <w:pPr>
              <w:pStyle w:val="TableText0"/>
              <w:jc w:val="center"/>
            </w:pPr>
            <w:r w:rsidRPr="00557EA2">
              <w:rPr>
                <w:rFonts w:cs="Arial"/>
              </w:rPr>
              <w:t>–</w:t>
            </w:r>
          </w:p>
        </w:tc>
        <w:tc>
          <w:tcPr>
            <w:tcW w:w="2064" w:type="pct"/>
          </w:tcPr>
          <w:p w14:paraId="20B1E65F" w14:textId="1A980267" w:rsidR="00214C20" w:rsidRPr="00F062CE" w:rsidRDefault="00214C20" w:rsidP="00214C20">
            <w:pPr>
              <w:pStyle w:val="TableText0"/>
              <w:jc w:val="center"/>
              <w:rPr>
                <w:rFonts w:eastAsiaTheme="minorHAnsi"/>
              </w:rPr>
            </w:pPr>
            <w:r w:rsidRPr="00CA0C1E">
              <w:rPr>
                <w:rFonts w:eastAsiaTheme="minorHAnsi"/>
              </w:rPr>
              <w:t>17.7</w:t>
            </w:r>
            <w:r>
              <w:rPr>
                <w:rFonts w:eastAsiaTheme="minorHAnsi"/>
              </w:rPr>
              <w:t xml:space="preserve"> </w:t>
            </w:r>
            <w:r w:rsidRPr="00CA0C1E">
              <w:rPr>
                <w:rFonts w:eastAsiaTheme="minorHAnsi"/>
              </w:rPr>
              <w:t>(11.8</w:t>
            </w:r>
            <w:r>
              <w:rPr>
                <w:rFonts w:eastAsiaTheme="minorHAnsi"/>
              </w:rPr>
              <w:t xml:space="preserve">, </w:t>
            </w:r>
            <w:r w:rsidRPr="00CA0C1E">
              <w:rPr>
                <w:rFonts w:eastAsiaTheme="minorHAnsi"/>
              </w:rPr>
              <w:t>39.4)</w:t>
            </w:r>
          </w:p>
        </w:tc>
      </w:tr>
      <w:tr w:rsidR="00214C20" w:rsidRPr="0098262F" w14:paraId="1F89F3BF" w14:textId="77777777" w:rsidTr="00B3019C">
        <w:trPr>
          <w:cantSplit/>
        </w:trPr>
        <w:tc>
          <w:tcPr>
            <w:tcW w:w="1657" w:type="pct"/>
          </w:tcPr>
          <w:p w14:paraId="5775D119" w14:textId="26440B99" w:rsidR="00214C20" w:rsidRPr="00EC029F" w:rsidRDefault="00214C20" w:rsidP="00214C20">
            <w:pPr>
              <w:pStyle w:val="TableText0"/>
              <w:rPr>
                <w:rFonts w:eastAsiaTheme="minorEastAsia"/>
                <w:b/>
                <w:bCs w:val="0"/>
              </w:rPr>
            </w:pPr>
            <w:r w:rsidRPr="00EC029F">
              <w:rPr>
                <w:rFonts w:eastAsiaTheme="minorHAnsi"/>
                <w:b/>
                <w:bCs w:val="0"/>
              </w:rPr>
              <w:t>Median D</w:t>
            </w:r>
            <w:r w:rsidR="001A035E">
              <w:rPr>
                <w:rFonts w:eastAsiaTheme="minorHAnsi"/>
                <w:b/>
                <w:bCs w:val="0"/>
              </w:rPr>
              <w:t>O</w:t>
            </w:r>
            <w:r w:rsidRPr="00EC029F">
              <w:rPr>
                <w:rFonts w:eastAsiaTheme="minorHAnsi"/>
                <w:b/>
                <w:bCs w:val="0"/>
              </w:rPr>
              <w:t>R, months (95% CI)</w:t>
            </w:r>
          </w:p>
        </w:tc>
        <w:tc>
          <w:tcPr>
            <w:tcW w:w="1279" w:type="pct"/>
          </w:tcPr>
          <w:p w14:paraId="5DE39E32" w14:textId="77777777" w:rsidR="00214C20" w:rsidRPr="00F062CE" w:rsidRDefault="00214C20" w:rsidP="00214C20">
            <w:pPr>
              <w:pStyle w:val="TableText0"/>
              <w:jc w:val="center"/>
            </w:pPr>
          </w:p>
        </w:tc>
        <w:tc>
          <w:tcPr>
            <w:tcW w:w="2064" w:type="pct"/>
          </w:tcPr>
          <w:p w14:paraId="0038D682" w14:textId="77777777" w:rsidR="00214C20" w:rsidRPr="00F062CE" w:rsidRDefault="00214C20" w:rsidP="00214C20">
            <w:pPr>
              <w:pStyle w:val="TableText0"/>
              <w:jc w:val="center"/>
              <w:rPr>
                <w:rFonts w:eastAsiaTheme="minorHAnsi"/>
              </w:rPr>
            </w:pPr>
          </w:p>
        </w:tc>
      </w:tr>
      <w:tr w:rsidR="00106113" w:rsidRPr="0098262F" w14:paraId="79063ADE" w14:textId="77777777" w:rsidTr="00B3019C">
        <w:trPr>
          <w:cantSplit/>
        </w:trPr>
        <w:tc>
          <w:tcPr>
            <w:tcW w:w="1657" w:type="pct"/>
          </w:tcPr>
          <w:p w14:paraId="52897958" w14:textId="1BB173D4" w:rsidR="00106113" w:rsidRPr="7502E591" w:rsidRDefault="004227D8" w:rsidP="00106113">
            <w:pPr>
              <w:pStyle w:val="TableText0"/>
              <w:ind w:left="720"/>
              <w:rPr>
                <w:rFonts w:eastAsiaTheme="minorEastAsia"/>
              </w:rPr>
            </w:pPr>
            <w:r>
              <w:rPr>
                <w:rFonts w:eastAsiaTheme="minorHAnsi"/>
              </w:rPr>
              <w:t>w</w:t>
            </w:r>
            <w:r w:rsidR="00106113" w:rsidRPr="007D0472">
              <w:rPr>
                <w:rFonts w:eastAsiaTheme="minorHAnsi"/>
              </w:rPr>
              <w:t>ith prior chemotherapy</w:t>
            </w:r>
          </w:p>
        </w:tc>
        <w:tc>
          <w:tcPr>
            <w:tcW w:w="1279" w:type="pct"/>
          </w:tcPr>
          <w:p w14:paraId="7F00FFDA" w14:textId="54A0D83F" w:rsidR="00106113" w:rsidRPr="00F062CE" w:rsidRDefault="00106113" w:rsidP="00106113">
            <w:pPr>
              <w:pStyle w:val="TableText0"/>
              <w:jc w:val="center"/>
            </w:pPr>
            <w:r w:rsidRPr="007D0472">
              <w:rPr>
                <w:rFonts w:eastAsiaTheme="minorHAnsi"/>
              </w:rPr>
              <w:t>34.1 (23.1</w:t>
            </w:r>
            <w:r>
              <w:rPr>
                <w:rFonts w:eastAsiaTheme="minorHAnsi"/>
              </w:rPr>
              <w:t xml:space="preserve">, </w:t>
            </w:r>
            <w:r w:rsidRPr="007D0472">
              <w:rPr>
                <w:rFonts w:eastAsiaTheme="minorHAnsi"/>
              </w:rPr>
              <w:t>NE)</w:t>
            </w:r>
          </w:p>
        </w:tc>
        <w:tc>
          <w:tcPr>
            <w:tcW w:w="2064" w:type="pct"/>
          </w:tcPr>
          <w:p w14:paraId="64645B0F" w14:textId="1EC1BBB4" w:rsidR="00106113" w:rsidRPr="00F062CE" w:rsidRDefault="00106113" w:rsidP="00106113">
            <w:pPr>
              <w:pStyle w:val="TableText0"/>
              <w:jc w:val="center"/>
              <w:rPr>
                <w:rFonts w:eastAsiaTheme="minorHAnsi"/>
              </w:rPr>
            </w:pPr>
            <w:r w:rsidRPr="000D48F6">
              <w:rPr>
                <w:rFonts w:cs="Arial"/>
              </w:rPr>
              <w:t>–</w:t>
            </w:r>
          </w:p>
        </w:tc>
      </w:tr>
      <w:tr w:rsidR="00106113" w:rsidRPr="0098262F" w14:paraId="7B7D3396" w14:textId="77777777" w:rsidTr="00B3019C">
        <w:trPr>
          <w:cantSplit/>
        </w:trPr>
        <w:tc>
          <w:tcPr>
            <w:tcW w:w="1657" w:type="pct"/>
          </w:tcPr>
          <w:p w14:paraId="4F315046" w14:textId="01B54497" w:rsidR="00106113" w:rsidRPr="7502E591" w:rsidRDefault="004227D8" w:rsidP="00106113">
            <w:pPr>
              <w:pStyle w:val="TableText0"/>
              <w:ind w:left="720"/>
              <w:rPr>
                <w:rFonts w:eastAsiaTheme="minorEastAsia"/>
              </w:rPr>
            </w:pPr>
            <w:r>
              <w:rPr>
                <w:rFonts w:eastAsiaTheme="minorHAnsi"/>
              </w:rPr>
              <w:t>w</w:t>
            </w:r>
            <w:r w:rsidR="00106113" w:rsidRPr="007D0472">
              <w:rPr>
                <w:rFonts w:eastAsiaTheme="minorHAnsi"/>
              </w:rPr>
              <w:t>ithout prior chemotherapy</w:t>
            </w:r>
          </w:p>
        </w:tc>
        <w:tc>
          <w:tcPr>
            <w:tcW w:w="1279" w:type="pct"/>
          </w:tcPr>
          <w:p w14:paraId="31E1749B" w14:textId="1E046875" w:rsidR="00106113" w:rsidRPr="00F062CE" w:rsidRDefault="00106113" w:rsidP="00106113">
            <w:pPr>
              <w:pStyle w:val="TableText0"/>
              <w:jc w:val="center"/>
            </w:pPr>
            <w:r w:rsidRPr="007D0472">
              <w:rPr>
                <w:rFonts w:eastAsiaTheme="minorHAnsi"/>
              </w:rPr>
              <w:t>33.6 (25.6</w:t>
            </w:r>
            <w:r>
              <w:rPr>
                <w:rFonts w:eastAsiaTheme="minorHAnsi"/>
              </w:rPr>
              <w:t xml:space="preserve">, </w:t>
            </w:r>
            <w:r w:rsidRPr="007D0472">
              <w:rPr>
                <w:rFonts w:eastAsiaTheme="minorHAnsi"/>
              </w:rPr>
              <w:t>NE)</w:t>
            </w:r>
          </w:p>
        </w:tc>
        <w:tc>
          <w:tcPr>
            <w:tcW w:w="2064" w:type="pct"/>
          </w:tcPr>
          <w:p w14:paraId="31433CB8" w14:textId="0E9AE1B4" w:rsidR="00106113" w:rsidRPr="00F062CE" w:rsidRDefault="00106113" w:rsidP="00106113">
            <w:pPr>
              <w:pStyle w:val="TableText0"/>
              <w:jc w:val="center"/>
              <w:rPr>
                <w:rFonts w:eastAsiaTheme="minorHAnsi"/>
              </w:rPr>
            </w:pPr>
            <w:r w:rsidRPr="000D48F6">
              <w:rPr>
                <w:rFonts w:cs="Arial"/>
              </w:rPr>
              <w:t>–</w:t>
            </w:r>
          </w:p>
        </w:tc>
      </w:tr>
      <w:tr w:rsidR="00214C20" w:rsidRPr="0098262F" w14:paraId="1ED66BCE" w14:textId="77777777" w:rsidTr="00B3019C">
        <w:trPr>
          <w:cantSplit/>
        </w:trPr>
        <w:tc>
          <w:tcPr>
            <w:tcW w:w="1657" w:type="pct"/>
          </w:tcPr>
          <w:p w14:paraId="42919D42" w14:textId="22150DA7" w:rsidR="00214C20" w:rsidRPr="7502E591" w:rsidRDefault="004227D8" w:rsidP="00214C20">
            <w:pPr>
              <w:pStyle w:val="TableText0"/>
              <w:ind w:left="720"/>
              <w:rPr>
                <w:rFonts w:eastAsiaTheme="minorEastAsia"/>
              </w:rPr>
            </w:pPr>
            <w:r>
              <w:rPr>
                <w:rFonts w:eastAsiaTheme="minorHAnsi"/>
              </w:rPr>
              <w:t>n</w:t>
            </w:r>
            <w:r w:rsidR="00214C20" w:rsidRPr="007D0472">
              <w:rPr>
                <w:rFonts w:eastAsiaTheme="minorHAnsi"/>
              </w:rPr>
              <w:t>o prior systemic therapy</w:t>
            </w:r>
          </w:p>
        </w:tc>
        <w:tc>
          <w:tcPr>
            <w:tcW w:w="1279" w:type="pct"/>
          </w:tcPr>
          <w:p w14:paraId="674ACDC8" w14:textId="2200B0D4" w:rsidR="00214C20" w:rsidRPr="00F062CE" w:rsidRDefault="00106113" w:rsidP="00214C20">
            <w:pPr>
              <w:pStyle w:val="TableText0"/>
              <w:jc w:val="center"/>
            </w:pPr>
            <w:r w:rsidRPr="00557EA2">
              <w:rPr>
                <w:rFonts w:cs="Arial"/>
              </w:rPr>
              <w:t>–</w:t>
            </w:r>
          </w:p>
        </w:tc>
        <w:tc>
          <w:tcPr>
            <w:tcW w:w="2064" w:type="pct"/>
          </w:tcPr>
          <w:p w14:paraId="3BC56592" w14:textId="18626CD0" w:rsidR="00214C20" w:rsidRPr="00F062CE" w:rsidRDefault="00214C20" w:rsidP="00214C20">
            <w:pPr>
              <w:pStyle w:val="TableText0"/>
              <w:jc w:val="center"/>
              <w:rPr>
                <w:rFonts w:eastAsiaTheme="minorHAnsi"/>
              </w:rPr>
            </w:pPr>
            <w:r w:rsidRPr="007D0472">
              <w:rPr>
                <w:rFonts w:eastAsiaTheme="minorHAnsi"/>
              </w:rPr>
              <w:t>35.6 (13.9</w:t>
            </w:r>
            <w:r>
              <w:rPr>
                <w:rFonts w:eastAsiaTheme="minorHAnsi"/>
              </w:rPr>
              <w:t xml:space="preserve">, </w:t>
            </w:r>
            <w:r w:rsidRPr="007D0472">
              <w:rPr>
                <w:rFonts w:eastAsiaTheme="minorHAnsi"/>
              </w:rPr>
              <w:t>38.8)</w:t>
            </w:r>
          </w:p>
        </w:tc>
      </w:tr>
    </w:tbl>
    <w:p w14:paraId="0F746918" w14:textId="5F6D3553" w:rsidR="00B338EC" w:rsidRPr="00D61115" w:rsidRDefault="001A035E" w:rsidP="00F511D9">
      <w:pPr>
        <w:pStyle w:val="TableFigureFooter"/>
        <w:rPr>
          <w:rFonts w:eastAsiaTheme="minorHAnsi"/>
        </w:rPr>
      </w:pPr>
      <w:r>
        <w:rPr>
          <w:rFonts w:eastAsiaTheme="minorHAnsi"/>
        </w:rPr>
        <w:t xml:space="preserve">DOR = duration of response; </w:t>
      </w:r>
      <w:r w:rsidR="00D1593A">
        <w:rPr>
          <w:rFonts w:eastAsiaTheme="minorHAnsi"/>
        </w:rPr>
        <w:t>NE</w:t>
      </w:r>
      <w:r w:rsidR="004227D8">
        <w:rPr>
          <w:rFonts w:eastAsiaTheme="minorHAnsi"/>
        </w:rPr>
        <w:t xml:space="preserve"> </w:t>
      </w:r>
      <w:r w:rsidR="00D1593A">
        <w:rPr>
          <w:rFonts w:eastAsiaTheme="minorHAnsi"/>
        </w:rPr>
        <w:t>=</w:t>
      </w:r>
      <w:r w:rsidR="004227D8">
        <w:rPr>
          <w:rFonts w:eastAsiaTheme="minorHAnsi"/>
        </w:rPr>
        <w:t xml:space="preserve"> </w:t>
      </w:r>
      <w:r w:rsidR="00D1593A">
        <w:rPr>
          <w:rFonts w:eastAsiaTheme="minorHAnsi"/>
        </w:rPr>
        <w:t xml:space="preserve">not evaluable; </w:t>
      </w:r>
      <w:r>
        <w:rPr>
          <w:rFonts w:eastAsiaTheme="minorHAnsi"/>
        </w:rPr>
        <w:t xml:space="preserve">ORR = objective response rate; </w:t>
      </w:r>
      <w:r w:rsidR="00D1593A">
        <w:rPr>
          <w:rFonts w:eastAsiaTheme="minorHAnsi"/>
        </w:rPr>
        <w:t>PFS = progression-free survival.</w:t>
      </w:r>
    </w:p>
    <w:p w14:paraId="2D3B5034" w14:textId="0ACE41B7" w:rsidR="008F5218" w:rsidRDefault="00F94344" w:rsidP="00997285">
      <w:pPr>
        <w:pStyle w:val="3-BodyText"/>
        <w:rPr>
          <w:i/>
          <w:iCs/>
        </w:rPr>
      </w:pPr>
      <w:bookmarkStart w:id="31" w:name="_Ref192679003"/>
      <w:bookmarkStart w:id="32" w:name="_Ref198111388"/>
      <w:r w:rsidRPr="007A38AF">
        <w:t xml:space="preserve">The submission reported </w:t>
      </w:r>
      <w:r w:rsidR="006F72CA" w:rsidRPr="007A38AF">
        <w:t>additional results from a</w:t>
      </w:r>
      <w:r w:rsidR="00871EDA" w:rsidRPr="007A38AF">
        <w:t>n</w:t>
      </w:r>
      <w:r w:rsidR="006F72CA" w:rsidRPr="007A38AF">
        <w:t xml:space="preserve"> </w:t>
      </w:r>
      <w:r w:rsidR="0053312F" w:rsidRPr="007A38AF">
        <w:t xml:space="preserve">unanchored </w:t>
      </w:r>
      <w:r w:rsidR="006F72CA" w:rsidRPr="007A38AF">
        <w:t xml:space="preserve">MAIC </w:t>
      </w:r>
      <w:r w:rsidR="007155C2" w:rsidRPr="007A38AF">
        <w:t>between repotrectinib and entrectinib</w:t>
      </w:r>
      <w:r w:rsidR="00BF303D" w:rsidRPr="007A38AF">
        <w:rPr>
          <w:rStyle w:val="FootnoteReference"/>
        </w:rPr>
        <w:footnoteReference w:id="7"/>
      </w:r>
      <w:r w:rsidR="005D5827" w:rsidRPr="007A38AF">
        <w:t>.</w:t>
      </w:r>
      <w:r w:rsidR="007155C2" w:rsidRPr="007A38AF">
        <w:t xml:space="preserve"> </w:t>
      </w:r>
      <w:r w:rsidR="001A5971" w:rsidRPr="007A38AF">
        <w:t>This MAIC</w:t>
      </w:r>
      <w:r w:rsidR="00E4165E" w:rsidRPr="007A38AF">
        <w:t xml:space="preserve"> formed the basis of regulatory submissions to the FDA and EMA</w:t>
      </w:r>
      <w:r w:rsidR="000A29E3" w:rsidRPr="007A38AF">
        <w:t xml:space="preserve"> (BMS 2023</w:t>
      </w:r>
      <w:r w:rsidR="001F7253" w:rsidRPr="007A38AF">
        <w:rPr>
          <w:rStyle w:val="FootnoteReference"/>
        </w:rPr>
        <w:footnoteReference w:id="8"/>
      </w:r>
      <w:r w:rsidR="000A29E3" w:rsidRPr="007A38AF">
        <w:t>)</w:t>
      </w:r>
      <w:r w:rsidR="008557EE" w:rsidRPr="007A38AF">
        <w:t>.</w:t>
      </w:r>
      <w:r w:rsidR="003D12C9" w:rsidRPr="007A38AF">
        <w:t xml:space="preserve"> </w:t>
      </w:r>
      <w:r w:rsidR="000B40F2" w:rsidRPr="007A38AF">
        <w:t xml:space="preserve">The MAIC adjusted for </w:t>
      </w:r>
      <w:r w:rsidR="008A6CB0" w:rsidRPr="007A38AF">
        <w:t>imbalances in</w:t>
      </w:r>
      <w:r w:rsidR="00753E60" w:rsidRPr="007A38AF">
        <w:t xml:space="preserve"> prespecified</w:t>
      </w:r>
      <w:r w:rsidR="000B40F2" w:rsidRPr="007A38AF">
        <w:t xml:space="preserve"> prognostic and effect-modifying factors, with </w:t>
      </w:r>
      <w:r w:rsidR="00CF10A8" w:rsidRPr="007A38AF">
        <w:t xml:space="preserve">the </w:t>
      </w:r>
      <w:r w:rsidR="000B40F2" w:rsidRPr="007A38AF">
        <w:t>results indicat</w:t>
      </w:r>
      <w:r w:rsidR="00CF10A8" w:rsidRPr="007A38AF">
        <w:t>ing</w:t>
      </w:r>
      <w:r w:rsidR="000B40F2" w:rsidRPr="007A38AF">
        <w:t xml:space="preserve"> that repotrectinib was non-inferior and potentially superior to entrectinib</w:t>
      </w:r>
      <w:r w:rsidR="00890D82" w:rsidRPr="007A38AF">
        <w:t xml:space="preserve"> for the outcome of PFS</w:t>
      </w:r>
      <w:r w:rsidR="00415483" w:rsidRPr="007A38AF">
        <w:t xml:space="preserve"> (weighted </w:t>
      </w:r>
      <w:r w:rsidR="00A8245E" w:rsidRPr="007A38AF">
        <w:t xml:space="preserve">HR </w:t>
      </w:r>
      <w:r w:rsidR="000C48EE" w:rsidRPr="007A38AF">
        <w:t xml:space="preserve">0.52, </w:t>
      </w:r>
      <w:r w:rsidR="00393AF9" w:rsidRPr="007A38AF">
        <w:t xml:space="preserve">95% CI: </w:t>
      </w:r>
      <w:r w:rsidR="008E4B50" w:rsidRPr="007A38AF">
        <w:t>0.31, 0.87)</w:t>
      </w:r>
      <w:r w:rsidR="000B40F2" w:rsidRPr="007A38AF">
        <w:t>.</w:t>
      </w:r>
      <w:r w:rsidR="009019FC" w:rsidRPr="007A38AF">
        <w:t xml:space="preserve"> </w:t>
      </w:r>
      <w:r w:rsidR="004E4032" w:rsidRPr="007A38AF">
        <w:t>On balance, the</w:t>
      </w:r>
      <w:r w:rsidR="00A722E0" w:rsidRPr="007A38AF">
        <w:t xml:space="preserve"> </w:t>
      </w:r>
      <w:r w:rsidR="000E5E0C" w:rsidRPr="007A38AF">
        <w:t>MAIC</w:t>
      </w:r>
      <w:r w:rsidR="00803342" w:rsidRPr="007A38AF">
        <w:t xml:space="preserve"> </w:t>
      </w:r>
      <w:r w:rsidR="00140303" w:rsidRPr="007A38AF">
        <w:t>provides</w:t>
      </w:r>
      <w:r w:rsidR="00803342" w:rsidRPr="007A38AF">
        <w:t xml:space="preserve"> </w:t>
      </w:r>
      <w:r w:rsidR="005E21FB" w:rsidRPr="007A38AF">
        <w:t>additional information</w:t>
      </w:r>
      <w:r w:rsidR="007B7700" w:rsidRPr="007A38AF">
        <w:t xml:space="preserve"> </w:t>
      </w:r>
      <w:r w:rsidR="004B28E1" w:rsidRPr="007A38AF">
        <w:t>for</w:t>
      </w:r>
      <w:r w:rsidR="00DF6A65" w:rsidRPr="007A38AF">
        <w:t xml:space="preserve"> </w:t>
      </w:r>
      <w:r w:rsidR="00693F61" w:rsidRPr="007A38AF">
        <w:t>comparisons</w:t>
      </w:r>
      <w:r w:rsidR="00DF6A65" w:rsidRPr="007A38AF">
        <w:t xml:space="preserve"> </w:t>
      </w:r>
      <w:r w:rsidR="00326EBE" w:rsidRPr="007A38AF">
        <w:t>that</w:t>
      </w:r>
      <w:r w:rsidR="00DF6A65" w:rsidRPr="007A38AF">
        <w:t xml:space="preserve"> have</w:t>
      </w:r>
      <w:r w:rsidR="00B31FB6" w:rsidRPr="007A38AF">
        <w:t xml:space="preserve"> adjusted for</w:t>
      </w:r>
      <w:r w:rsidR="000E0B52" w:rsidRPr="007A38AF">
        <w:t xml:space="preserve"> imbalances in </w:t>
      </w:r>
      <w:r w:rsidR="00A527F5" w:rsidRPr="007A38AF">
        <w:t>prognostic/effect modi</w:t>
      </w:r>
      <w:r w:rsidR="005F2CAE" w:rsidRPr="007A38AF">
        <w:t>fying factors</w:t>
      </w:r>
      <w:r w:rsidR="00B2740E" w:rsidRPr="007A38AF">
        <w:t xml:space="preserve"> and</w:t>
      </w:r>
      <w:r w:rsidR="00B2740E">
        <w:rPr>
          <w:i/>
          <w:iCs/>
        </w:rPr>
        <w:t xml:space="preserve"> </w:t>
      </w:r>
      <w:r w:rsidR="0010002F" w:rsidRPr="007A38AF">
        <w:t xml:space="preserve">generated </w:t>
      </w:r>
      <w:r w:rsidR="00B2740E" w:rsidRPr="007A38AF">
        <w:t>weight</w:t>
      </w:r>
      <w:r w:rsidR="0010002F" w:rsidRPr="007A38AF">
        <w:t>s</w:t>
      </w:r>
      <w:r w:rsidR="00B2740E" w:rsidRPr="007A38AF">
        <w:t xml:space="preserve"> </w:t>
      </w:r>
      <w:r w:rsidR="00BA6434" w:rsidRPr="007A38AF">
        <w:t xml:space="preserve">using </w:t>
      </w:r>
      <w:r w:rsidR="00137BE0" w:rsidRPr="007A38AF">
        <w:t xml:space="preserve">baseline </w:t>
      </w:r>
      <w:r w:rsidR="00BA6434" w:rsidRPr="007A38AF">
        <w:t>characteristics</w:t>
      </w:r>
      <w:r w:rsidR="004E4032" w:rsidRPr="007A38AF">
        <w:t xml:space="preserve"> and </w:t>
      </w:r>
      <w:r w:rsidR="00FE43EA" w:rsidRPr="007A38AF">
        <w:t>provides supportive evidence for the outcome of PFS</w:t>
      </w:r>
      <w:r w:rsidR="00054C84">
        <w:rPr>
          <w:i/>
          <w:iCs/>
        </w:rPr>
        <w:t>.</w:t>
      </w:r>
      <w:bookmarkEnd w:id="31"/>
      <w:bookmarkEnd w:id="32"/>
      <w:r w:rsidR="00EB2183">
        <w:rPr>
          <w:i/>
          <w:iCs/>
        </w:rPr>
        <w:t xml:space="preserve"> </w:t>
      </w:r>
    </w:p>
    <w:p w14:paraId="6C01CB96" w14:textId="0A97E0C4" w:rsidR="00EB2183" w:rsidRPr="008A683E" w:rsidRDefault="00EB2183" w:rsidP="00997285">
      <w:pPr>
        <w:pStyle w:val="3-BodyText"/>
        <w:rPr>
          <w:bCs/>
          <w:sz w:val="22"/>
        </w:rPr>
      </w:pPr>
      <w:bookmarkStart w:id="33" w:name="_Ref198211608"/>
      <w:r w:rsidRPr="008A683E">
        <w:t xml:space="preserve">The </w:t>
      </w:r>
      <w:r w:rsidR="00813A06" w:rsidRPr="00813A06">
        <w:rPr>
          <w:rFonts w:cstheme="minorHAnsi"/>
          <w:bCs/>
        </w:rPr>
        <w:t>Pre-Sub-Committee Response (PSCR)</w:t>
      </w:r>
      <w:r w:rsidR="00813A06" w:rsidRPr="00813A06" w:rsidDel="00813A06">
        <w:rPr>
          <w:bCs/>
        </w:rPr>
        <w:t xml:space="preserve"> </w:t>
      </w:r>
      <w:r w:rsidRPr="008A683E">
        <w:t>presented the results of the MAIC and argued that</w:t>
      </w:r>
      <w:r w:rsidR="007F6004" w:rsidRPr="008A683E">
        <w:t xml:space="preserve"> </w:t>
      </w:r>
      <w:r w:rsidRPr="008A683E">
        <w:t xml:space="preserve">adjusting for heterogeneity in baseline characteristics did not have a material impact on the repotrectinib PFS KM curve or PFS hazard ratio reported for repotrectinib vs entrectinib. </w:t>
      </w:r>
      <w:r w:rsidR="00CB5444" w:rsidRPr="008A683E">
        <w:t xml:space="preserve">The ESC agreed </w:t>
      </w:r>
      <w:r w:rsidR="00B31964" w:rsidRPr="008A683E">
        <w:t>with the PSCR and considered the results for HR on PFS were similar for the MAIC and naïve comparison presented in the submission</w:t>
      </w:r>
      <w:r w:rsidR="00BC5C65" w:rsidRPr="008A683E">
        <w:t xml:space="preserve">, and that the MAIC was </w:t>
      </w:r>
      <w:r w:rsidR="00567D2C" w:rsidRPr="008A683E">
        <w:t>informative to support the clinical effectiveness claim.</w:t>
      </w:r>
      <w:bookmarkEnd w:id="33"/>
      <w:r w:rsidR="00BC5C65" w:rsidRPr="008A683E">
        <w:t xml:space="preserve"> </w:t>
      </w:r>
      <w:r w:rsidRPr="008A683E">
        <w:t xml:space="preserve"> </w:t>
      </w:r>
    </w:p>
    <w:p w14:paraId="1452C351" w14:textId="6DF761B3" w:rsidR="00B60939" w:rsidRPr="0098262F" w:rsidRDefault="00B60939" w:rsidP="00D86231">
      <w:pPr>
        <w:pStyle w:val="4-SubsectionHeading"/>
      </w:pPr>
      <w:bookmarkStart w:id="34" w:name="_Toc22897642"/>
      <w:bookmarkStart w:id="35" w:name="_Toc193124292"/>
      <w:r w:rsidRPr="0098262F">
        <w:t>Comparative harms</w:t>
      </w:r>
      <w:bookmarkEnd w:id="34"/>
      <w:bookmarkEnd w:id="35"/>
    </w:p>
    <w:p w14:paraId="77703B7C" w14:textId="54E39695" w:rsidR="00404D09" w:rsidRPr="00997285" w:rsidRDefault="00C304F7" w:rsidP="00997285">
      <w:pPr>
        <w:pStyle w:val="3-BodyText"/>
      </w:pPr>
      <w:r w:rsidRPr="007A38AF">
        <w:rPr>
          <w:color w:val="000000" w:themeColor="text1"/>
        </w:rPr>
        <w:t xml:space="preserve">The submission presented safety results from the TRIDENT-1 study (patients treated with repotrectinib) and compared them naïvely to the results of the integrated </w:t>
      </w:r>
      <w:r w:rsidRPr="007A38AF">
        <w:rPr>
          <w:color w:val="000000" w:themeColor="text1"/>
        </w:rPr>
        <w:lastRenderedPageBreak/>
        <w:t xml:space="preserve">analysis of the ALKA, STARTRK-1 and STARTRK-2 studies; and the BFAST study (patients treated with </w:t>
      </w:r>
      <w:proofErr w:type="spellStart"/>
      <w:r w:rsidRPr="007A38AF">
        <w:rPr>
          <w:color w:val="000000" w:themeColor="text1"/>
        </w:rPr>
        <w:t>entrectinib</w:t>
      </w:r>
      <w:proofErr w:type="spellEnd"/>
      <w:r w:rsidRPr="007A38AF">
        <w:rPr>
          <w:color w:val="000000" w:themeColor="text1"/>
        </w:rPr>
        <w:t>)</w:t>
      </w:r>
      <w:r w:rsidR="00C30785" w:rsidRPr="007A38AF">
        <w:rPr>
          <w:color w:val="000000" w:themeColor="text1"/>
        </w:rPr>
        <w:t xml:space="preserve"> (</w:t>
      </w:r>
      <w:r w:rsidRPr="00997285">
        <w:rPr>
          <w:color w:val="000000" w:themeColor="text1"/>
        </w:rPr>
        <w:fldChar w:fldCharType="begin"/>
      </w:r>
      <w:r w:rsidRPr="007A38AF">
        <w:rPr>
          <w:color w:val="000000" w:themeColor="text1"/>
        </w:rPr>
        <w:instrText xml:space="preserve"> REF _Ref192230719 \h </w:instrText>
      </w:r>
      <w:r w:rsidR="007A38AF" w:rsidRPr="007A38AF">
        <w:rPr>
          <w:color w:val="000000" w:themeColor="text1"/>
        </w:rPr>
        <w:instrText xml:space="preserve"> \* MERGEFORMAT </w:instrText>
      </w:r>
      <w:r w:rsidRPr="00997285">
        <w:rPr>
          <w:color w:val="000000" w:themeColor="text1"/>
        </w:rPr>
      </w:r>
      <w:r w:rsidRPr="00997285">
        <w:rPr>
          <w:color w:val="000000" w:themeColor="text1"/>
        </w:rPr>
        <w:fldChar w:fldCharType="separate"/>
      </w:r>
      <w:r w:rsidR="00D32E93" w:rsidRPr="0098262F">
        <w:t>Table</w:t>
      </w:r>
      <w:r w:rsidR="00D32E93" w:rsidRPr="0098262F">
        <w:rPr>
          <w:noProof/>
        </w:rPr>
        <w:t xml:space="preserve"> </w:t>
      </w:r>
      <w:r w:rsidR="00D32E93">
        <w:rPr>
          <w:noProof/>
        </w:rPr>
        <w:t>6</w:t>
      </w:r>
      <w:r w:rsidRPr="00997285">
        <w:rPr>
          <w:color w:val="000000" w:themeColor="text1"/>
        </w:rPr>
        <w:fldChar w:fldCharType="end"/>
      </w:r>
      <w:r w:rsidR="00C30785" w:rsidRPr="00997285">
        <w:rPr>
          <w:color w:val="000000" w:themeColor="text1"/>
        </w:rPr>
        <w:t>)</w:t>
      </w:r>
      <w:r w:rsidR="005D6255" w:rsidRPr="00997285">
        <w:rPr>
          <w:color w:val="000000" w:themeColor="text1"/>
        </w:rPr>
        <w:t>.</w:t>
      </w:r>
      <w:r w:rsidR="00B870BD" w:rsidRPr="00997285">
        <w:rPr>
          <w:color w:val="000000" w:themeColor="text1"/>
        </w:rPr>
        <w:t xml:space="preserve"> </w:t>
      </w:r>
    </w:p>
    <w:p w14:paraId="6F250DEE" w14:textId="5FA1B3FF" w:rsidR="00C4411A" w:rsidRPr="007A38AF" w:rsidRDefault="0005241F" w:rsidP="00997285">
      <w:pPr>
        <w:pStyle w:val="3-BodyText"/>
        <w:rPr>
          <w:color w:val="000000" w:themeColor="text1"/>
        </w:rPr>
      </w:pPr>
      <w:bookmarkStart w:id="36" w:name="_Ref195090295"/>
      <w:r w:rsidRPr="007A38AF">
        <w:rPr>
          <w:color w:val="000000" w:themeColor="text1"/>
        </w:rPr>
        <w:t xml:space="preserve">The </w:t>
      </w:r>
      <w:r w:rsidR="00551506" w:rsidRPr="007A38AF">
        <w:rPr>
          <w:color w:val="000000" w:themeColor="text1"/>
        </w:rPr>
        <w:t>s</w:t>
      </w:r>
      <w:r w:rsidRPr="007A38AF">
        <w:rPr>
          <w:color w:val="000000" w:themeColor="text1"/>
        </w:rPr>
        <w:t xml:space="preserve">afety </w:t>
      </w:r>
      <w:r w:rsidR="00551506" w:rsidRPr="007A38AF">
        <w:rPr>
          <w:color w:val="000000" w:themeColor="text1"/>
        </w:rPr>
        <w:t>a</w:t>
      </w:r>
      <w:r w:rsidRPr="007A38AF">
        <w:rPr>
          <w:color w:val="000000" w:themeColor="text1"/>
        </w:rPr>
        <w:t xml:space="preserve">nalysis </w:t>
      </w:r>
      <w:r w:rsidR="00551506" w:rsidRPr="007A38AF">
        <w:rPr>
          <w:color w:val="000000" w:themeColor="text1"/>
        </w:rPr>
        <w:t>s</w:t>
      </w:r>
      <w:r w:rsidRPr="007A38AF">
        <w:rPr>
          <w:color w:val="000000" w:themeColor="text1"/>
        </w:rPr>
        <w:t>et</w:t>
      </w:r>
      <w:r w:rsidR="004E5B2E" w:rsidRPr="007A38AF">
        <w:rPr>
          <w:color w:val="000000" w:themeColor="text1"/>
        </w:rPr>
        <w:t xml:space="preserve"> from TRIDENT-1 </w:t>
      </w:r>
      <w:r w:rsidR="00B54302" w:rsidRPr="007A38AF">
        <w:rPr>
          <w:color w:val="000000" w:themeColor="text1"/>
        </w:rPr>
        <w:t xml:space="preserve">includes all </w:t>
      </w:r>
      <w:r w:rsidR="00451879" w:rsidRPr="007A38AF">
        <w:rPr>
          <w:color w:val="000000" w:themeColor="text1"/>
        </w:rPr>
        <w:t xml:space="preserve">patients who received </w:t>
      </w:r>
      <w:r w:rsidR="00451879" w:rsidRPr="007A38AF">
        <w:rPr>
          <w:rFonts w:cstheme="minorHAnsi"/>
          <w:color w:val="000000" w:themeColor="text1"/>
        </w:rPr>
        <w:t>≥</w:t>
      </w:r>
      <w:r w:rsidR="00451879" w:rsidRPr="007A38AF">
        <w:rPr>
          <w:color w:val="000000" w:themeColor="text1"/>
        </w:rPr>
        <w:t xml:space="preserve">1 dose of repotrectinib </w:t>
      </w:r>
      <w:r w:rsidR="002530A0" w:rsidRPr="007A38AF">
        <w:rPr>
          <w:color w:val="000000" w:themeColor="text1"/>
        </w:rPr>
        <w:t xml:space="preserve">in any </w:t>
      </w:r>
      <w:r w:rsidR="00551506" w:rsidRPr="007A38AF">
        <w:rPr>
          <w:color w:val="000000" w:themeColor="text1"/>
        </w:rPr>
        <w:t>p</w:t>
      </w:r>
      <w:r w:rsidR="002530A0" w:rsidRPr="007A38AF">
        <w:rPr>
          <w:color w:val="000000" w:themeColor="text1"/>
        </w:rPr>
        <w:t>hase 2 expansion cohort</w:t>
      </w:r>
      <w:r w:rsidR="00FB6F42" w:rsidRPr="007A38AF">
        <w:rPr>
          <w:color w:val="000000" w:themeColor="text1"/>
        </w:rPr>
        <w:t xml:space="preserve"> (</w:t>
      </w:r>
      <w:r w:rsidR="005F64D7" w:rsidRPr="007A38AF">
        <w:rPr>
          <w:color w:val="000000" w:themeColor="text1"/>
        </w:rPr>
        <w:t>n</w:t>
      </w:r>
      <w:r w:rsidR="00551506" w:rsidRPr="007A38AF">
        <w:rPr>
          <w:color w:val="000000" w:themeColor="text1"/>
        </w:rPr>
        <w:t> </w:t>
      </w:r>
      <w:r w:rsidR="00FB6F42" w:rsidRPr="007A38AF">
        <w:rPr>
          <w:color w:val="000000" w:themeColor="text1"/>
        </w:rPr>
        <w:t>=</w:t>
      </w:r>
      <w:r w:rsidR="00551506" w:rsidRPr="007A38AF">
        <w:rPr>
          <w:color w:val="000000" w:themeColor="text1"/>
        </w:rPr>
        <w:t> </w:t>
      </w:r>
      <w:r w:rsidR="00FB6F42" w:rsidRPr="007A38AF">
        <w:rPr>
          <w:color w:val="000000" w:themeColor="text1"/>
        </w:rPr>
        <w:t xml:space="preserve">462), </w:t>
      </w:r>
      <w:r w:rsidR="0070002C" w:rsidRPr="007A38AF">
        <w:rPr>
          <w:color w:val="000000" w:themeColor="text1"/>
        </w:rPr>
        <w:t>comp</w:t>
      </w:r>
      <w:r w:rsidR="00C62C4E" w:rsidRPr="007A38AF">
        <w:rPr>
          <w:color w:val="000000" w:themeColor="text1"/>
        </w:rPr>
        <w:t>o</w:t>
      </w:r>
      <w:r w:rsidR="0070002C" w:rsidRPr="007A38AF">
        <w:rPr>
          <w:color w:val="000000" w:themeColor="text1"/>
        </w:rPr>
        <w:t xml:space="preserve">sed of 327 patients with </w:t>
      </w:r>
      <w:r w:rsidR="0070002C" w:rsidRPr="002777AB">
        <w:rPr>
          <w:i/>
          <w:iCs/>
          <w:color w:val="000000" w:themeColor="text1"/>
        </w:rPr>
        <w:t>ROS-1</w:t>
      </w:r>
      <w:r w:rsidR="00F05040" w:rsidRPr="00F05040">
        <w:rPr>
          <w:color w:val="000000" w:themeColor="text1"/>
        </w:rPr>
        <w:t>-</w:t>
      </w:r>
      <w:r w:rsidR="0070002C" w:rsidRPr="00D66E5F">
        <w:rPr>
          <w:color w:val="000000" w:themeColor="text1"/>
        </w:rPr>
        <w:t xml:space="preserve">positive NSCLC </w:t>
      </w:r>
      <w:r w:rsidR="00DA46D9" w:rsidRPr="00D66E5F">
        <w:rPr>
          <w:color w:val="000000" w:themeColor="text1"/>
        </w:rPr>
        <w:t xml:space="preserve">(TKI-naïve and TKI-pretreated) </w:t>
      </w:r>
      <w:r w:rsidR="00B91DA5" w:rsidRPr="00D66E5F">
        <w:rPr>
          <w:color w:val="000000" w:themeColor="text1"/>
        </w:rPr>
        <w:t xml:space="preserve">plus 135 patients with </w:t>
      </w:r>
      <w:r w:rsidR="00B04CE6" w:rsidRPr="00D66E5F">
        <w:t>neurotrophic tropomyosin receptor kinase</w:t>
      </w:r>
      <w:r w:rsidR="00B04CE6" w:rsidRPr="00D66E5F">
        <w:rPr>
          <w:color w:val="000000" w:themeColor="text1"/>
        </w:rPr>
        <w:t xml:space="preserve"> (</w:t>
      </w:r>
      <w:r w:rsidR="00B91DA5" w:rsidRPr="00D66E5F">
        <w:rPr>
          <w:color w:val="000000" w:themeColor="text1"/>
        </w:rPr>
        <w:t>NTRK</w:t>
      </w:r>
      <w:r w:rsidR="00B04CE6" w:rsidRPr="00D66E5F">
        <w:rPr>
          <w:color w:val="000000" w:themeColor="text1"/>
        </w:rPr>
        <w:t>)</w:t>
      </w:r>
      <w:r w:rsidR="00B91DA5" w:rsidRPr="00D66E5F">
        <w:rPr>
          <w:color w:val="000000" w:themeColor="text1"/>
        </w:rPr>
        <w:t>-positive tumours</w:t>
      </w:r>
      <w:r w:rsidR="005274DB" w:rsidRPr="00D66E5F">
        <w:rPr>
          <w:rStyle w:val="FootnoteReference"/>
          <w:color w:val="000000" w:themeColor="text1"/>
        </w:rPr>
        <w:footnoteReference w:id="9"/>
      </w:r>
      <w:r w:rsidR="00B91DA5" w:rsidRPr="00D66E5F">
        <w:rPr>
          <w:color w:val="000000" w:themeColor="text1"/>
        </w:rPr>
        <w:t>.</w:t>
      </w:r>
      <w:r w:rsidR="00485896" w:rsidRPr="00D66E5F">
        <w:rPr>
          <w:color w:val="000000" w:themeColor="text1"/>
        </w:rPr>
        <w:t xml:space="preserve"> </w:t>
      </w:r>
      <w:r w:rsidR="004F5EB1" w:rsidRPr="00D66E5F">
        <w:rPr>
          <w:color w:val="000000" w:themeColor="text1"/>
        </w:rPr>
        <w:t>The included population in the safety analysis</w:t>
      </w:r>
      <w:r w:rsidR="00EE04A7" w:rsidRPr="00D66E5F">
        <w:rPr>
          <w:color w:val="000000" w:themeColor="text1"/>
        </w:rPr>
        <w:t xml:space="preserve"> set</w:t>
      </w:r>
      <w:r w:rsidR="004F5EB1" w:rsidRPr="00D66E5F">
        <w:rPr>
          <w:color w:val="000000" w:themeColor="text1"/>
        </w:rPr>
        <w:t xml:space="preserve"> is </w:t>
      </w:r>
      <w:r w:rsidR="000E4A70" w:rsidRPr="00D66E5F">
        <w:rPr>
          <w:color w:val="000000" w:themeColor="text1"/>
        </w:rPr>
        <w:t>broader than</w:t>
      </w:r>
      <w:r w:rsidR="004F5EB1" w:rsidRPr="00D66E5F">
        <w:rPr>
          <w:color w:val="000000" w:themeColor="text1"/>
        </w:rPr>
        <w:t xml:space="preserve"> the </w:t>
      </w:r>
      <w:r w:rsidR="004A6B23" w:rsidRPr="00D66E5F">
        <w:rPr>
          <w:color w:val="000000" w:themeColor="text1"/>
        </w:rPr>
        <w:t>proposed PBS listing</w:t>
      </w:r>
      <w:r w:rsidR="005A4C69" w:rsidRPr="00D66E5F">
        <w:rPr>
          <w:color w:val="000000" w:themeColor="text1"/>
        </w:rPr>
        <w:t xml:space="preserve"> </w:t>
      </w:r>
      <w:r w:rsidR="00ED5AB4" w:rsidRPr="00D66E5F">
        <w:rPr>
          <w:color w:val="000000" w:themeColor="text1"/>
        </w:rPr>
        <w:t xml:space="preserve">as it includes </w:t>
      </w:r>
      <w:r w:rsidR="00386068" w:rsidRPr="00D66E5F">
        <w:rPr>
          <w:color w:val="000000" w:themeColor="text1"/>
        </w:rPr>
        <w:t xml:space="preserve">135 patients </w:t>
      </w:r>
      <w:r w:rsidR="002E5FCE" w:rsidRPr="00D66E5F">
        <w:rPr>
          <w:color w:val="000000" w:themeColor="text1"/>
        </w:rPr>
        <w:t>with</w:t>
      </w:r>
      <w:r w:rsidR="00386068" w:rsidRPr="00D66E5F">
        <w:rPr>
          <w:color w:val="000000" w:themeColor="text1"/>
        </w:rPr>
        <w:t xml:space="preserve"> NTRK-positive tumours</w:t>
      </w:r>
      <w:r w:rsidR="001A77F2" w:rsidRPr="00D66E5F">
        <w:rPr>
          <w:color w:val="000000" w:themeColor="text1"/>
        </w:rPr>
        <w:t xml:space="preserve"> </w:t>
      </w:r>
      <w:r w:rsidR="003D4DA0" w:rsidRPr="00D66E5F">
        <w:rPr>
          <w:color w:val="000000" w:themeColor="text1"/>
        </w:rPr>
        <w:t>and</w:t>
      </w:r>
      <w:r w:rsidR="001A77F2" w:rsidRPr="00D66E5F">
        <w:rPr>
          <w:color w:val="000000" w:themeColor="text1"/>
        </w:rPr>
        <w:t xml:space="preserve"> includes </w:t>
      </w:r>
      <w:r w:rsidR="00FE38BC" w:rsidRPr="00D66E5F">
        <w:rPr>
          <w:color w:val="000000" w:themeColor="text1"/>
        </w:rPr>
        <w:t xml:space="preserve">approximately </w:t>
      </w:r>
      <w:r w:rsidR="00B83AED" w:rsidRPr="00D66E5F">
        <w:rPr>
          <w:color w:val="000000" w:themeColor="text1"/>
        </w:rPr>
        <w:t>264</w:t>
      </w:r>
      <w:r w:rsidR="00B83AED">
        <w:rPr>
          <w:color w:val="000000" w:themeColor="text1"/>
        </w:rPr>
        <w:t> </w:t>
      </w:r>
      <w:r w:rsidR="00FE38BC" w:rsidRPr="00D66E5F">
        <w:rPr>
          <w:color w:val="000000" w:themeColor="text1"/>
        </w:rPr>
        <w:t>patients who</w:t>
      </w:r>
      <w:r w:rsidR="005A4C69" w:rsidRPr="00D66E5F">
        <w:rPr>
          <w:color w:val="000000" w:themeColor="text1"/>
        </w:rPr>
        <w:t xml:space="preserve"> </w:t>
      </w:r>
      <w:r w:rsidR="00FE38BC" w:rsidRPr="00D66E5F">
        <w:rPr>
          <w:color w:val="000000" w:themeColor="text1"/>
        </w:rPr>
        <w:t xml:space="preserve">have </w:t>
      </w:r>
      <w:r w:rsidR="005A4C69" w:rsidRPr="00D66E5F">
        <w:rPr>
          <w:color w:val="000000" w:themeColor="text1"/>
        </w:rPr>
        <w:t xml:space="preserve">received prior </w:t>
      </w:r>
      <w:r w:rsidR="00617DE1" w:rsidRPr="00D66E5F">
        <w:rPr>
          <w:color w:val="000000" w:themeColor="text1"/>
        </w:rPr>
        <w:t>treatment with a ROS1 TKI for this condition.</w:t>
      </w:r>
      <w:r w:rsidR="005A7E3A" w:rsidRPr="00D66E5F">
        <w:rPr>
          <w:color w:val="000000" w:themeColor="text1"/>
        </w:rPr>
        <w:t xml:space="preserve"> No ROS1</w:t>
      </w:r>
      <w:r w:rsidR="00432F3E" w:rsidRPr="00D66E5F">
        <w:rPr>
          <w:color w:val="000000" w:themeColor="text1"/>
        </w:rPr>
        <w:t xml:space="preserve"> TKI-na</w:t>
      </w:r>
      <w:r w:rsidR="00B961C8" w:rsidRPr="00D66E5F">
        <w:rPr>
          <w:color w:val="000000" w:themeColor="text1"/>
        </w:rPr>
        <w:t>ï</w:t>
      </w:r>
      <w:r w:rsidR="00432F3E" w:rsidRPr="00D66E5F">
        <w:rPr>
          <w:color w:val="000000" w:themeColor="text1"/>
        </w:rPr>
        <w:t>ve</w:t>
      </w:r>
      <w:r w:rsidR="00D937B3" w:rsidRPr="00D66E5F">
        <w:rPr>
          <w:color w:val="000000" w:themeColor="text1"/>
        </w:rPr>
        <w:t xml:space="preserve"> subgroup population was presented</w:t>
      </w:r>
      <w:r w:rsidR="005F73DA" w:rsidRPr="00D66E5F">
        <w:rPr>
          <w:color w:val="000000" w:themeColor="text1"/>
        </w:rPr>
        <w:t xml:space="preserve"> and it is unclear if the whole-trial </w:t>
      </w:r>
      <w:r w:rsidR="00191997" w:rsidRPr="00D66E5F">
        <w:rPr>
          <w:color w:val="000000" w:themeColor="text1"/>
        </w:rPr>
        <w:t xml:space="preserve">results are applicable to the TKI-naïve subgroup. </w:t>
      </w:r>
      <w:r w:rsidR="00996C7C" w:rsidRPr="00D66E5F">
        <w:rPr>
          <w:color w:val="000000" w:themeColor="text1"/>
        </w:rPr>
        <w:t xml:space="preserve">The </w:t>
      </w:r>
      <w:r w:rsidR="00B34A17" w:rsidRPr="00D66E5F">
        <w:rPr>
          <w:color w:val="000000" w:themeColor="text1"/>
        </w:rPr>
        <w:t>ESC acknowledged it was difficult to interpret the</w:t>
      </w:r>
      <w:r w:rsidR="00996C7C" w:rsidRPr="00D66E5F">
        <w:rPr>
          <w:color w:val="000000" w:themeColor="text1"/>
        </w:rPr>
        <w:t xml:space="preserve"> presented safety</w:t>
      </w:r>
      <w:r w:rsidR="00B34A17" w:rsidRPr="00D66E5F">
        <w:rPr>
          <w:color w:val="000000" w:themeColor="text1"/>
        </w:rPr>
        <w:t xml:space="preserve"> data</w:t>
      </w:r>
      <w:r w:rsidR="00692929" w:rsidRPr="00D66E5F">
        <w:rPr>
          <w:color w:val="000000" w:themeColor="text1"/>
        </w:rPr>
        <w:t xml:space="preserve"> </w:t>
      </w:r>
      <w:r w:rsidR="0088246A" w:rsidRPr="00D66E5F">
        <w:rPr>
          <w:color w:val="000000" w:themeColor="text1"/>
        </w:rPr>
        <w:t xml:space="preserve">given </w:t>
      </w:r>
      <w:r w:rsidR="005300DE" w:rsidRPr="00D66E5F">
        <w:rPr>
          <w:color w:val="000000" w:themeColor="text1"/>
        </w:rPr>
        <w:t xml:space="preserve">the pooled data includes </w:t>
      </w:r>
      <w:r w:rsidR="001375B7" w:rsidRPr="00D66E5F">
        <w:rPr>
          <w:color w:val="000000" w:themeColor="text1"/>
        </w:rPr>
        <w:t>NTRK</w:t>
      </w:r>
      <w:r w:rsidR="00FD4246" w:rsidRPr="00D66E5F">
        <w:rPr>
          <w:color w:val="000000" w:themeColor="text1"/>
        </w:rPr>
        <w:t xml:space="preserve">-positive </w:t>
      </w:r>
      <w:r w:rsidR="00EC0F1B" w:rsidRPr="00D66E5F">
        <w:rPr>
          <w:color w:val="000000" w:themeColor="text1"/>
        </w:rPr>
        <w:t>patients</w:t>
      </w:r>
      <w:r w:rsidR="00D012E3" w:rsidRPr="00D66E5F">
        <w:rPr>
          <w:color w:val="000000" w:themeColor="text1"/>
        </w:rPr>
        <w:t xml:space="preserve">, as well as pre-treated ROS1 mutation patient and </w:t>
      </w:r>
      <w:r w:rsidR="00B52365" w:rsidRPr="00D66E5F">
        <w:rPr>
          <w:color w:val="000000" w:themeColor="text1"/>
        </w:rPr>
        <w:t xml:space="preserve">considered this limits the </w:t>
      </w:r>
      <w:r w:rsidR="006624C6" w:rsidRPr="00D66E5F">
        <w:rPr>
          <w:color w:val="000000" w:themeColor="text1"/>
        </w:rPr>
        <w:t>reliability of the safety claim.</w:t>
      </w:r>
      <w:bookmarkEnd w:id="36"/>
      <w:r w:rsidR="006624C6">
        <w:rPr>
          <w:i/>
          <w:iCs/>
          <w:color w:val="000000" w:themeColor="text1"/>
        </w:rPr>
        <w:t xml:space="preserve"> </w:t>
      </w:r>
      <w:r w:rsidR="00841958">
        <w:rPr>
          <w:i/>
          <w:iCs/>
          <w:color w:val="000000" w:themeColor="text1"/>
        </w:rPr>
        <w:t xml:space="preserve"> </w:t>
      </w:r>
      <w:r w:rsidR="00E25642" w:rsidRPr="00E25642">
        <w:rPr>
          <w:i/>
          <w:iCs/>
          <w:color w:val="000000" w:themeColor="text1"/>
        </w:rPr>
        <w:t xml:space="preserve"> </w:t>
      </w:r>
    </w:p>
    <w:p w14:paraId="23ACE81C" w14:textId="494A372B" w:rsidR="00DA5FF8" w:rsidRPr="007A38AF" w:rsidRDefault="00DA5FF8" w:rsidP="00997285">
      <w:pPr>
        <w:pStyle w:val="3-BodyText"/>
        <w:rPr>
          <w:color w:val="000000" w:themeColor="text1"/>
        </w:rPr>
      </w:pPr>
      <w:r w:rsidRPr="007A38AF">
        <w:rPr>
          <w:color w:val="000000" w:themeColor="text1"/>
        </w:rPr>
        <w:t xml:space="preserve">The </w:t>
      </w:r>
      <w:r w:rsidR="00E52104" w:rsidRPr="007A38AF">
        <w:rPr>
          <w:color w:val="000000" w:themeColor="text1"/>
        </w:rPr>
        <w:t>submission presented</w:t>
      </w:r>
      <w:r w:rsidRPr="007A38AF">
        <w:rPr>
          <w:color w:val="000000" w:themeColor="text1"/>
        </w:rPr>
        <w:t xml:space="preserve"> a variety of harms</w:t>
      </w:r>
      <w:r w:rsidR="008E2A97" w:rsidRPr="007A38AF">
        <w:rPr>
          <w:color w:val="000000" w:themeColor="text1"/>
        </w:rPr>
        <w:t xml:space="preserve"> data</w:t>
      </w:r>
      <w:r w:rsidRPr="007A38AF">
        <w:rPr>
          <w:color w:val="000000" w:themeColor="text1"/>
        </w:rPr>
        <w:t xml:space="preserve"> associated with repotrectinib and entrectinib. The main harms reported include</w:t>
      </w:r>
      <w:r w:rsidR="003956F8" w:rsidRPr="007A38AF">
        <w:rPr>
          <w:color w:val="000000" w:themeColor="text1"/>
        </w:rPr>
        <w:t>d</w:t>
      </w:r>
      <w:r w:rsidRPr="007A38AF">
        <w:rPr>
          <w:color w:val="000000" w:themeColor="text1"/>
        </w:rPr>
        <w:t xml:space="preserve"> death, treatment-emergent </w:t>
      </w:r>
      <w:r w:rsidR="003956F8" w:rsidRPr="007A38AF">
        <w:rPr>
          <w:color w:val="000000" w:themeColor="text1"/>
        </w:rPr>
        <w:t>adverse event</w:t>
      </w:r>
      <w:r w:rsidRPr="007A38AF">
        <w:rPr>
          <w:color w:val="000000" w:themeColor="text1"/>
        </w:rPr>
        <w:t xml:space="preserve"> (TEAE), treatment-related AE</w:t>
      </w:r>
      <w:r w:rsidR="002D795F" w:rsidRPr="007A38AF">
        <w:rPr>
          <w:color w:val="000000" w:themeColor="text1"/>
        </w:rPr>
        <w:t xml:space="preserve"> (TRAE)</w:t>
      </w:r>
      <w:r w:rsidRPr="007A38AF">
        <w:rPr>
          <w:color w:val="000000" w:themeColor="text1"/>
        </w:rPr>
        <w:t>, AE of special interest (AESI) and serious AE (SAE).</w:t>
      </w:r>
    </w:p>
    <w:p w14:paraId="1521A891" w14:textId="3E1A5683" w:rsidR="000B6DF0" w:rsidRPr="007A38AF" w:rsidRDefault="00F11CD7" w:rsidP="00997285">
      <w:pPr>
        <w:pStyle w:val="3-BodyText"/>
        <w:rPr>
          <w:color w:val="000000" w:themeColor="text1"/>
        </w:rPr>
      </w:pPr>
      <w:r w:rsidRPr="007A38AF">
        <w:rPr>
          <w:color w:val="000000" w:themeColor="text1"/>
        </w:rPr>
        <w:t>H</w:t>
      </w:r>
      <w:r w:rsidR="000B6DF0" w:rsidRPr="007A38AF">
        <w:rPr>
          <w:color w:val="000000" w:themeColor="text1"/>
        </w:rPr>
        <w:t xml:space="preserve">arms data </w:t>
      </w:r>
      <w:r w:rsidRPr="007A38AF">
        <w:rPr>
          <w:color w:val="000000" w:themeColor="text1"/>
        </w:rPr>
        <w:t>for</w:t>
      </w:r>
      <w:r w:rsidR="00B73011" w:rsidRPr="007A38AF">
        <w:rPr>
          <w:color w:val="000000" w:themeColor="text1"/>
        </w:rPr>
        <w:t xml:space="preserve"> </w:t>
      </w:r>
      <w:r w:rsidR="00A71DF7" w:rsidRPr="007A38AF">
        <w:rPr>
          <w:color w:val="000000" w:themeColor="text1"/>
        </w:rPr>
        <w:t xml:space="preserve">entrectinib from different publications </w:t>
      </w:r>
      <w:r w:rsidR="000B6DF0" w:rsidRPr="007A38AF">
        <w:rPr>
          <w:color w:val="000000" w:themeColor="text1"/>
        </w:rPr>
        <w:t>were not pooled</w:t>
      </w:r>
      <w:r w:rsidR="00B73011" w:rsidRPr="007A38AF">
        <w:rPr>
          <w:color w:val="000000" w:themeColor="text1"/>
        </w:rPr>
        <w:t>.</w:t>
      </w:r>
      <w:r w:rsidR="000B6DF0" w:rsidRPr="007A38AF">
        <w:rPr>
          <w:color w:val="000000" w:themeColor="text1"/>
        </w:rPr>
        <w:t xml:space="preserve"> </w:t>
      </w:r>
      <w:r w:rsidRPr="007A38AF">
        <w:rPr>
          <w:color w:val="000000" w:themeColor="text1"/>
        </w:rPr>
        <w:t>S</w:t>
      </w:r>
      <w:r w:rsidR="007F442C" w:rsidRPr="007A38AF">
        <w:rPr>
          <w:color w:val="000000" w:themeColor="text1"/>
        </w:rPr>
        <w:t>tatistical</w:t>
      </w:r>
      <w:r w:rsidR="000B6DF0" w:rsidRPr="007A38AF">
        <w:rPr>
          <w:color w:val="000000" w:themeColor="text1"/>
        </w:rPr>
        <w:t xml:space="preserve"> testing </w:t>
      </w:r>
      <w:r w:rsidR="00E26984" w:rsidRPr="007A38AF">
        <w:rPr>
          <w:color w:val="000000" w:themeColor="text1"/>
        </w:rPr>
        <w:t xml:space="preserve">and </w:t>
      </w:r>
      <w:r w:rsidR="0037736A" w:rsidRPr="007A38AF">
        <w:rPr>
          <w:color w:val="000000" w:themeColor="text1"/>
        </w:rPr>
        <w:t>effect measure</w:t>
      </w:r>
      <w:r w:rsidR="00DA5FF8" w:rsidRPr="007A38AF">
        <w:rPr>
          <w:color w:val="000000" w:themeColor="text1"/>
        </w:rPr>
        <w:t>s</w:t>
      </w:r>
      <w:r w:rsidR="0037736A" w:rsidRPr="007A38AF">
        <w:rPr>
          <w:color w:val="000000" w:themeColor="text1"/>
        </w:rPr>
        <w:t xml:space="preserve"> (i.e. relative risk) </w:t>
      </w:r>
      <w:r w:rsidR="000B6DF0" w:rsidRPr="007A38AF">
        <w:rPr>
          <w:color w:val="000000" w:themeColor="text1"/>
        </w:rPr>
        <w:t xml:space="preserve">between </w:t>
      </w:r>
      <w:r w:rsidR="00B523FA" w:rsidRPr="007A38AF">
        <w:rPr>
          <w:color w:val="000000" w:themeColor="text1"/>
        </w:rPr>
        <w:t xml:space="preserve">repotrectinib and entrectinib </w:t>
      </w:r>
      <w:r w:rsidR="00F00100" w:rsidRPr="007A38AF">
        <w:rPr>
          <w:color w:val="000000" w:themeColor="text1"/>
        </w:rPr>
        <w:t>were</w:t>
      </w:r>
      <w:r w:rsidR="00B523FA" w:rsidRPr="007A38AF">
        <w:rPr>
          <w:color w:val="000000" w:themeColor="text1"/>
        </w:rPr>
        <w:t xml:space="preserve"> not</w:t>
      </w:r>
      <w:r w:rsidR="00B05D64" w:rsidRPr="007A38AF">
        <w:rPr>
          <w:color w:val="000000" w:themeColor="text1"/>
        </w:rPr>
        <w:t xml:space="preserve"> performed</w:t>
      </w:r>
      <w:r w:rsidR="0037736A" w:rsidRPr="007A38AF">
        <w:rPr>
          <w:color w:val="000000" w:themeColor="text1"/>
        </w:rPr>
        <w:t xml:space="preserve"> </w:t>
      </w:r>
      <w:r w:rsidR="00DA5FF8" w:rsidRPr="007A38AF">
        <w:rPr>
          <w:color w:val="000000" w:themeColor="text1"/>
        </w:rPr>
        <w:t>n</w:t>
      </w:r>
      <w:r w:rsidR="0037736A" w:rsidRPr="007A38AF">
        <w:rPr>
          <w:color w:val="000000" w:themeColor="text1"/>
        </w:rPr>
        <w:t>or reported</w:t>
      </w:r>
      <w:r w:rsidR="00B05D64" w:rsidRPr="007A38AF">
        <w:rPr>
          <w:color w:val="000000" w:themeColor="text1"/>
        </w:rPr>
        <w:t xml:space="preserve">. </w:t>
      </w:r>
      <w:r w:rsidR="005F537A" w:rsidRPr="007A38AF">
        <w:rPr>
          <w:color w:val="000000" w:themeColor="text1"/>
        </w:rPr>
        <w:t>A</w:t>
      </w:r>
      <w:r w:rsidR="00B05D64" w:rsidRPr="007A38AF">
        <w:rPr>
          <w:color w:val="000000" w:themeColor="text1"/>
        </w:rPr>
        <w:t xml:space="preserve">n </w:t>
      </w:r>
      <w:r w:rsidR="00F00100" w:rsidRPr="007A38AF">
        <w:rPr>
          <w:color w:val="000000" w:themeColor="text1"/>
        </w:rPr>
        <w:t>indirect</w:t>
      </w:r>
      <w:r w:rsidR="00B05D64" w:rsidRPr="007A38AF">
        <w:rPr>
          <w:color w:val="000000" w:themeColor="text1"/>
        </w:rPr>
        <w:t xml:space="preserve"> comparison</w:t>
      </w:r>
      <w:r w:rsidR="00F00100" w:rsidRPr="007A38AF">
        <w:rPr>
          <w:color w:val="000000" w:themeColor="text1"/>
        </w:rPr>
        <w:t xml:space="preserve"> using MAIC (or similar)</w:t>
      </w:r>
      <w:r w:rsidR="00B05D64" w:rsidRPr="007A38AF">
        <w:rPr>
          <w:color w:val="000000" w:themeColor="text1"/>
        </w:rPr>
        <w:t xml:space="preserve"> could have been performed.</w:t>
      </w:r>
      <w:r w:rsidR="0037736A" w:rsidRPr="007A38AF">
        <w:rPr>
          <w:color w:val="000000" w:themeColor="text1"/>
        </w:rPr>
        <w:t xml:space="preserve"> </w:t>
      </w:r>
    </w:p>
    <w:p w14:paraId="1BE8B659" w14:textId="7F2D4958" w:rsidR="00343137" w:rsidRPr="007A38AF" w:rsidRDefault="00CC1551" w:rsidP="00997285">
      <w:pPr>
        <w:pStyle w:val="3-BodyText"/>
        <w:rPr>
          <w:color w:val="000000" w:themeColor="text1"/>
        </w:rPr>
      </w:pPr>
      <w:r w:rsidRPr="007A38AF">
        <w:rPr>
          <w:color w:val="000000" w:themeColor="text1"/>
        </w:rPr>
        <w:t xml:space="preserve">In </w:t>
      </w:r>
      <w:r w:rsidRPr="006903A1">
        <w:rPr>
          <w:i/>
          <w:iCs/>
          <w:color w:val="000000" w:themeColor="text1"/>
        </w:rPr>
        <w:t>ROS1</w:t>
      </w:r>
      <w:r w:rsidR="006903A1">
        <w:rPr>
          <w:i/>
          <w:iCs/>
          <w:color w:val="000000" w:themeColor="text1"/>
        </w:rPr>
        <w:t>-</w:t>
      </w:r>
      <w:r w:rsidRPr="007A38AF">
        <w:rPr>
          <w:color w:val="000000" w:themeColor="text1"/>
        </w:rPr>
        <w:t>positive NSCLC (TKI-naïve and TKI-pretreated) patients, r</w:t>
      </w:r>
      <w:r w:rsidR="00166E33" w:rsidRPr="007A38AF">
        <w:rPr>
          <w:color w:val="000000" w:themeColor="text1"/>
        </w:rPr>
        <w:t>epotrectinib</w:t>
      </w:r>
      <w:r w:rsidR="004C3D26" w:rsidRPr="007A38AF">
        <w:rPr>
          <w:color w:val="000000" w:themeColor="text1"/>
        </w:rPr>
        <w:t xml:space="preserve"> </w:t>
      </w:r>
      <w:r w:rsidR="00D44B15" w:rsidRPr="007A38AF">
        <w:rPr>
          <w:color w:val="000000" w:themeColor="text1"/>
        </w:rPr>
        <w:t>(3</w:t>
      </w:r>
      <w:r w:rsidRPr="007A38AF">
        <w:rPr>
          <w:color w:val="000000" w:themeColor="text1"/>
        </w:rPr>
        <w:t>8</w:t>
      </w:r>
      <w:r w:rsidR="00D44B15" w:rsidRPr="007A38AF">
        <w:rPr>
          <w:color w:val="000000" w:themeColor="text1"/>
        </w:rPr>
        <w:t xml:space="preserve">%) </w:t>
      </w:r>
      <w:r w:rsidR="00C75E1B" w:rsidRPr="007A38AF">
        <w:rPr>
          <w:color w:val="000000" w:themeColor="text1"/>
        </w:rPr>
        <w:t xml:space="preserve">and </w:t>
      </w:r>
      <w:r w:rsidR="003C4F8E" w:rsidRPr="007A38AF">
        <w:rPr>
          <w:color w:val="000000" w:themeColor="text1"/>
        </w:rPr>
        <w:t>e</w:t>
      </w:r>
      <w:r w:rsidR="003F76CD" w:rsidRPr="007A38AF">
        <w:rPr>
          <w:color w:val="000000" w:themeColor="text1"/>
        </w:rPr>
        <w:t>n</w:t>
      </w:r>
      <w:r w:rsidR="00C75E1B" w:rsidRPr="007A38AF">
        <w:rPr>
          <w:color w:val="000000" w:themeColor="text1"/>
        </w:rPr>
        <w:t>trectini</w:t>
      </w:r>
      <w:r w:rsidR="003F76CD" w:rsidRPr="007A38AF">
        <w:rPr>
          <w:color w:val="000000" w:themeColor="text1"/>
        </w:rPr>
        <w:t>b</w:t>
      </w:r>
      <w:r w:rsidR="00C75E1B" w:rsidRPr="007A38AF">
        <w:rPr>
          <w:color w:val="000000" w:themeColor="text1"/>
        </w:rPr>
        <w:t xml:space="preserve"> </w:t>
      </w:r>
      <w:r w:rsidR="00D44B15" w:rsidRPr="007A38AF">
        <w:rPr>
          <w:color w:val="000000" w:themeColor="text1"/>
        </w:rPr>
        <w:t xml:space="preserve">(36%) </w:t>
      </w:r>
      <w:r w:rsidR="00C75E1B" w:rsidRPr="007A38AF">
        <w:rPr>
          <w:color w:val="000000" w:themeColor="text1"/>
        </w:rPr>
        <w:t xml:space="preserve">had comparable total </w:t>
      </w:r>
      <w:r w:rsidR="00D07017" w:rsidRPr="007A38AF">
        <w:rPr>
          <w:color w:val="000000" w:themeColor="text1"/>
        </w:rPr>
        <w:t xml:space="preserve">deaths at </w:t>
      </w:r>
      <w:r w:rsidR="00D44B15" w:rsidRPr="007A38AF">
        <w:rPr>
          <w:color w:val="000000" w:themeColor="text1"/>
        </w:rPr>
        <w:t xml:space="preserve">the </w:t>
      </w:r>
      <w:r w:rsidR="00D07017" w:rsidRPr="007A38AF">
        <w:rPr>
          <w:color w:val="000000" w:themeColor="text1"/>
        </w:rPr>
        <w:t>end of follow-up</w:t>
      </w:r>
      <w:r w:rsidR="003F76CD" w:rsidRPr="007A38AF">
        <w:rPr>
          <w:color w:val="000000" w:themeColor="text1"/>
        </w:rPr>
        <w:t xml:space="preserve">. </w:t>
      </w:r>
      <w:r w:rsidR="00643C3E" w:rsidRPr="007A38AF">
        <w:rPr>
          <w:color w:val="000000" w:themeColor="text1"/>
        </w:rPr>
        <w:t>Death</w:t>
      </w:r>
      <w:r w:rsidR="00BF5FC9" w:rsidRPr="007A38AF">
        <w:rPr>
          <w:color w:val="000000" w:themeColor="text1"/>
        </w:rPr>
        <w:t xml:space="preserve"> cause</w:t>
      </w:r>
      <w:r w:rsidR="003C4F8E" w:rsidRPr="007A38AF">
        <w:rPr>
          <w:color w:val="000000" w:themeColor="text1"/>
        </w:rPr>
        <w:t xml:space="preserve">d </w:t>
      </w:r>
      <w:r w:rsidR="00F918A7" w:rsidRPr="007A38AF">
        <w:rPr>
          <w:color w:val="000000" w:themeColor="text1"/>
        </w:rPr>
        <w:t xml:space="preserve">by </w:t>
      </w:r>
      <w:r w:rsidR="00446037" w:rsidRPr="007A38AF">
        <w:rPr>
          <w:color w:val="000000" w:themeColor="text1"/>
        </w:rPr>
        <w:t>TR</w:t>
      </w:r>
      <w:r w:rsidR="009432B1" w:rsidRPr="007A38AF">
        <w:rPr>
          <w:color w:val="000000" w:themeColor="text1"/>
        </w:rPr>
        <w:t xml:space="preserve">AE </w:t>
      </w:r>
      <w:r w:rsidR="00FC3243" w:rsidRPr="007A38AF">
        <w:rPr>
          <w:color w:val="000000" w:themeColor="text1"/>
        </w:rPr>
        <w:t xml:space="preserve">between </w:t>
      </w:r>
      <w:r w:rsidR="0015014A" w:rsidRPr="007A38AF">
        <w:rPr>
          <w:color w:val="000000" w:themeColor="text1"/>
        </w:rPr>
        <w:t>repotrect</w:t>
      </w:r>
      <w:r w:rsidR="00B41BCF" w:rsidRPr="007A38AF">
        <w:rPr>
          <w:color w:val="000000" w:themeColor="text1"/>
        </w:rPr>
        <w:t>inib</w:t>
      </w:r>
      <w:r w:rsidR="000B0297" w:rsidRPr="007A38AF">
        <w:rPr>
          <w:color w:val="000000" w:themeColor="text1"/>
        </w:rPr>
        <w:t xml:space="preserve"> (</w:t>
      </w:r>
      <w:r w:rsidR="000B0297" w:rsidRPr="002725D8">
        <w:rPr>
          <w:i/>
          <w:iCs/>
          <w:color w:val="000000" w:themeColor="text1"/>
        </w:rPr>
        <w:t>ROS1</w:t>
      </w:r>
      <w:r w:rsidR="002725D8">
        <w:rPr>
          <w:color w:val="000000" w:themeColor="text1"/>
        </w:rPr>
        <w:t>-</w:t>
      </w:r>
      <w:r w:rsidR="000B0297" w:rsidRPr="007A38AF">
        <w:rPr>
          <w:color w:val="000000" w:themeColor="text1"/>
        </w:rPr>
        <w:t>positive NSCLC patients)</w:t>
      </w:r>
      <w:r w:rsidR="00B41BCF" w:rsidRPr="007A38AF">
        <w:rPr>
          <w:color w:val="000000" w:themeColor="text1"/>
        </w:rPr>
        <w:t xml:space="preserve"> and entrectinib </w:t>
      </w:r>
      <w:r w:rsidR="00DF5CF5" w:rsidRPr="007A38AF">
        <w:rPr>
          <w:color w:val="000000" w:themeColor="text1"/>
        </w:rPr>
        <w:t xml:space="preserve">(integrated analysis) </w:t>
      </w:r>
      <w:r w:rsidR="00B02AE6" w:rsidRPr="007A38AF">
        <w:rPr>
          <w:color w:val="000000" w:themeColor="text1"/>
        </w:rPr>
        <w:t xml:space="preserve">was </w:t>
      </w:r>
      <w:r w:rsidR="00FC3243" w:rsidRPr="007A38AF">
        <w:rPr>
          <w:color w:val="000000" w:themeColor="text1"/>
        </w:rPr>
        <w:t>comparable</w:t>
      </w:r>
      <w:r w:rsidR="00C33E07" w:rsidRPr="007A38AF">
        <w:rPr>
          <w:color w:val="000000" w:themeColor="text1"/>
        </w:rPr>
        <w:t>,</w:t>
      </w:r>
      <w:r w:rsidR="00066652" w:rsidRPr="007A38AF">
        <w:rPr>
          <w:color w:val="000000" w:themeColor="text1"/>
        </w:rPr>
        <w:t xml:space="preserve"> at </w:t>
      </w:r>
      <w:r w:rsidR="00AE2F5C" w:rsidRPr="007A38AF">
        <w:rPr>
          <w:color w:val="000000" w:themeColor="text1"/>
        </w:rPr>
        <w:t xml:space="preserve">0.3% and </w:t>
      </w:r>
      <w:r w:rsidR="00066652" w:rsidRPr="007A38AF">
        <w:rPr>
          <w:color w:val="000000" w:themeColor="text1"/>
        </w:rPr>
        <w:t xml:space="preserve">0.4% </w:t>
      </w:r>
      <w:r w:rsidR="00AE2F5C" w:rsidRPr="007A38AF">
        <w:rPr>
          <w:color w:val="000000" w:themeColor="text1"/>
        </w:rPr>
        <w:t>respectively</w:t>
      </w:r>
      <w:r w:rsidR="00B41BCF" w:rsidRPr="007A38AF">
        <w:rPr>
          <w:color w:val="000000" w:themeColor="text1"/>
        </w:rPr>
        <w:t xml:space="preserve">. </w:t>
      </w:r>
      <w:r w:rsidR="003F76CD" w:rsidRPr="007A38AF">
        <w:rPr>
          <w:color w:val="000000" w:themeColor="text1"/>
        </w:rPr>
        <w:t xml:space="preserve">Neither of the </w:t>
      </w:r>
      <w:r w:rsidR="00200624" w:rsidRPr="007A38AF">
        <w:rPr>
          <w:color w:val="000000" w:themeColor="text1"/>
        </w:rPr>
        <w:t>publica</w:t>
      </w:r>
      <w:r w:rsidR="00643C3E" w:rsidRPr="007A38AF">
        <w:rPr>
          <w:color w:val="000000" w:themeColor="text1"/>
        </w:rPr>
        <w:t>ti</w:t>
      </w:r>
      <w:r w:rsidR="00200624" w:rsidRPr="007A38AF">
        <w:rPr>
          <w:color w:val="000000" w:themeColor="text1"/>
        </w:rPr>
        <w:t xml:space="preserve">ons on </w:t>
      </w:r>
      <w:r w:rsidR="00C10F0C" w:rsidRPr="007A38AF">
        <w:rPr>
          <w:color w:val="000000" w:themeColor="text1"/>
        </w:rPr>
        <w:t>entrectinib</w:t>
      </w:r>
      <w:r w:rsidR="00200624" w:rsidRPr="007A38AF">
        <w:rPr>
          <w:color w:val="000000" w:themeColor="text1"/>
        </w:rPr>
        <w:t xml:space="preserve"> reported </w:t>
      </w:r>
      <w:r w:rsidR="00643C3E" w:rsidRPr="007A38AF">
        <w:rPr>
          <w:color w:val="000000" w:themeColor="text1"/>
        </w:rPr>
        <w:t>death</w:t>
      </w:r>
      <w:r w:rsidR="00B02AE6" w:rsidRPr="007A38AF">
        <w:rPr>
          <w:color w:val="000000" w:themeColor="text1"/>
        </w:rPr>
        <w:t>s</w:t>
      </w:r>
      <w:r w:rsidR="00643C3E" w:rsidRPr="007A38AF">
        <w:rPr>
          <w:color w:val="000000" w:themeColor="text1"/>
        </w:rPr>
        <w:t xml:space="preserve"> that occurred within 28 days of the last dose, nor death</w:t>
      </w:r>
      <w:r w:rsidR="00B02AE6" w:rsidRPr="007A38AF">
        <w:rPr>
          <w:color w:val="000000" w:themeColor="text1"/>
        </w:rPr>
        <w:t>s</w:t>
      </w:r>
      <w:r w:rsidR="00643C3E" w:rsidRPr="007A38AF">
        <w:rPr>
          <w:color w:val="000000" w:themeColor="text1"/>
        </w:rPr>
        <w:t xml:space="preserve"> from AESI. </w:t>
      </w:r>
    </w:p>
    <w:p w14:paraId="321CE468" w14:textId="1AADC969" w:rsidR="00BA5FEA" w:rsidRPr="007A38AF" w:rsidRDefault="00F5408E" w:rsidP="00997285">
      <w:pPr>
        <w:pStyle w:val="3-BodyText"/>
        <w:rPr>
          <w:color w:val="000000" w:themeColor="text1"/>
        </w:rPr>
      </w:pPr>
      <w:r w:rsidRPr="002725D8">
        <w:rPr>
          <w:i/>
          <w:iCs/>
          <w:color w:val="000000" w:themeColor="text1"/>
        </w:rPr>
        <w:t>ROS1</w:t>
      </w:r>
      <w:r w:rsidR="002725D8">
        <w:rPr>
          <w:color w:val="000000" w:themeColor="text1"/>
        </w:rPr>
        <w:t>-</w:t>
      </w:r>
      <w:r w:rsidRPr="007A38AF">
        <w:rPr>
          <w:color w:val="000000" w:themeColor="text1"/>
        </w:rPr>
        <w:t>positive NSCLC (TKI-naïve and TKI-pretreated) p</w:t>
      </w:r>
      <w:r w:rsidR="00D050F1" w:rsidRPr="007A38AF">
        <w:rPr>
          <w:color w:val="000000" w:themeColor="text1"/>
        </w:rPr>
        <w:t xml:space="preserve">atients </w:t>
      </w:r>
      <w:r w:rsidR="00612169" w:rsidRPr="007A38AF">
        <w:rPr>
          <w:color w:val="000000" w:themeColor="text1"/>
        </w:rPr>
        <w:t>on r</w:t>
      </w:r>
      <w:r w:rsidR="001952B9" w:rsidRPr="007A38AF">
        <w:rPr>
          <w:color w:val="000000" w:themeColor="text1"/>
        </w:rPr>
        <w:t>epotrectinib</w:t>
      </w:r>
      <w:r w:rsidR="00612169" w:rsidRPr="007A38AF">
        <w:rPr>
          <w:color w:val="000000" w:themeColor="text1"/>
        </w:rPr>
        <w:t xml:space="preserve"> experienced </w:t>
      </w:r>
      <w:r w:rsidR="00B02AE6" w:rsidRPr="007A38AF">
        <w:rPr>
          <w:color w:val="000000" w:themeColor="text1"/>
        </w:rPr>
        <w:t xml:space="preserve">a </w:t>
      </w:r>
      <w:r w:rsidR="00D050F1" w:rsidRPr="007A38AF">
        <w:rPr>
          <w:color w:val="000000" w:themeColor="text1"/>
        </w:rPr>
        <w:t>high</w:t>
      </w:r>
      <w:r w:rsidR="004C1C2C" w:rsidRPr="007A38AF">
        <w:rPr>
          <w:color w:val="000000" w:themeColor="text1"/>
        </w:rPr>
        <w:t xml:space="preserve"> rate of</w:t>
      </w:r>
      <w:r w:rsidR="00FE2B94" w:rsidRPr="007A38AF">
        <w:rPr>
          <w:color w:val="000000" w:themeColor="text1"/>
        </w:rPr>
        <w:t xml:space="preserve"> </w:t>
      </w:r>
      <w:r w:rsidR="001D6DB0" w:rsidRPr="007A38AF">
        <w:rPr>
          <w:color w:val="000000" w:themeColor="text1"/>
        </w:rPr>
        <w:t xml:space="preserve">total </w:t>
      </w:r>
      <w:r w:rsidR="00FC445C" w:rsidRPr="007A38AF">
        <w:rPr>
          <w:color w:val="000000" w:themeColor="text1"/>
        </w:rPr>
        <w:t>TEAE</w:t>
      </w:r>
      <w:r w:rsidR="00FE2B94" w:rsidRPr="007A38AF">
        <w:rPr>
          <w:color w:val="000000" w:themeColor="text1"/>
        </w:rPr>
        <w:t xml:space="preserve"> </w:t>
      </w:r>
      <w:r w:rsidR="004C1C2C" w:rsidRPr="007A38AF">
        <w:rPr>
          <w:color w:val="000000" w:themeColor="text1"/>
        </w:rPr>
        <w:t>(</w:t>
      </w:r>
      <w:r w:rsidR="00FE2B94" w:rsidRPr="007A38AF">
        <w:rPr>
          <w:color w:val="000000" w:themeColor="text1"/>
        </w:rPr>
        <w:t>99%</w:t>
      </w:r>
      <w:r w:rsidR="004C1C2C" w:rsidRPr="007A38AF">
        <w:rPr>
          <w:color w:val="000000" w:themeColor="text1"/>
        </w:rPr>
        <w:t>)</w:t>
      </w:r>
      <w:r w:rsidR="00FE2B94" w:rsidRPr="007A38AF">
        <w:rPr>
          <w:color w:val="000000" w:themeColor="text1"/>
        </w:rPr>
        <w:t xml:space="preserve">. Neither </w:t>
      </w:r>
      <w:r w:rsidR="001D6DB0" w:rsidRPr="007A38AF">
        <w:rPr>
          <w:color w:val="000000" w:themeColor="text1"/>
        </w:rPr>
        <w:t xml:space="preserve">of the </w:t>
      </w:r>
      <w:r w:rsidR="00FE2B94" w:rsidRPr="007A38AF">
        <w:rPr>
          <w:color w:val="000000" w:themeColor="text1"/>
        </w:rPr>
        <w:t>entrectinib publication</w:t>
      </w:r>
      <w:r w:rsidR="001D6DB0" w:rsidRPr="007A38AF">
        <w:rPr>
          <w:color w:val="000000" w:themeColor="text1"/>
        </w:rPr>
        <w:t>s</w:t>
      </w:r>
      <w:r w:rsidR="00FE2B94" w:rsidRPr="007A38AF">
        <w:rPr>
          <w:color w:val="000000" w:themeColor="text1"/>
        </w:rPr>
        <w:t xml:space="preserve"> reported total T</w:t>
      </w:r>
      <w:r w:rsidR="00EC610A" w:rsidRPr="007A38AF">
        <w:rPr>
          <w:color w:val="000000" w:themeColor="text1"/>
        </w:rPr>
        <w:t>E</w:t>
      </w:r>
      <w:r w:rsidR="00FE2B94" w:rsidRPr="007A38AF">
        <w:rPr>
          <w:color w:val="000000" w:themeColor="text1"/>
        </w:rPr>
        <w:t>A</w:t>
      </w:r>
      <w:r w:rsidR="00EC610A" w:rsidRPr="007A38AF">
        <w:rPr>
          <w:color w:val="000000" w:themeColor="text1"/>
        </w:rPr>
        <w:t>E</w:t>
      </w:r>
      <w:r w:rsidR="00A438BC" w:rsidRPr="007A38AF">
        <w:rPr>
          <w:color w:val="000000" w:themeColor="text1"/>
        </w:rPr>
        <w:t>, includ</w:t>
      </w:r>
      <w:r w:rsidR="002B3D87" w:rsidRPr="007A38AF">
        <w:rPr>
          <w:color w:val="000000" w:themeColor="text1"/>
        </w:rPr>
        <w:t>ing</w:t>
      </w:r>
      <w:r w:rsidR="00A438BC" w:rsidRPr="007A38AF">
        <w:rPr>
          <w:color w:val="000000" w:themeColor="text1"/>
        </w:rPr>
        <w:t xml:space="preserve"> TEAE</w:t>
      </w:r>
      <w:r w:rsidR="002B3D87" w:rsidRPr="007A38AF">
        <w:rPr>
          <w:color w:val="000000" w:themeColor="text1"/>
        </w:rPr>
        <w:t>s</w:t>
      </w:r>
      <w:r w:rsidR="00A438BC" w:rsidRPr="007A38AF">
        <w:rPr>
          <w:color w:val="000000" w:themeColor="text1"/>
        </w:rPr>
        <w:t xml:space="preserve"> that were serio</w:t>
      </w:r>
      <w:r w:rsidR="00DF6512" w:rsidRPr="007A38AF">
        <w:rPr>
          <w:color w:val="000000" w:themeColor="text1"/>
        </w:rPr>
        <w:t>us</w:t>
      </w:r>
      <w:r w:rsidR="001D6DB0" w:rsidRPr="007A38AF">
        <w:rPr>
          <w:color w:val="000000" w:themeColor="text1"/>
        </w:rPr>
        <w:t xml:space="preserve">, </w:t>
      </w:r>
      <w:r w:rsidR="001F0821" w:rsidRPr="007A38AF">
        <w:rPr>
          <w:color w:val="000000" w:themeColor="text1"/>
        </w:rPr>
        <w:t xml:space="preserve">resulted in </w:t>
      </w:r>
      <w:r w:rsidR="00DF6512" w:rsidRPr="007A38AF">
        <w:rPr>
          <w:color w:val="000000" w:themeColor="text1"/>
        </w:rPr>
        <w:t>dose modification</w:t>
      </w:r>
      <w:r w:rsidR="00FC6A1F" w:rsidRPr="007A38AF">
        <w:rPr>
          <w:color w:val="000000" w:themeColor="text1"/>
        </w:rPr>
        <w:t>,</w:t>
      </w:r>
      <w:r w:rsidR="00DF6512" w:rsidRPr="007A38AF">
        <w:rPr>
          <w:color w:val="000000" w:themeColor="text1"/>
        </w:rPr>
        <w:t xml:space="preserve"> or </w:t>
      </w:r>
      <w:r w:rsidR="00FC6A1F" w:rsidRPr="007A38AF">
        <w:rPr>
          <w:color w:val="000000" w:themeColor="text1"/>
        </w:rPr>
        <w:t xml:space="preserve">led to </w:t>
      </w:r>
      <w:r w:rsidR="00DF6512" w:rsidRPr="007A38AF">
        <w:rPr>
          <w:color w:val="000000" w:themeColor="text1"/>
        </w:rPr>
        <w:t xml:space="preserve">treatment </w:t>
      </w:r>
      <w:r w:rsidR="001433D7" w:rsidRPr="007A38AF">
        <w:rPr>
          <w:color w:val="000000" w:themeColor="text1"/>
        </w:rPr>
        <w:t xml:space="preserve">discontinuation. </w:t>
      </w:r>
      <w:r w:rsidR="00CF0739" w:rsidRPr="002777AB">
        <w:rPr>
          <w:i/>
          <w:iCs/>
          <w:color w:val="000000" w:themeColor="text1"/>
        </w:rPr>
        <w:t>ROS1</w:t>
      </w:r>
      <w:r w:rsidR="00847C5B">
        <w:rPr>
          <w:i/>
          <w:iCs/>
          <w:color w:val="000000" w:themeColor="text1"/>
        </w:rPr>
        <w:t>-</w:t>
      </w:r>
      <w:r w:rsidR="00CF0739" w:rsidRPr="007A38AF">
        <w:rPr>
          <w:color w:val="000000" w:themeColor="text1"/>
        </w:rPr>
        <w:t>positive NSCLC patients on r</w:t>
      </w:r>
      <w:r w:rsidR="001433D7" w:rsidRPr="007A38AF">
        <w:rPr>
          <w:color w:val="000000" w:themeColor="text1"/>
        </w:rPr>
        <w:t xml:space="preserve">epotrectinib </w:t>
      </w:r>
      <w:r w:rsidR="005B5AE7" w:rsidRPr="007A38AF">
        <w:rPr>
          <w:color w:val="000000" w:themeColor="text1"/>
        </w:rPr>
        <w:t xml:space="preserve">(57%) </w:t>
      </w:r>
      <w:r w:rsidR="001433D7" w:rsidRPr="007A38AF">
        <w:rPr>
          <w:color w:val="000000" w:themeColor="text1"/>
        </w:rPr>
        <w:t xml:space="preserve">and entrectinib </w:t>
      </w:r>
      <w:r w:rsidR="005B5AE7" w:rsidRPr="007A38AF">
        <w:rPr>
          <w:color w:val="000000" w:themeColor="text1"/>
        </w:rPr>
        <w:t xml:space="preserve">(56%) </w:t>
      </w:r>
      <w:r w:rsidR="001433D7" w:rsidRPr="007A38AF">
        <w:rPr>
          <w:color w:val="000000" w:themeColor="text1"/>
        </w:rPr>
        <w:t xml:space="preserve">had </w:t>
      </w:r>
      <w:r w:rsidR="00113C04" w:rsidRPr="007A38AF">
        <w:rPr>
          <w:color w:val="000000" w:themeColor="text1"/>
        </w:rPr>
        <w:t>comparable</w:t>
      </w:r>
      <w:r w:rsidR="0023789C" w:rsidRPr="007A38AF">
        <w:rPr>
          <w:color w:val="000000" w:themeColor="text1"/>
        </w:rPr>
        <w:t xml:space="preserve"> </w:t>
      </w:r>
      <w:r w:rsidR="004D1D6E" w:rsidRPr="007A38AF">
        <w:rPr>
          <w:color w:val="000000" w:themeColor="text1"/>
        </w:rPr>
        <w:t xml:space="preserve">rates of </w:t>
      </w:r>
      <w:r w:rsidR="0023789C" w:rsidRPr="007A38AF">
        <w:rPr>
          <w:color w:val="000000" w:themeColor="text1"/>
        </w:rPr>
        <w:t>grade</w:t>
      </w:r>
      <w:r w:rsidR="00B2666C" w:rsidRPr="007A38AF">
        <w:rPr>
          <w:color w:val="000000" w:themeColor="text1"/>
        </w:rPr>
        <w:t xml:space="preserve"> </w:t>
      </w:r>
      <w:r w:rsidR="0023789C" w:rsidRPr="007A38AF">
        <w:rPr>
          <w:color w:val="000000" w:themeColor="text1"/>
        </w:rPr>
        <w:t xml:space="preserve">≥3 </w:t>
      </w:r>
      <w:r w:rsidR="00AE1B9A" w:rsidRPr="007A38AF">
        <w:rPr>
          <w:color w:val="000000" w:themeColor="text1"/>
        </w:rPr>
        <w:t xml:space="preserve">serious </w:t>
      </w:r>
      <w:r w:rsidR="0023789C" w:rsidRPr="007A38AF">
        <w:rPr>
          <w:color w:val="000000" w:themeColor="text1"/>
        </w:rPr>
        <w:t>TEAE</w:t>
      </w:r>
      <w:r w:rsidR="00D15421" w:rsidRPr="007A38AF">
        <w:rPr>
          <w:color w:val="000000" w:themeColor="text1"/>
        </w:rPr>
        <w:t xml:space="preserve">. </w:t>
      </w:r>
    </w:p>
    <w:p w14:paraId="5D9E52D3" w14:textId="37410E45" w:rsidR="00CA1BA3" w:rsidRPr="00A120DB" w:rsidRDefault="00C05142" w:rsidP="00997285">
      <w:pPr>
        <w:pStyle w:val="3-BodyText"/>
        <w:rPr>
          <w:color w:val="000000" w:themeColor="text1"/>
        </w:rPr>
      </w:pPr>
      <w:r>
        <w:rPr>
          <w:color w:val="000000" w:themeColor="text1"/>
        </w:rPr>
        <w:t>Patients on r</w:t>
      </w:r>
      <w:r w:rsidRPr="000F4D74">
        <w:rPr>
          <w:color w:val="000000" w:themeColor="text1"/>
        </w:rPr>
        <w:t>epotrectinib</w:t>
      </w:r>
      <w:r>
        <w:rPr>
          <w:color w:val="000000" w:themeColor="text1"/>
        </w:rPr>
        <w:t xml:space="preserve"> </w:t>
      </w:r>
      <w:r w:rsidR="005A7B42">
        <w:rPr>
          <w:color w:val="000000" w:themeColor="text1"/>
        </w:rPr>
        <w:t xml:space="preserve">(any </w:t>
      </w:r>
      <w:r w:rsidR="00286291">
        <w:rPr>
          <w:color w:val="000000" w:themeColor="text1"/>
        </w:rPr>
        <w:t xml:space="preserve">phase 2 </w:t>
      </w:r>
      <w:r w:rsidR="005A7B42">
        <w:rPr>
          <w:color w:val="000000" w:themeColor="text1"/>
        </w:rPr>
        <w:t xml:space="preserve">expansion cohort) </w:t>
      </w:r>
      <w:r w:rsidR="00701B70">
        <w:rPr>
          <w:color w:val="000000" w:themeColor="text1"/>
        </w:rPr>
        <w:t xml:space="preserve">and </w:t>
      </w:r>
      <w:r w:rsidR="00636761">
        <w:rPr>
          <w:color w:val="000000" w:themeColor="text1"/>
        </w:rPr>
        <w:t xml:space="preserve">entrectinib </w:t>
      </w:r>
      <w:r>
        <w:rPr>
          <w:color w:val="000000" w:themeColor="text1"/>
        </w:rPr>
        <w:t>experience</w:t>
      </w:r>
      <w:r w:rsidR="00386226">
        <w:rPr>
          <w:color w:val="000000" w:themeColor="text1"/>
        </w:rPr>
        <w:t>d</w:t>
      </w:r>
      <w:r w:rsidR="00636761">
        <w:rPr>
          <w:color w:val="000000" w:themeColor="text1"/>
        </w:rPr>
        <w:t xml:space="preserve"> comparable </w:t>
      </w:r>
      <w:r>
        <w:rPr>
          <w:color w:val="000000" w:themeColor="text1"/>
        </w:rPr>
        <w:t xml:space="preserve">total </w:t>
      </w:r>
      <w:r w:rsidR="00636761">
        <w:rPr>
          <w:color w:val="000000" w:themeColor="text1"/>
        </w:rPr>
        <w:t xml:space="preserve">rates of </w:t>
      </w:r>
      <w:r>
        <w:rPr>
          <w:color w:val="000000" w:themeColor="text1"/>
        </w:rPr>
        <w:t>TRAE</w:t>
      </w:r>
      <w:r w:rsidR="00F332CE">
        <w:rPr>
          <w:color w:val="000000" w:themeColor="text1"/>
        </w:rPr>
        <w:t>s</w:t>
      </w:r>
      <w:r w:rsidR="00FC6F52">
        <w:rPr>
          <w:color w:val="000000" w:themeColor="text1"/>
        </w:rPr>
        <w:t xml:space="preserve"> (</w:t>
      </w:r>
      <w:r w:rsidR="00636761">
        <w:rPr>
          <w:color w:val="000000" w:themeColor="text1"/>
        </w:rPr>
        <w:t xml:space="preserve">96% </w:t>
      </w:r>
      <w:r w:rsidR="00FC6F52">
        <w:rPr>
          <w:color w:val="000000" w:themeColor="text1"/>
        </w:rPr>
        <w:t xml:space="preserve">vs </w:t>
      </w:r>
      <w:r w:rsidR="002338EB">
        <w:rPr>
          <w:color w:val="000000" w:themeColor="text1"/>
        </w:rPr>
        <w:t>93</w:t>
      </w:r>
      <w:r w:rsidR="00F332CE" w:rsidRPr="00557EA2">
        <w:t>–</w:t>
      </w:r>
      <w:r w:rsidR="00636761">
        <w:rPr>
          <w:color w:val="000000" w:themeColor="text1"/>
        </w:rPr>
        <w:t>95%</w:t>
      </w:r>
      <w:r w:rsidR="00FC6F52">
        <w:rPr>
          <w:color w:val="000000" w:themeColor="text1"/>
        </w:rPr>
        <w:t>)</w:t>
      </w:r>
      <w:r w:rsidR="00636761">
        <w:rPr>
          <w:color w:val="000000" w:themeColor="text1"/>
        </w:rPr>
        <w:t>.</w:t>
      </w:r>
      <w:r>
        <w:rPr>
          <w:color w:val="000000" w:themeColor="text1"/>
        </w:rPr>
        <w:t xml:space="preserve"> </w:t>
      </w:r>
      <w:r w:rsidR="00FC6F52">
        <w:rPr>
          <w:color w:val="000000" w:themeColor="text1"/>
        </w:rPr>
        <w:t>Both</w:t>
      </w:r>
      <w:r w:rsidR="00C35F39">
        <w:rPr>
          <w:color w:val="000000" w:themeColor="text1"/>
        </w:rPr>
        <w:t xml:space="preserve"> drugs </w:t>
      </w:r>
      <w:r w:rsidR="00A02E19">
        <w:rPr>
          <w:color w:val="000000" w:themeColor="text1"/>
        </w:rPr>
        <w:t>had comparable</w:t>
      </w:r>
      <w:r>
        <w:rPr>
          <w:color w:val="000000" w:themeColor="text1"/>
        </w:rPr>
        <w:t xml:space="preserve"> T</w:t>
      </w:r>
      <w:r w:rsidR="002A0A56">
        <w:rPr>
          <w:color w:val="000000" w:themeColor="text1"/>
        </w:rPr>
        <w:t>R</w:t>
      </w:r>
      <w:r>
        <w:rPr>
          <w:color w:val="000000" w:themeColor="text1"/>
        </w:rPr>
        <w:t>AE</w:t>
      </w:r>
      <w:r w:rsidR="00FF2442">
        <w:rPr>
          <w:color w:val="000000" w:themeColor="text1"/>
        </w:rPr>
        <w:t>s</w:t>
      </w:r>
      <w:r>
        <w:rPr>
          <w:color w:val="000000" w:themeColor="text1"/>
        </w:rPr>
        <w:t xml:space="preserve"> that were serious or </w:t>
      </w:r>
      <w:r w:rsidR="00A02E19">
        <w:rPr>
          <w:color w:val="000000" w:themeColor="text1"/>
        </w:rPr>
        <w:t xml:space="preserve">led to </w:t>
      </w:r>
      <w:r>
        <w:rPr>
          <w:color w:val="000000" w:themeColor="text1"/>
        </w:rPr>
        <w:t>treatment discontinuation.</w:t>
      </w:r>
      <w:r w:rsidR="00B00D5A">
        <w:rPr>
          <w:color w:val="000000" w:themeColor="text1"/>
        </w:rPr>
        <w:t xml:space="preserve"> </w:t>
      </w:r>
      <w:r w:rsidR="00244DD4">
        <w:rPr>
          <w:color w:val="000000" w:themeColor="text1"/>
        </w:rPr>
        <w:t>Regarding</w:t>
      </w:r>
      <w:r w:rsidR="00095937">
        <w:rPr>
          <w:color w:val="000000" w:themeColor="text1"/>
        </w:rPr>
        <w:t xml:space="preserve"> dose modification, </w:t>
      </w:r>
      <w:r w:rsidR="00095937">
        <w:rPr>
          <w:color w:val="000000" w:themeColor="text1"/>
        </w:rPr>
        <w:lastRenderedPageBreak/>
        <w:t xml:space="preserve">more </w:t>
      </w:r>
      <w:r w:rsidR="00C83407" w:rsidRPr="002777AB">
        <w:rPr>
          <w:i/>
          <w:iCs/>
          <w:color w:val="000000" w:themeColor="text1"/>
        </w:rPr>
        <w:t>ROS-1</w:t>
      </w:r>
      <w:r w:rsidR="00C83407" w:rsidRPr="00C83407">
        <w:rPr>
          <w:color w:val="000000" w:themeColor="text1"/>
        </w:rPr>
        <w:t xml:space="preserve"> positive NSCLC </w:t>
      </w:r>
      <w:r w:rsidR="00244DD4">
        <w:rPr>
          <w:color w:val="000000" w:themeColor="text1"/>
        </w:rPr>
        <w:t>patients</w:t>
      </w:r>
      <w:r w:rsidR="00095937">
        <w:rPr>
          <w:color w:val="000000" w:themeColor="text1"/>
        </w:rPr>
        <w:t xml:space="preserve"> on </w:t>
      </w:r>
      <w:r w:rsidR="00972A2D">
        <w:rPr>
          <w:color w:val="000000" w:themeColor="text1"/>
        </w:rPr>
        <w:t>r</w:t>
      </w:r>
      <w:r w:rsidR="00D26E0A">
        <w:rPr>
          <w:color w:val="000000" w:themeColor="text1"/>
        </w:rPr>
        <w:t>epotrectinib</w:t>
      </w:r>
      <w:r w:rsidR="00700B3B">
        <w:rPr>
          <w:color w:val="000000" w:themeColor="text1"/>
        </w:rPr>
        <w:t xml:space="preserve"> </w:t>
      </w:r>
      <w:r w:rsidR="00095937">
        <w:rPr>
          <w:color w:val="000000" w:themeColor="text1"/>
        </w:rPr>
        <w:t>(</w:t>
      </w:r>
      <w:r w:rsidR="00A120DB">
        <w:rPr>
          <w:color w:val="000000" w:themeColor="text1"/>
        </w:rPr>
        <w:t>3</w:t>
      </w:r>
      <w:r w:rsidR="00C36696">
        <w:rPr>
          <w:color w:val="000000" w:themeColor="text1"/>
        </w:rPr>
        <w:t>6</w:t>
      </w:r>
      <w:r w:rsidR="00A120DB">
        <w:rPr>
          <w:color w:val="000000" w:themeColor="text1"/>
        </w:rPr>
        <w:t>%)</w:t>
      </w:r>
      <w:r w:rsidR="00D26E0A" w:rsidRPr="00A120DB">
        <w:rPr>
          <w:color w:val="000000" w:themeColor="text1"/>
        </w:rPr>
        <w:t xml:space="preserve"> </w:t>
      </w:r>
      <w:r w:rsidR="00333EAA" w:rsidRPr="00A120DB">
        <w:rPr>
          <w:color w:val="000000" w:themeColor="text1"/>
        </w:rPr>
        <w:t>experienced</w:t>
      </w:r>
      <w:r w:rsidR="005826E9" w:rsidRPr="00A120DB">
        <w:rPr>
          <w:color w:val="000000" w:themeColor="text1"/>
        </w:rPr>
        <w:t xml:space="preserve"> drug</w:t>
      </w:r>
      <w:r w:rsidR="00333EAA" w:rsidRPr="00A120DB">
        <w:rPr>
          <w:color w:val="000000" w:themeColor="text1"/>
        </w:rPr>
        <w:t xml:space="preserve"> interruption </w:t>
      </w:r>
      <w:r w:rsidR="005826E9" w:rsidRPr="00A120DB">
        <w:rPr>
          <w:color w:val="000000" w:themeColor="text1"/>
        </w:rPr>
        <w:t>than those on en</w:t>
      </w:r>
      <w:r w:rsidR="009F5128" w:rsidRPr="00A120DB">
        <w:rPr>
          <w:color w:val="000000" w:themeColor="text1"/>
        </w:rPr>
        <w:t>trectinib (20%).</w:t>
      </w:r>
      <w:r w:rsidR="00A93880" w:rsidRPr="00A120DB">
        <w:rPr>
          <w:color w:val="000000" w:themeColor="text1"/>
        </w:rPr>
        <w:t xml:space="preserve"> </w:t>
      </w:r>
    </w:p>
    <w:p w14:paraId="73268190" w14:textId="15E48BF6" w:rsidR="00A438BC" w:rsidRDefault="00226361" w:rsidP="00997285">
      <w:pPr>
        <w:pStyle w:val="3-BodyText"/>
        <w:rPr>
          <w:color w:val="000000" w:themeColor="text1"/>
        </w:rPr>
      </w:pPr>
      <w:r>
        <w:rPr>
          <w:color w:val="000000" w:themeColor="text1"/>
        </w:rPr>
        <w:t xml:space="preserve">Around 95% of </w:t>
      </w:r>
      <w:r w:rsidR="00055DD0" w:rsidRPr="002777AB">
        <w:rPr>
          <w:i/>
          <w:iCs/>
          <w:color w:val="000000" w:themeColor="text1"/>
        </w:rPr>
        <w:t>ROS-1</w:t>
      </w:r>
      <w:r w:rsidR="00055DD0" w:rsidRPr="00055DD0">
        <w:rPr>
          <w:color w:val="000000" w:themeColor="text1"/>
        </w:rPr>
        <w:t xml:space="preserve"> positive NSCLC </w:t>
      </w:r>
      <w:r w:rsidR="0020585D">
        <w:rPr>
          <w:color w:val="000000" w:themeColor="text1"/>
        </w:rPr>
        <w:t>p</w:t>
      </w:r>
      <w:r w:rsidR="00AF4D97">
        <w:rPr>
          <w:color w:val="000000" w:themeColor="text1"/>
        </w:rPr>
        <w:t>atients on r</w:t>
      </w:r>
      <w:r w:rsidR="00AF4D97" w:rsidRPr="000F4D74">
        <w:rPr>
          <w:color w:val="000000" w:themeColor="text1"/>
        </w:rPr>
        <w:t>epotrectinib</w:t>
      </w:r>
      <w:r w:rsidR="00AF4D97">
        <w:rPr>
          <w:color w:val="000000" w:themeColor="text1"/>
        </w:rPr>
        <w:t xml:space="preserve"> reported </w:t>
      </w:r>
      <w:r w:rsidR="00EB6587">
        <w:rPr>
          <w:color w:val="000000" w:themeColor="text1"/>
        </w:rPr>
        <w:t xml:space="preserve">at least one </w:t>
      </w:r>
      <w:r w:rsidR="0020585D">
        <w:rPr>
          <w:color w:val="000000" w:themeColor="text1"/>
        </w:rPr>
        <w:t xml:space="preserve">AESI. </w:t>
      </w:r>
      <w:r w:rsidR="001176B7" w:rsidRPr="7502E591">
        <w:rPr>
          <w:rFonts w:eastAsiaTheme="minorEastAsia"/>
        </w:rPr>
        <w:t xml:space="preserve">One </w:t>
      </w:r>
      <w:r w:rsidR="00AC6B78">
        <w:rPr>
          <w:rFonts w:eastAsiaTheme="minorEastAsia"/>
        </w:rPr>
        <w:t>p</w:t>
      </w:r>
      <w:r w:rsidR="00DB2D34">
        <w:rPr>
          <w:rFonts w:eastAsiaTheme="minorEastAsia"/>
        </w:rPr>
        <w:t>atient</w:t>
      </w:r>
      <w:r w:rsidR="001176B7" w:rsidRPr="7502E591">
        <w:rPr>
          <w:rFonts w:eastAsiaTheme="minorEastAsia"/>
        </w:rPr>
        <w:t xml:space="preserve"> </w:t>
      </w:r>
      <w:r w:rsidR="00FC6F52" w:rsidRPr="7502E591">
        <w:rPr>
          <w:rFonts w:eastAsiaTheme="minorEastAsia"/>
        </w:rPr>
        <w:t xml:space="preserve">(0.3%) </w:t>
      </w:r>
      <w:r w:rsidR="001176B7" w:rsidRPr="7502E591">
        <w:rPr>
          <w:rFonts w:eastAsiaTheme="minorEastAsia"/>
        </w:rPr>
        <w:t xml:space="preserve">in the </w:t>
      </w:r>
      <w:r w:rsidR="001176B7" w:rsidRPr="002777AB">
        <w:rPr>
          <w:rFonts w:eastAsiaTheme="minorEastAsia"/>
          <w:i/>
          <w:iCs/>
        </w:rPr>
        <w:t>ROS1-positive</w:t>
      </w:r>
      <w:r w:rsidR="001176B7" w:rsidRPr="7502E591">
        <w:rPr>
          <w:rFonts w:eastAsiaTheme="minorEastAsia"/>
        </w:rPr>
        <w:t xml:space="preserve"> NSCLC population of TRIDENT-1 experienced an AESI leading to death</w:t>
      </w:r>
      <w:r w:rsidR="00BC7416">
        <w:rPr>
          <w:rFonts w:eastAsiaTheme="minorEastAsia"/>
        </w:rPr>
        <w:t xml:space="preserve"> (a </w:t>
      </w:r>
      <w:r w:rsidR="001176B7" w:rsidRPr="7502E591">
        <w:rPr>
          <w:rFonts w:eastAsiaTheme="minorEastAsia"/>
        </w:rPr>
        <w:t>femur fracture</w:t>
      </w:r>
      <w:r w:rsidR="00BC7416">
        <w:rPr>
          <w:rFonts w:eastAsiaTheme="minorEastAsia"/>
        </w:rPr>
        <w:t>,</w:t>
      </w:r>
      <w:r w:rsidR="001176B7" w:rsidRPr="7502E591">
        <w:rPr>
          <w:rFonts w:eastAsiaTheme="minorEastAsia"/>
        </w:rPr>
        <w:t xml:space="preserve"> assessed as not treatment-related</w:t>
      </w:r>
      <w:r w:rsidR="00BC7416">
        <w:rPr>
          <w:rFonts w:eastAsiaTheme="minorEastAsia"/>
        </w:rPr>
        <w:t>)</w:t>
      </w:r>
      <w:r w:rsidR="00DB2D34">
        <w:rPr>
          <w:rFonts w:eastAsiaTheme="minorEastAsia"/>
        </w:rPr>
        <w:t>.</w:t>
      </w:r>
      <w:r w:rsidR="008C2892">
        <w:rPr>
          <w:color w:val="000000" w:themeColor="text1"/>
        </w:rPr>
        <w:t xml:space="preserve"> </w:t>
      </w:r>
      <w:r w:rsidR="0020585D" w:rsidRPr="008C2892">
        <w:rPr>
          <w:color w:val="000000" w:themeColor="text1"/>
        </w:rPr>
        <w:t>Only a small portion of</w:t>
      </w:r>
      <w:r w:rsidR="00ED7547" w:rsidRPr="008C2892">
        <w:rPr>
          <w:color w:val="000000" w:themeColor="text1"/>
        </w:rPr>
        <w:t xml:space="preserve"> AESI</w:t>
      </w:r>
      <w:r w:rsidR="0033360D">
        <w:rPr>
          <w:color w:val="000000" w:themeColor="text1"/>
        </w:rPr>
        <w:t>s</w:t>
      </w:r>
      <w:r w:rsidR="00ED7547" w:rsidRPr="008C2892">
        <w:rPr>
          <w:color w:val="000000" w:themeColor="text1"/>
        </w:rPr>
        <w:t xml:space="preserve"> caused treatment discontinuation (4%)</w:t>
      </w:r>
      <w:r w:rsidR="004C6C03" w:rsidRPr="008C2892">
        <w:rPr>
          <w:color w:val="000000" w:themeColor="text1"/>
        </w:rPr>
        <w:t xml:space="preserve"> or </w:t>
      </w:r>
      <w:r w:rsidR="00244DD4" w:rsidRPr="008C2892">
        <w:rPr>
          <w:color w:val="000000" w:themeColor="text1"/>
        </w:rPr>
        <w:t>SAE</w:t>
      </w:r>
      <w:r w:rsidR="004C6C03" w:rsidRPr="008C2892">
        <w:rPr>
          <w:color w:val="000000" w:themeColor="text1"/>
        </w:rPr>
        <w:t>s</w:t>
      </w:r>
      <w:r w:rsidR="00244DD4" w:rsidRPr="008C2892">
        <w:rPr>
          <w:color w:val="000000" w:themeColor="text1"/>
        </w:rPr>
        <w:t xml:space="preserve"> (</w:t>
      </w:r>
      <w:r w:rsidR="008C1FC7" w:rsidRPr="008C2892">
        <w:rPr>
          <w:color w:val="000000" w:themeColor="text1"/>
        </w:rPr>
        <w:t>6%</w:t>
      </w:r>
      <w:r w:rsidR="00244DD4" w:rsidRPr="008C2892">
        <w:rPr>
          <w:color w:val="000000" w:themeColor="text1"/>
        </w:rPr>
        <w:t>)</w:t>
      </w:r>
      <w:r w:rsidR="00353C7B">
        <w:rPr>
          <w:color w:val="000000" w:themeColor="text1"/>
        </w:rPr>
        <w:t xml:space="preserve"> in </w:t>
      </w:r>
      <w:r w:rsidR="00353C7B" w:rsidRPr="002777AB">
        <w:rPr>
          <w:i/>
          <w:iCs/>
          <w:color w:val="000000" w:themeColor="text1"/>
        </w:rPr>
        <w:t>ROS-1</w:t>
      </w:r>
      <w:r w:rsidR="00353C7B" w:rsidRPr="00055DD0">
        <w:rPr>
          <w:color w:val="000000" w:themeColor="text1"/>
        </w:rPr>
        <w:t xml:space="preserve"> positive NSCLC </w:t>
      </w:r>
      <w:r w:rsidR="00353C7B">
        <w:rPr>
          <w:color w:val="000000" w:themeColor="text1"/>
        </w:rPr>
        <w:t>patients</w:t>
      </w:r>
      <w:r w:rsidR="008C1FC7" w:rsidRPr="008C2892">
        <w:rPr>
          <w:color w:val="000000" w:themeColor="text1"/>
        </w:rPr>
        <w:t xml:space="preserve">. A moderate amount of </w:t>
      </w:r>
      <w:r w:rsidR="009D15B3" w:rsidRPr="008C2892">
        <w:rPr>
          <w:color w:val="000000" w:themeColor="text1"/>
        </w:rPr>
        <w:t>AESI</w:t>
      </w:r>
      <w:r w:rsidR="0033360D">
        <w:rPr>
          <w:color w:val="000000" w:themeColor="text1"/>
        </w:rPr>
        <w:t>s</w:t>
      </w:r>
      <w:r w:rsidR="009D15B3" w:rsidRPr="008C2892">
        <w:rPr>
          <w:color w:val="000000" w:themeColor="text1"/>
        </w:rPr>
        <w:t xml:space="preserve"> led to </w:t>
      </w:r>
      <w:r w:rsidR="00ED7547" w:rsidRPr="008C2892">
        <w:rPr>
          <w:color w:val="000000" w:themeColor="text1"/>
        </w:rPr>
        <w:t>dose modification (3</w:t>
      </w:r>
      <w:r w:rsidR="00DF6A69">
        <w:rPr>
          <w:color w:val="000000" w:themeColor="text1"/>
        </w:rPr>
        <w:t>7</w:t>
      </w:r>
      <w:r w:rsidR="00ED7547" w:rsidRPr="008C2892">
        <w:rPr>
          <w:color w:val="000000" w:themeColor="text1"/>
        </w:rPr>
        <w:t>%)</w:t>
      </w:r>
      <w:r w:rsidR="00353C7B">
        <w:rPr>
          <w:color w:val="000000" w:themeColor="text1"/>
        </w:rPr>
        <w:t xml:space="preserve"> </w:t>
      </w:r>
      <w:r w:rsidR="00353C7B" w:rsidRPr="002777AB">
        <w:rPr>
          <w:i/>
          <w:iCs/>
          <w:color w:val="000000" w:themeColor="text1"/>
        </w:rPr>
        <w:t>ROS-1</w:t>
      </w:r>
      <w:r w:rsidR="00353C7B" w:rsidRPr="00055DD0">
        <w:rPr>
          <w:color w:val="000000" w:themeColor="text1"/>
        </w:rPr>
        <w:t xml:space="preserve"> positive NSCLC </w:t>
      </w:r>
      <w:r w:rsidR="00353C7B">
        <w:rPr>
          <w:color w:val="000000" w:themeColor="text1"/>
        </w:rPr>
        <w:t>patients</w:t>
      </w:r>
      <w:r w:rsidR="009D15B3" w:rsidRPr="008C2892">
        <w:rPr>
          <w:color w:val="000000" w:themeColor="text1"/>
        </w:rPr>
        <w:t xml:space="preserve">. </w:t>
      </w:r>
      <w:r w:rsidR="00744DC9" w:rsidRPr="008C2892">
        <w:rPr>
          <w:color w:val="000000" w:themeColor="text1"/>
        </w:rPr>
        <w:t xml:space="preserve">The </w:t>
      </w:r>
      <w:r w:rsidR="004A304C" w:rsidRPr="008C2892">
        <w:rPr>
          <w:color w:val="000000" w:themeColor="text1"/>
        </w:rPr>
        <w:t>entrectinib publications did not report any AESIs.</w:t>
      </w:r>
      <w:r w:rsidR="001176B7" w:rsidRPr="008C2892">
        <w:rPr>
          <w:color w:val="000000" w:themeColor="text1"/>
        </w:rPr>
        <w:t xml:space="preserve"> </w:t>
      </w:r>
      <w:r w:rsidR="00FC6F52">
        <w:rPr>
          <w:color w:val="000000" w:themeColor="text1"/>
        </w:rPr>
        <w:t xml:space="preserve"> </w:t>
      </w:r>
    </w:p>
    <w:p w14:paraId="650A440C" w14:textId="4C15F3B9" w:rsidR="007F4B7C" w:rsidRPr="00D66E5F" w:rsidRDefault="007F4B7C" w:rsidP="00997285">
      <w:pPr>
        <w:pStyle w:val="3-BodyText"/>
        <w:rPr>
          <w:color w:val="000000" w:themeColor="text1"/>
        </w:rPr>
      </w:pPr>
      <w:r w:rsidRPr="00D66E5F">
        <w:rPr>
          <w:color w:val="000000" w:themeColor="text1"/>
        </w:rPr>
        <w:t>The PSCR</w:t>
      </w:r>
      <w:r w:rsidR="00862FF3" w:rsidRPr="00D66E5F">
        <w:rPr>
          <w:color w:val="000000" w:themeColor="text1"/>
        </w:rPr>
        <w:t xml:space="preserve"> </w:t>
      </w:r>
      <w:r w:rsidRPr="00D66E5F">
        <w:rPr>
          <w:color w:val="000000" w:themeColor="text1"/>
        </w:rPr>
        <w:t xml:space="preserve">acknowledged </w:t>
      </w:r>
      <w:r w:rsidR="00510DC4" w:rsidRPr="00D66E5F">
        <w:rPr>
          <w:color w:val="000000" w:themeColor="text1"/>
        </w:rPr>
        <w:t>safety data from a head-to-head trial repotrectinib vs entrectinib would provide more certainty regarding comparative safety claims</w:t>
      </w:r>
      <w:r w:rsidR="0084052A" w:rsidRPr="00D66E5F">
        <w:rPr>
          <w:color w:val="000000" w:themeColor="text1"/>
        </w:rPr>
        <w:t>, however argued</w:t>
      </w:r>
      <w:r w:rsidR="00346CF7" w:rsidRPr="00D66E5F">
        <w:rPr>
          <w:color w:val="000000" w:themeColor="text1"/>
        </w:rPr>
        <w:t xml:space="preserve"> </w:t>
      </w:r>
      <w:r w:rsidR="00351C6F" w:rsidRPr="00D66E5F">
        <w:rPr>
          <w:color w:val="000000" w:themeColor="text1"/>
        </w:rPr>
        <w:t xml:space="preserve">the </w:t>
      </w:r>
      <w:r w:rsidR="00510DC4" w:rsidRPr="00D66E5F">
        <w:rPr>
          <w:color w:val="000000" w:themeColor="text1"/>
        </w:rPr>
        <w:t>assessment of the totality of safety data presented in the submission reasonably support</w:t>
      </w:r>
      <w:r w:rsidR="0090371C" w:rsidRPr="00D66E5F">
        <w:rPr>
          <w:color w:val="000000" w:themeColor="text1"/>
        </w:rPr>
        <w:t>s</w:t>
      </w:r>
      <w:r w:rsidR="00510DC4" w:rsidRPr="00D66E5F">
        <w:rPr>
          <w:color w:val="000000" w:themeColor="text1"/>
        </w:rPr>
        <w:t xml:space="preserve"> the claim that repotrectinib is non-inferior in terms of safety compared with entrectinib.</w:t>
      </w:r>
      <w:r w:rsidR="004B7377" w:rsidRPr="00D66E5F">
        <w:rPr>
          <w:color w:val="000000" w:themeColor="text1"/>
        </w:rPr>
        <w:t xml:space="preserve"> </w:t>
      </w:r>
    </w:p>
    <w:p w14:paraId="310B2246" w14:textId="356B4EE8" w:rsidR="00B60939" w:rsidRPr="0098262F" w:rsidRDefault="00D6076E" w:rsidP="00150969">
      <w:pPr>
        <w:pStyle w:val="TableFigureHeading"/>
        <w:keepLines/>
        <w:rPr>
          <w:rStyle w:val="CommentReference"/>
          <w:b/>
          <w:szCs w:val="24"/>
        </w:rPr>
      </w:pPr>
      <w:bookmarkStart w:id="37" w:name="_Ref192230719"/>
      <w:r w:rsidRPr="0098262F">
        <w:lastRenderedPageBreak/>
        <w:t xml:space="preserve">Table </w:t>
      </w:r>
      <w:r w:rsidR="007F7DF9">
        <w:fldChar w:fldCharType="begin"/>
      </w:r>
      <w:r w:rsidR="007F7DF9">
        <w:instrText xml:space="preserve"> SEQ Table \* ARABIC </w:instrText>
      </w:r>
      <w:r w:rsidR="007F7DF9">
        <w:fldChar w:fldCharType="separate"/>
      </w:r>
      <w:r w:rsidR="00D32E93">
        <w:rPr>
          <w:noProof/>
        </w:rPr>
        <w:t>6</w:t>
      </w:r>
      <w:r w:rsidR="007F7DF9">
        <w:rPr>
          <w:noProof/>
        </w:rPr>
        <w:fldChar w:fldCharType="end"/>
      </w:r>
      <w:bookmarkEnd w:id="37"/>
      <w:r w:rsidRPr="0098262F">
        <w:t xml:space="preserve">: </w:t>
      </w:r>
      <w:r w:rsidR="005D26B4" w:rsidRPr="0098262F">
        <w:rPr>
          <w:rStyle w:val="CommentReference"/>
          <w:b/>
          <w:szCs w:val="24"/>
        </w:rPr>
        <w:t xml:space="preserve">Summary of key </w:t>
      </w:r>
      <w:r w:rsidR="00450F91" w:rsidRPr="00B27D11">
        <w:rPr>
          <w:rStyle w:val="CommentReference"/>
          <w:b/>
          <w:bCs w:val="0"/>
        </w:rPr>
        <w:t>harms</w:t>
      </w:r>
      <w:r w:rsidR="005D26B4" w:rsidRPr="0098262F">
        <w:rPr>
          <w:rStyle w:val="CommentReference"/>
          <w:b/>
          <w:szCs w:val="24"/>
        </w:rPr>
        <w:t xml:space="preserve"> in the </w:t>
      </w:r>
      <w:r w:rsidR="00165502" w:rsidRPr="00165502">
        <w:rPr>
          <w:rStyle w:val="CommentReference"/>
          <w:b/>
          <w:szCs w:val="24"/>
        </w:rPr>
        <w:t>TRIDENT-1</w:t>
      </w:r>
      <w:r w:rsidR="0033360D">
        <w:rPr>
          <w:rStyle w:val="CommentReference"/>
        </w:rPr>
        <w:t>;</w:t>
      </w:r>
      <w:r w:rsidR="00165502" w:rsidRPr="00165502">
        <w:rPr>
          <w:rStyle w:val="CommentReference"/>
          <w:b/>
          <w:szCs w:val="24"/>
        </w:rPr>
        <w:t xml:space="preserve"> ALKA, STARTRK-1 &amp; 2 integrated analysis</w:t>
      </w:r>
      <w:r w:rsidR="0033360D">
        <w:rPr>
          <w:rStyle w:val="CommentReference"/>
        </w:rPr>
        <w:t>;</w:t>
      </w:r>
      <w:r w:rsidR="00165502" w:rsidRPr="00165502">
        <w:rPr>
          <w:rStyle w:val="CommentReference"/>
          <w:b/>
          <w:szCs w:val="24"/>
        </w:rPr>
        <w:t xml:space="preserve"> and BFAST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9"/>
        <w:gridCol w:w="1558"/>
        <w:gridCol w:w="1984"/>
        <w:gridCol w:w="1084"/>
      </w:tblGrid>
      <w:tr w:rsidR="005D26B4" w:rsidRPr="0098262F" w14:paraId="3ADA51C0" w14:textId="18BCB386" w:rsidTr="00767F25">
        <w:trPr>
          <w:cantSplit/>
          <w:tblHeader/>
        </w:trPr>
        <w:tc>
          <w:tcPr>
            <w:tcW w:w="1648" w:type="pct"/>
            <w:vAlign w:val="center"/>
          </w:tcPr>
          <w:p w14:paraId="21B479AB" w14:textId="77777777" w:rsidR="005D26B4" w:rsidRPr="00E9622A" w:rsidRDefault="005D26B4" w:rsidP="00150969">
            <w:pPr>
              <w:pStyle w:val="Tabletext"/>
              <w:keepNext/>
              <w:keepLines/>
              <w:rPr>
                <w:rStyle w:val="CommentReference"/>
              </w:rPr>
            </w:pPr>
            <w:r w:rsidRPr="00E9622A">
              <w:rPr>
                <w:rStyle w:val="CommentReference"/>
              </w:rPr>
              <w:t>Trial ID</w:t>
            </w:r>
          </w:p>
        </w:tc>
        <w:tc>
          <w:tcPr>
            <w:tcW w:w="787" w:type="pct"/>
            <w:vAlign w:val="center"/>
          </w:tcPr>
          <w:p w14:paraId="0959C469" w14:textId="670C8E4E" w:rsidR="00A952E1" w:rsidRDefault="00A952E1" w:rsidP="00150969">
            <w:pPr>
              <w:pStyle w:val="In-tableHeading"/>
              <w:jc w:val="center"/>
              <w:rPr>
                <w:lang w:val="en-AU"/>
              </w:rPr>
            </w:pPr>
            <w:r>
              <w:rPr>
                <w:lang w:val="en-AU"/>
              </w:rPr>
              <w:t>Repotrectinib</w:t>
            </w:r>
          </w:p>
          <w:p w14:paraId="2872CA91" w14:textId="67BC286A" w:rsidR="00A952E1" w:rsidRDefault="00A952E1" w:rsidP="00150969">
            <w:pPr>
              <w:pStyle w:val="In-tableHeading"/>
              <w:ind w:left="-112"/>
              <w:jc w:val="center"/>
              <w:rPr>
                <w:lang w:val="en-AU"/>
              </w:rPr>
            </w:pPr>
            <w:r>
              <w:rPr>
                <w:lang w:val="en-AU"/>
              </w:rPr>
              <w:t>(TRIDENT-1 Phase 2)</w:t>
            </w:r>
          </w:p>
          <w:p w14:paraId="25AE8D22" w14:textId="357E8D62" w:rsidR="005D26B4" w:rsidRPr="0098262F" w:rsidRDefault="00843C97" w:rsidP="00150969">
            <w:pPr>
              <w:pStyle w:val="In-tableHeading"/>
              <w:jc w:val="center"/>
              <w:rPr>
                <w:lang w:val="en-AU"/>
              </w:rPr>
            </w:pPr>
            <w:r>
              <w:rPr>
                <w:lang w:val="en-AU"/>
              </w:rPr>
              <w:t>n</w:t>
            </w:r>
            <w:r w:rsidR="001E0308">
              <w:rPr>
                <w:lang w:val="en-AU"/>
              </w:rPr>
              <w:t>=462</w:t>
            </w:r>
          </w:p>
        </w:tc>
        <w:tc>
          <w:tcPr>
            <w:tcW w:w="864" w:type="pct"/>
            <w:vAlign w:val="center"/>
          </w:tcPr>
          <w:p w14:paraId="72C14886" w14:textId="386761CB" w:rsidR="00A952E1" w:rsidRPr="00836BD0" w:rsidRDefault="00A952E1" w:rsidP="00150969">
            <w:pPr>
              <w:pStyle w:val="TableFigureHeading"/>
              <w:keepLines/>
              <w:jc w:val="center"/>
            </w:pPr>
            <w:r w:rsidRPr="00836BD0">
              <w:t>Repotrectinib</w:t>
            </w:r>
          </w:p>
          <w:p w14:paraId="7C082D85" w14:textId="711F892D" w:rsidR="00A952E1" w:rsidRPr="00836BD0" w:rsidRDefault="00A952E1" w:rsidP="00150969">
            <w:pPr>
              <w:pStyle w:val="TableFigureHeading"/>
              <w:keepLines/>
              <w:jc w:val="center"/>
            </w:pPr>
            <w:r w:rsidRPr="00836BD0">
              <w:t>(TRIDENT-1</w:t>
            </w:r>
          </w:p>
          <w:p w14:paraId="60C73649" w14:textId="6F1C435A" w:rsidR="00A952E1" w:rsidRPr="00836BD0" w:rsidRDefault="000E288F" w:rsidP="00150969">
            <w:pPr>
              <w:pStyle w:val="TableFigureHeading"/>
              <w:keepLines/>
              <w:jc w:val="center"/>
            </w:pPr>
            <w:r w:rsidRPr="00836BD0">
              <w:t>ROS1+ NSCLC</w:t>
            </w:r>
            <w:r w:rsidR="00A952E1" w:rsidRPr="00836BD0">
              <w:t>)</w:t>
            </w:r>
          </w:p>
          <w:p w14:paraId="3D94778C" w14:textId="385C69C1" w:rsidR="005D26B4" w:rsidRPr="0098262F" w:rsidRDefault="00843C97" w:rsidP="00150969">
            <w:pPr>
              <w:pStyle w:val="TableFigureHeading"/>
              <w:keepLines/>
              <w:jc w:val="center"/>
            </w:pPr>
            <w:r w:rsidRPr="00836BD0">
              <w:t>n</w:t>
            </w:r>
            <w:r w:rsidR="001E0308" w:rsidRPr="00836BD0">
              <w:t>=32</w:t>
            </w:r>
            <w:r w:rsidR="00F92CE3" w:rsidRPr="00836BD0">
              <w:t>7</w:t>
            </w:r>
          </w:p>
        </w:tc>
        <w:tc>
          <w:tcPr>
            <w:tcW w:w="1100" w:type="pct"/>
            <w:vAlign w:val="center"/>
          </w:tcPr>
          <w:p w14:paraId="1046E475" w14:textId="77777777" w:rsidR="00A952E1" w:rsidRDefault="00A952E1" w:rsidP="00150969">
            <w:pPr>
              <w:pStyle w:val="TableFigureHeading"/>
              <w:keepLines/>
              <w:jc w:val="center"/>
            </w:pPr>
            <w:r>
              <w:t>Entrectinib</w:t>
            </w:r>
          </w:p>
          <w:p w14:paraId="0AB7069E" w14:textId="7EB96FD0" w:rsidR="00A952E1" w:rsidRDefault="00A952E1" w:rsidP="00150969">
            <w:pPr>
              <w:pStyle w:val="TableFigureHeading"/>
              <w:keepLines/>
              <w:jc w:val="center"/>
            </w:pPr>
            <w:r>
              <w:t>(</w:t>
            </w:r>
            <w:r w:rsidRPr="00571265">
              <w:t>ALKA</w:t>
            </w:r>
            <w:r>
              <w:t xml:space="preserve">, </w:t>
            </w:r>
            <w:r w:rsidRPr="00571265">
              <w:t>STARTRK-1</w:t>
            </w:r>
            <w:r>
              <w:t xml:space="preserve"> &amp; 2 </w:t>
            </w:r>
            <w:r w:rsidR="00767F25">
              <w:t>i</w:t>
            </w:r>
            <w:r>
              <w:t>ntegrated analysis)</w:t>
            </w:r>
          </w:p>
          <w:p w14:paraId="03BB1326" w14:textId="4C51E508" w:rsidR="005D26B4" w:rsidRPr="0098262F" w:rsidRDefault="00843C97" w:rsidP="00150969">
            <w:pPr>
              <w:pStyle w:val="TableFigureHeading"/>
              <w:keepLines/>
              <w:jc w:val="center"/>
            </w:pPr>
            <w:r>
              <w:t>n</w:t>
            </w:r>
            <w:r w:rsidR="000E288F">
              <w:t>=247</w:t>
            </w:r>
          </w:p>
        </w:tc>
        <w:tc>
          <w:tcPr>
            <w:tcW w:w="601" w:type="pct"/>
            <w:vAlign w:val="center"/>
          </w:tcPr>
          <w:p w14:paraId="63DA7A28" w14:textId="77777777" w:rsidR="00A952E1" w:rsidRDefault="00A952E1" w:rsidP="00150969">
            <w:pPr>
              <w:pStyle w:val="TableFigureHeading"/>
              <w:keepLines/>
              <w:jc w:val="center"/>
            </w:pPr>
            <w:r>
              <w:t>Entrectinib</w:t>
            </w:r>
          </w:p>
          <w:p w14:paraId="4F8D2E7E" w14:textId="77777777" w:rsidR="00A952E1" w:rsidRDefault="00A952E1" w:rsidP="00150969">
            <w:pPr>
              <w:pStyle w:val="TableFigureHeading"/>
              <w:keepLines/>
              <w:jc w:val="center"/>
            </w:pPr>
            <w:r>
              <w:t>(BFAST)</w:t>
            </w:r>
          </w:p>
          <w:p w14:paraId="6DC1BC3F" w14:textId="7CCC4E87" w:rsidR="00A952E1" w:rsidRDefault="00843C97" w:rsidP="00150969">
            <w:pPr>
              <w:pStyle w:val="TableFigureHeading"/>
              <w:keepLines/>
              <w:jc w:val="center"/>
            </w:pPr>
            <w:r>
              <w:t>n</w:t>
            </w:r>
            <w:r w:rsidR="00A952E1">
              <w:t>=55</w:t>
            </w:r>
          </w:p>
        </w:tc>
      </w:tr>
      <w:tr w:rsidR="005D26B4" w:rsidRPr="0098262F" w14:paraId="222746FA" w14:textId="019E4137" w:rsidTr="00767F25">
        <w:trPr>
          <w:cantSplit/>
        </w:trPr>
        <w:tc>
          <w:tcPr>
            <w:tcW w:w="1648" w:type="pct"/>
            <w:vAlign w:val="center"/>
          </w:tcPr>
          <w:p w14:paraId="3823D7CF" w14:textId="2D5499D8" w:rsidR="005D26B4" w:rsidRPr="0098262F" w:rsidRDefault="00245975" w:rsidP="00150969">
            <w:pPr>
              <w:pStyle w:val="Tabletext"/>
              <w:keepNext/>
              <w:keepLines/>
            </w:pPr>
            <w:r>
              <w:t>Total deaths</w:t>
            </w:r>
            <w:r w:rsidR="00DB287F">
              <w:t xml:space="preserve">, </w:t>
            </w:r>
            <w:r w:rsidR="00DB287F">
              <w:rPr>
                <w:rFonts w:eastAsiaTheme="minorHAnsi"/>
              </w:rPr>
              <w:t>n (%)</w:t>
            </w:r>
          </w:p>
        </w:tc>
        <w:tc>
          <w:tcPr>
            <w:tcW w:w="787" w:type="pct"/>
            <w:vAlign w:val="center"/>
          </w:tcPr>
          <w:p w14:paraId="521AF77D" w14:textId="2792EFC0" w:rsidR="005D26B4" w:rsidRPr="0098262F" w:rsidRDefault="00245975" w:rsidP="00150969">
            <w:pPr>
              <w:pStyle w:val="Tabletext"/>
              <w:keepNext/>
              <w:keepLines/>
              <w:jc w:val="center"/>
            </w:pPr>
            <w:r>
              <w:t>175</w:t>
            </w:r>
            <w:r w:rsidR="00C90712">
              <w:t xml:space="preserve"> (39)</w:t>
            </w:r>
          </w:p>
        </w:tc>
        <w:tc>
          <w:tcPr>
            <w:tcW w:w="864" w:type="pct"/>
            <w:vAlign w:val="center"/>
          </w:tcPr>
          <w:p w14:paraId="6F9567B3" w14:textId="3EF7F896" w:rsidR="005D26B4" w:rsidRPr="0098262F" w:rsidRDefault="008D6A9A" w:rsidP="00150969">
            <w:pPr>
              <w:pStyle w:val="Tabletext"/>
              <w:keepNext/>
              <w:keepLines/>
              <w:jc w:val="center"/>
            </w:pPr>
            <w:r>
              <w:t>125</w:t>
            </w:r>
            <w:r w:rsidR="008863C9">
              <w:t xml:space="preserve"> (</w:t>
            </w:r>
            <w:r w:rsidR="00C90712">
              <w:t>38</w:t>
            </w:r>
            <w:r w:rsidR="008863C9">
              <w:t>)</w:t>
            </w:r>
          </w:p>
        </w:tc>
        <w:tc>
          <w:tcPr>
            <w:tcW w:w="1100" w:type="pct"/>
            <w:vAlign w:val="center"/>
          </w:tcPr>
          <w:p w14:paraId="51B83071" w14:textId="6BF0C4CD" w:rsidR="005D26B4" w:rsidRPr="0098262F" w:rsidRDefault="008863C9" w:rsidP="00150969">
            <w:pPr>
              <w:pStyle w:val="Tabletext"/>
              <w:keepNext/>
              <w:keepLines/>
              <w:jc w:val="center"/>
            </w:pPr>
            <w:r>
              <w:t>NR (NA)</w:t>
            </w:r>
          </w:p>
        </w:tc>
        <w:tc>
          <w:tcPr>
            <w:tcW w:w="601" w:type="pct"/>
            <w:vAlign w:val="center"/>
          </w:tcPr>
          <w:p w14:paraId="0541534C" w14:textId="41D1D908" w:rsidR="008863C9" w:rsidRDefault="008863C9" w:rsidP="00150969">
            <w:pPr>
              <w:pStyle w:val="Tabletext"/>
              <w:keepNext/>
              <w:keepLines/>
              <w:jc w:val="center"/>
            </w:pPr>
            <w:r>
              <w:t>20 (36)</w:t>
            </w:r>
            <w:r w:rsidR="00EC38F3">
              <w:t xml:space="preserve"> </w:t>
            </w:r>
            <w:r w:rsidR="00EC38F3">
              <w:rPr>
                <w:szCs w:val="20"/>
                <w:vertAlign w:val="superscript"/>
              </w:rPr>
              <w:t>a</w:t>
            </w:r>
          </w:p>
        </w:tc>
      </w:tr>
      <w:tr w:rsidR="0039351F" w:rsidRPr="0098262F" w14:paraId="2A4A0CA3" w14:textId="77777777" w:rsidTr="00767F25">
        <w:trPr>
          <w:cantSplit/>
        </w:trPr>
        <w:tc>
          <w:tcPr>
            <w:tcW w:w="1648" w:type="pct"/>
            <w:vAlign w:val="center"/>
          </w:tcPr>
          <w:p w14:paraId="0F2EFFA8" w14:textId="2350C31A" w:rsidR="0039351F" w:rsidRDefault="00344923" w:rsidP="00150969">
            <w:pPr>
              <w:pStyle w:val="Tabletext"/>
              <w:keepNext/>
              <w:keepLines/>
              <w:ind w:left="164"/>
            </w:pPr>
            <w:r>
              <w:t>d</w:t>
            </w:r>
            <w:r w:rsidR="0039351F">
              <w:t xml:space="preserve">eath within 28 days of last dose, </w:t>
            </w:r>
          </w:p>
          <w:p w14:paraId="41DA33A4" w14:textId="532D62AA" w:rsidR="0039351F" w:rsidRDefault="0039351F" w:rsidP="00150969">
            <w:pPr>
              <w:pStyle w:val="Tabletext"/>
              <w:keepNext/>
              <w:keepLines/>
              <w:ind w:left="164"/>
            </w:pPr>
            <w:r>
              <w:rPr>
                <w:rFonts w:eastAsiaTheme="minorHAnsi"/>
              </w:rPr>
              <w:t>n (%)</w:t>
            </w:r>
          </w:p>
        </w:tc>
        <w:tc>
          <w:tcPr>
            <w:tcW w:w="787" w:type="pct"/>
            <w:vAlign w:val="center"/>
          </w:tcPr>
          <w:p w14:paraId="6AFC032D" w14:textId="3E9F031D" w:rsidR="0039351F" w:rsidRDefault="0039351F" w:rsidP="00150969">
            <w:pPr>
              <w:pStyle w:val="Tabletext"/>
              <w:keepNext/>
              <w:keepLines/>
              <w:jc w:val="center"/>
            </w:pPr>
            <w:r>
              <w:t>62 (13)</w:t>
            </w:r>
          </w:p>
        </w:tc>
        <w:tc>
          <w:tcPr>
            <w:tcW w:w="864" w:type="pct"/>
            <w:vAlign w:val="center"/>
          </w:tcPr>
          <w:p w14:paraId="6112C510" w14:textId="34DE4E6D" w:rsidR="0039351F" w:rsidRDefault="0039351F" w:rsidP="00150969">
            <w:pPr>
              <w:pStyle w:val="Tabletext"/>
              <w:keepNext/>
              <w:keepLines/>
              <w:jc w:val="center"/>
            </w:pPr>
            <w:r>
              <w:t>43 (13)</w:t>
            </w:r>
          </w:p>
        </w:tc>
        <w:tc>
          <w:tcPr>
            <w:tcW w:w="1100" w:type="pct"/>
            <w:vAlign w:val="center"/>
          </w:tcPr>
          <w:p w14:paraId="281EF06C" w14:textId="193085D7" w:rsidR="0039351F" w:rsidRDefault="0039351F" w:rsidP="00150969">
            <w:pPr>
              <w:pStyle w:val="Tabletext"/>
              <w:keepNext/>
              <w:keepLines/>
              <w:jc w:val="center"/>
            </w:pPr>
            <w:r>
              <w:t>NR (NA)</w:t>
            </w:r>
          </w:p>
        </w:tc>
        <w:tc>
          <w:tcPr>
            <w:tcW w:w="601" w:type="pct"/>
            <w:vAlign w:val="center"/>
          </w:tcPr>
          <w:p w14:paraId="45FA3181" w14:textId="758B3CF4" w:rsidR="0039351F" w:rsidRDefault="0039351F" w:rsidP="00150969">
            <w:pPr>
              <w:pStyle w:val="Tabletext"/>
              <w:keepNext/>
              <w:keepLines/>
              <w:jc w:val="center"/>
            </w:pPr>
            <w:r>
              <w:t>NR (NA)</w:t>
            </w:r>
          </w:p>
        </w:tc>
      </w:tr>
      <w:tr w:rsidR="0039351F" w:rsidRPr="0098262F" w14:paraId="18487A05" w14:textId="77777777" w:rsidTr="00767F25">
        <w:trPr>
          <w:cantSplit/>
        </w:trPr>
        <w:tc>
          <w:tcPr>
            <w:tcW w:w="1648" w:type="pct"/>
            <w:vAlign w:val="center"/>
          </w:tcPr>
          <w:p w14:paraId="49B0D002" w14:textId="6C597D1B" w:rsidR="0039351F" w:rsidRDefault="00344923" w:rsidP="00150969">
            <w:pPr>
              <w:pStyle w:val="Tabletext"/>
              <w:keepNext/>
              <w:keepLines/>
              <w:ind w:left="164"/>
            </w:pPr>
            <w:r>
              <w:t>d</w:t>
            </w:r>
            <w:r w:rsidR="0039351F">
              <w:t xml:space="preserve">eath from TEAE, </w:t>
            </w:r>
            <w:r w:rsidR="0039351F">
              <w:rPr>
                <w:rFonts w:eastAsiaTheme="minorHAnsi"/>
              </w:rPr>
              <w:t>n (%)</w:t>
            </w:r>
          </w:p>
        </w:tc>
        <w:tc>
          <w:tcPr>
            <w:tcW w:w="787" w:type="pct"/>
            <w:vAlign w:val="center"/>
          </w:tcPr>
          <w:p w14:paraId="1F28BF1C" w14:textId="393BDBCF" w:rsidR="0039351F" w:rsidRDefault="0039351F" w:rsidP="00150969">
            <w:pPr>
              <w:pStyle w:val="Tabletext"/>
              <w:keepNext/>
              <w:keepLines/>
              <w:jc w:val="center"/>
            </w:pPr>
            <w:r>
              <w:t>27 (6)</w:t>
            </w:r>
          </w:p>
        </w:tc>
        <w:tc>
          <w:tcPr>
            <w:tcW w:w="864" w:type="pct"/>
            <w:vAlign w:val="center"/>
          </w:tcPr>
          <w:p w14:paraId="79385B9A" w14:textId="437D2E13" w:rsidR="0039351F" w:rsidRDefault="0039351F" w:rsidP="00150969">
            <w:pPr>
              <w:pStyle w:val="Tabletext"/>
              <w:keepNext/>
              <w:keepLines/>
              <w:jc w:val="center"/>
            </w:pPr>
            <w:r>
              <w:t>20 (6)</w:t>
            </w:r>
          </w:p>
        </w:tc>
        <w:tc>
          <w:tcPr>
            <w:tcW w:w="1100" w:type="pct"/>
            <w:vAlign w:val="center"/>
          </w:tcPr>
          <w:p w14:paraId="021F1943" w14:textId="5A11CD08" w:rsidR="0039351F" w:rsidRDefault="0039351F" w:rsidP="00150969">
            <w:pPr>
              <w:pStyle w:val="Tabletext"/>
              <w:keepNext/>
              <w:keepLines/>
              <w:jc w:val="center"/>
            </w:pPr>
            <w:r>
              <w:t>NR (NA)</w:t>
            </w:r>
          </w:p>
        </w:tc>
        <w:tc>
          <w:tcPr>
            <w:tcW w:w="601" w:type="pct"/>
            <w:vAlign w:val="center"/>
          </w:tcPr>
          <w:p w14:paraId="7E18CB9E" w14:textId="686DAE67" w:rsidR="0039351F" w:rsidRDefault="0039351F" w:rsidP="00150969">
            <w:pPr>
              <w:pStyle w:val="Tabletext"/>
              <w:keepNext/>
              <w:keepLines/>
              <w:jc w:val="center"/>
            </w:pPr>
            <w:r>
              <w:t>2</w:t>
            </w:r>
            <w:r w:rsidR="00781EAF">
              <w:t xml:space="preserve"> </w:t>
            </w:r>
            <w:r>
              <w:t>(4)</w:t>
            </w:r>
          </w:p>
        </w:tc>
      </w:tr>
      <w:tr w:rsidR="0039351F" w:rsidRPr="0098262F" w14:paraId="15D19D20" w14:textId="77777777" w:rsidTr="00767F25">
        <w:trPr>
          <w:cantSplit/>
        </w:trPr>
        <w:tc>
          <w:tcPr>
            <w:tcW w:w="1648" w:type="pct"/>
            <w:vAlign w:val="center"/>
          </w:tcPr>
          <w:p w14:paraId="7C18BCC8" w14:textId="40216BA5" w:rsidR="0039351F" w:rsidRDefault="00344923" w:rsidP="00150969">
            <w:pPr>
              <w:pStyle w:val="Tabletext"/>
              <w:keepNext/>
              <w:keepLines/>
              <w:ind w:left="164"/>
            </w:pPr>
            <w:r>
              <w:t>d</w:t>
            </w:r>
            <w:r w:rsidR="0039351F">
              <w:t xml:space="preserve">eath from TRAE, </w:t>
            </w:r>
            <w:r w:rsidR="0039351F">
              <w:rPr>
                <w:rFonts w:eastAsiaTheme="minorHAnsi"/>
              </w:rPr>
              <w:t>n (%)</w:t>
            </w:r>
          </w:p>
        </w:tc>
        <w:tc>
          <w:tcPr>
            <w:tcW w:w="787" w:type="pct"/>
            <w:vAlign w:val="center"/>
          </w:tcPr>
          <w:p w14:paraId="5C0F4EF9" w14:textId="680AD3C8" w:rsidR="0039351F" w:rsidRDefault="0039351F" w:rsidP="00150969">
            <w:pPr>
              <w:pStyle w:val="Tabletext"/>
              <w:keepNext/>
              <w:keepLines/>
              <w:jc w:val="center"/>
            </w:pPr>
            <w:r>
              <w:t>2 (0.4)</w:t>
            </w:r>
          </w:p>
        </w:tc>
        <w:tc>
          <w:tcPr>
            <w:tcW w:w="864" w:type="pct"/>
            <w:vAlign w:val="center"/>
          </w:tcPr>
          <w:p w14:paraId="52558C22" w14:textId="18400F95" w:rsidR="0039351F" w:rsidRDefault="0039351F" w:rsidP="00150969">
            <w:pPr>
              <w:pStyle w:val="Tabletext"/>
              <w:keepNext/>
              <w:keepLines/>
              <w:jc w:val="center"/>
            </w:pPr>
            <w:r>
              <w:t>1 (0.3)</w:t>
            </w:r>
          </w:p>
        </w:tc>
        <w:tc>
          <w:tcPr>
            <w:tcW w:w="1100" w:type="pct"/>
            <w:vAlign w:val="center"/>
          </w:tcPr>
          <w:p w14:paraId="36EDE0D9" w14:textId="5C18AEDB" w:rsidR="0039351F" w:rsidRDefault="0039351F" w:rsidP="00150969">
            <w:pPr>
              <w:pStyle w:val="Tabletext"/>
              <w:keepNext/>
              <w:keepLines/>
              <w:jc w:val="center"/>
            </w:pPr>
            <w:r>
              <w:t>1 (0.4)</w:t>
            </w:r>
          </w:p>
        </w:tc>
        <w:tc>
          <w:tcPr>
            <w:tcW w:w="601" w:type="pct"/>
            <w:vAlign w:val="center"/>
          </w:tcPr>
          <w:p w14:paraId="5ED7BF45" w14:textId="60133690" w:rsidR="0039351F" w:rsidRDefault="0039351F" w:rsidP="00150969">
            <w:pPr>
              <w:pStyle w:val="Tabletext"/>
              <w:keepNext/>
              <w:keepLines/>
              <w:jc w:val="center"/>
            </w:pPr>
            <w:r>
              <w:t>0 (0)</w:t>
            </w:r>
          </w:p>
        </w:tc>
      </w:tr>
      <w:tr w:rsidR="0039351F" w:rsidRPr="0098262F" w14:paraId="72D877FF" w14:textId="77777777" w:rsidTr="00767F25">
        <w:trPr>
          <w:cantSplit/>
        </w:trPr>
        <w:tc>
          <w:tcPr>
            <w:tcW w:w="1648" w:type="pct"/>
            <w:vAlign w:val="center"/>
          </w:tcPr>
          <w:p w14:paraId="6FF74CE6" w14:textId="25A8826E" w:rsidR="0039351F" w:rsidRDefault="00344923" w:rsidP="00150969">
            <w:pPr>
              <w:pStyle w:val="Tabletext"/>
              <w:keepNext/>
              <w:keepLines/>
              <w:ind w:left="164"/>
            </w:pPr>
            <w:r>
              <w:t>d</w:t>
            </w:r>
            <w:r w:rsidR="0039351F">
              <w:t>eath from AESI</w:t>
            </w:r>
            <w:r w:rsidR="00EC38F3">
              <w:t xml:space="preserve"> </w:t>
            </w:r>
            <w:r w:rsidR="00EC38F3" w:rsidRPr="00EC38F3">
              <w:rPr>
                <w:vertAlign w:val="superscript"/>
              </w:rPr>
              <w:t>b</w:t>
            </w:r>
            <w:r w:rsidR="00BF0F80">
              <w:t xml:space="preserve">, </w:t>
            </w:r>
            <w:r w:rsidR="0039351F">
              <w:rPr>
                <w:rFonts w:eastAsiaTheme="minorHAnsi"/>
              </w:rPr>
              <w:t>n (%)</w:t>
            </w:r>
          </w:p>
        </w:tc>
        <w:tc>
          <w:tcPr>
            <w:tcW w:w="787" w:type="pct"/>
            <w:vAlign w:val="center"/>
          </w:tcPr>
          <w:p w14:paraId="7D4DFCFA" w14:textId="3E6BE1AB" w:rsidR="0039351F" w:rsidRDefault="0039351F" w:rsidP="00150969">
            <w:pPr>
              <w:pStyle w:val="Tabletext"/>
              <w:keepNext/>
              <w:keepLines/>
              <w:jc w:val="center"/>
            </w:pPr>
            <w:r>
              <w:t>1 (0.2)</w:t>
            </w:r>
          </w:p>
        </w:tc>
        <w:tc>
          <w:tcPr>
            <w:tcW w:w="864" w:type="pct"/>
            <w:vAlign w:val="center"/>
          </w:tcPr>
          <w:p w14:paraId="33EEF28A" w14:textId="3BA8AB65" w:rsidR="0039351F" w:rsidRDefault="0039351F" w:rsidP="00150969">
            <w:pPr>
              <w:pStyle w:val="Tabletext"/>
              <w:keepNext/>
              <w:keepLines/>
              <w:jc w:val="center"/>
            </w:pPr>
            <w:r>
              <w:t>1 (0.3)</w:t>
            </w:r>
          </w:p>
        </w:tc>
        <w:tc>
          <w:tcPr>
            <w:tcW w:w="1100" w:type="pct"/>
            <w:vAlign w:val="center"/>
          </w:tcPr>
          <w:p w14:paraId="70DB6B60" w14:textId="71BC0931" w:rsidR="0039351F" w:rsidRDefault="0039351F" w:rsidP="00150969">
            <w:pPr>
              <w:pStyle w:val="Tabletext"/>
              <w:keepNext/>
              <w:keepLines/>
              <w:jc w:val="center"/>
            </w:pPr>
            <w:r>
              <w:t>NR (NA)</w:t>
            </w:r>
          </w:p>
        </w:tc>
        <w:tc>
          <w:tcPr>
            <w:tcW w:w="601" w:type="pct"/>
            <w:vAlign w:val="center"/>
          </w:tcPr>
          <w:p w14:paraId="2CB33A83" w14:textId="55B99BCE" w:rsidR="0039351F" w:rsidRDefault="0039351F" w:rsidP="00150969">
            <w:pPr>
              <w:pStyle w:val="Tabletext"/>
              <w:keepNext/>
              <w:keepLines/>
              <w:jc w:val="center"/>
            </w:pPr>
            <w:r>
              <w:t>NR (NA)</w:t>
            </w:r>
          </w:p>
        </w:tc>
      </w:tr>
      <w:tr w:rsidR="005D26B4" w:rsidRPr="0098262F" w14:paraId="0384327F" w14:textId="05582E1A" w:rsidTr="00D46663">
        <w:trPr>
          <w:cantSplit/>
        </w:trPr>
        <w:tc>
          <w:tcPr>
            <w:tcW w:w="1648" w:type="pct"/>
            <w:shd w:val="clear" w:color="auto" w:fill="auto"/>
            <w:vAlign w:val="center"/>
          </w:tcPr>
          <w:p w14:paraId="57DABC30" w14:textId="4D82578B" w:rsidR="005D26B4" w:rsidRPr="0098262F" w:rsidRDefault="0039351F" w:rsidP="00150969">
            <w:pPr>
              <w:pStyle w:val="Tabletext"/>
              <w:keepNext/>
              <w:keepLines/>
            </w:pPr>
            <w:r>
              <w:t xml:space="preserve">Any TEAE, </w:t>
            </w:r>
            <w:r>
              <w:rPr>
                <w:rFonts w:eastAsiaTheme="minorHAnsi"/>
              </w:rPr>
              <w:t>n (%)</w:t>
            </w:r>
          </w:p>
        </w:tc>
        <w:tc>
          <w:tcPr>
            <w:tcW w:w="787" w:type="pct"/>
            <w:shd w:val="clear" w:color="auto" w:fill="auto"/>
            <w:vAlign w:val="center"/>
          </w:tcPr>
          <w:p w14:paraId="7D724F55" w14:textId="4B045DE9" w:rsidR="005D26B4" w:rsidRPr="0098262F" w:rsidRDefault="0039351F" w:rsidP="00150969">
            <w:pPr>
              <w:pStyle w:val="Tabletext"/>
              <w:keepNext/>
              <w:keepLines/>
              <w:jc w:val="center"/>
            </w:pPr>
            <w:r>
              <w:t>459 (99)</w:t>
            </w:r>
          </w:p>
        </w:tc>
        <w:tc>
          <w:tcPr>
            <w:tcW w:w="864" w:type="pct"/>
            <w:shd w:val="clear" w:color="auto" w:fill="auto"/>
            <w:vAlign w:val="center"/>
          </w:tcPr>
          <w:p w14:paraId="255A5E2D" w14:textId="4A0876A2" w:rsidR="005D26B4" w:rsidRPr="0098262F" w:rsidRDefault="0039351F" w:rsidP="00150969">
            <w:pPr>
              <w:pStyle w:val="Tabletext"/>
              <w:keepNext/>
              <w:keepLines/>
              <w:jc w:val="center"/>
            </w:pPr>
            <w:r>
              <w:t>325 (99)</w:t>
            </w:r>
          </w:p>
        </w:tc>
        <w:tc>
          <w:tcPr>
            <w:tcW w:w="1100" w:type="pct"/>
            <w:shd w:val="clear" w:color="auto" w:fill="auto"/>
            <w:vAlign w:val="center"/>
          </w:tcPr>
          <w:p w14:paraId="16DBA636" w14:textId="16C426BB" w:rsidR="005D26B4" w:rsidRPr="0098262F" w:rsidRDefault="0039351F" w:rsidP="00150969">
            <w:pPr>
              <w:pStyle w:val="Tabletext"/>
              <w:keepNext/>
              <w:keepLines/>
              <w:jc w:val="center"/>
            </w:pPr>
            <w:r>
              <w:t>NR (NA)</w:t>
            </w:r>
          </w:p>
        </w:tc>
        <w:tc>
          <w:tcPr>
            <w:tcW w:w="601" w:type="pct"/>
            <w:shd w:val="clear" w:color="auto" w:fill="auto"/>
            <w:vAlign w:val="center"/>
          </w:tcPr>
          <w:p w14:paraId="6EF42610" w14:textId="0F988B5F" w:rsidR="0039351F" w:rsidRDefault="0039351F" w:rsidP="00150969">
            <w:pPr>
              <w:pStyle w:val="Tabletext"/>
              <w:keepNext/>
              <w:keepLines/>
              <w:jc w:val="center"/>
            </w:pPr>
            <w:r>
              <w:t>NR (NA)</w:t>
            </w:r>
          </w:p>
        </w:tc>
      </w:tr>
      <w:tr w:rsidR="0039351F" w:rsidRPr="0098262F" w14:paraId="7DC6AB1F" w14:textId="77777777" w:rsidTr="00767F25">
        <w:trPr>
          <w:cantSplit/>
        </w:trPr>
        <w:tc>
          <w:tcPr>
            <w:tcW w:w="1648" w:type="pct"/>
            <w:vAlign w:val="center"/>
          </w:tcPr>
          <w:p w14:paraId="7BF08F1B" w14:textId="4CA08037" w:rsidR="0039351F" w:rsidRDefault="00344923" w:rsidP="00150969">
            <w:pPr>
              <w:pStyle w:val="Tabletext"/>
              <w:keepNext/>
              <w:keepLines/>
              <w:ind w:left="168"/>
            </w:pPr>
            <w:r>
              <w:t>l</w:t>
            </w:r>
            <w:r w:rsidR="0039351F">
              <w:t xml:space="preserve">eading to discontinuation, </w:t>
            </w:r>
            <w:r w:rsidR="0039351F">
              <w:rPr>
                <w:rFonts w:eastAsiaTheme="minorHAnsi"/>
              </w:rPr>
              <w:t>n (%)</w:t>
            </w:r>
          </w:p>
        </w:tc>
        <w:tc>
          <w:tcPr>
            <w:tcW w:w="787" w:type="pct"/>
            <w:vAlign w:val="center"/>
          </w:tcPr>
          <w:p w14:paraId="56AEEF20" w14:textId="0C506AFF" w:rsidR="0039351F" w:rsidRDefault="0039351F" w:rsidP="00150969">
            <w:pPr>
              <w:pStyle w:val="Tabletext"/>
              <w:keepNext/>
              <w:keepLines/>
              <w:jc w:val="center"/>
            </w:pPr>
            <w:r>
              <w:t>45 (10)</w:t>
            </w:r>
          </w:p>
        </w:tc>
        <w:tc>
          <w:tcPr>
            <w:tcW w:w="864" w:type="pct"/>
            <w:vAlign w:val="center"/>
          </w:tcPr>
          <w:p w14:paraId="10188342" w14:textId="78B5ED7B" w:rsidR="0039351F" w:rsidRDefault="0039351F" w:rsidP="00150969">
            <w:pPr>
              <w:pStyle w:val="Tabletext"/>
              <w:keepNext/>
              <w:keepLines/>
              <w:jc w:val="center"/>
            </w:pPr>
            <w:r>
              <w:t>33 (10)</w:t>
            </w:r>
          </w:p>
        </w:tc>
        <w:tc>
          <w:tcPr>
            <w:tcW w:w="1100" w:type="pct"/>
            <w:vAlign w:val="center"/>
          </w:tcPr>
          <w:p w14:paraId="17702C48" w14:textId="12D43420" w:rsidR="0039351F" w:rsidRDefault="0039351F" w:rsidP="00150969">
            <w:pPr>
              <w:pStyle w:val="Tabletext"/>
              <w:keepNext/>
              <w:keepLines/>
              <w:jc w:val="center"/>
            </w:pPr>
            <w:r>
              <w:t>NR (NA)</w:t>
            </w:r>
          </w:p>
        </w:tc>
        <w:tc>
          <w:tcPr>
            <w:tcW w:w="601" w:type="pct"/>
            <w:vAlign w:val="center"/>
          </w:tcPr>
          <w:p w14:paraId="455F8D90" w14:textId="71E05DB4" w:rsidR="0039351F" w:rsidRDefault="0039351F" w:rsidP="00150969">
            <w:pPr>
              <w:pStyle w:val="Tabletext"/>
              <w:keepNext/>
              <w:keepLines/>
              <w:jc w:val="center"/>
            </w:pPr>
            <w:r>
              <w:t>NR (NA)</w:t>
            </w:r>
          </w:p>
        </w:tc>
      </w:tr>
      <w:tr w:rsidR="0039351F" w:rsidRPr="0098262F" w14:paraId="7A3D40F2" w14:textId="77777777" w:rsidTr="00767F25">
        <w:trPr>
          <w:cantSplit/>
        </w:trPr>
        <w:tc>
          <w:tcPr>
            <w:tcW w:w="1648" w:type="pct"/>
            <w:vAlign w:val="center"/>
          </w:tcPr>
          <w:p w14:paraId="303A396C" w14:textId="4463980B" w:rsidR="0039351F" w:rsidRDefault="00344923" w:rsidP="00150969">
            <w:pPr>
              <w:pStyle w:val="Tabletext"/>
              <w:keepNext/>
              <w:keepLines/>
              <w:ind w:left="168"/>
            </w:pPr>
            <w:r>
              <w:t>l</w:t>
            </w:r>
            <w:r w:rsidR="0039351F">
              <w:t xml:space="preserve">eading to dose modification, </w:t>
            </w:r>
            <w:r w:rsidR="0039351F">
              <w:rPr>
                <w:rFonts w:eastAsiaTheme="minorHAnsi"/>
              </w:rPr>
              <w:t>n (%)</w:t>
            </w:r>
          </w:p>
        </w:tc>
        <w:tc>
          <w:tcPr>
            <w:tcW w:w="787" w:type="pct"/>
            <w:vAlign w:val="center"/>
          </w:tcPr>
          <w:p w14:paraId="44B9ADF7" w14:textId="1A7B9AFD" w:rsidR="0039351F" w:rsidRDefault="0039351F" w:rsidP="00150969">
            <w:pPr>
              <w:pStyle w:val="Tabletext"/>
              <w:keepNext/>
              <w:keepLines/>
              <w:jc w:val="center"/>
            </w:pPr>
            <w:r>
              <w:t>283 (61)</w:t>
            </w:r>
          </w:p>
        </w:tc>
        <w:tc>
          <w:tcPr>
            <w:tcW w:w="864" w:type="pct"/>
            <w:vAlign w:val="center"/>
          </w:tcPr>
          <w:p w14:paraId="2253AC62" w14:textId="3F1D4272" w:rsidR="0039351F" w:rsidRDefault="0039351F" w:rsidP="00150969">
            <w:pPr>
              <w:pStyle w:val="Tabletext"/>
              <w:keepNext/>
              <w:keepLines/>
              <w:jc w:val="center"/>
            </w:pPr>
            <w:r>
              <w:t>200 (61)</w:t>
            </w:r>
          </w:p>
        </w:tc>
        <w:tc>
          <w:tcPr>
            <w:tcW w:w="1100" w:type="pct"/>
            <w:vAlign w:val="center"/>
          </w:tcPr>
          <w:p w14:paraId="7F08E24C" w14:textId="385DBFAB" w:rsidR="0039351F" w:rsidRDefault="0039351F" w:rsidP="00150969">
            <w:pPr>
              <w:pStyle w:val="Tabletext"/>
              <w:keepNext/>
              <w:keepLines/>
              <w:jc w:val="center"/>
            </w:pPr>
            <w:r>
              <w:t>NR (NA)</w:t>
            </w:r>
          </w:p>
        </w:tc>
        <w:tc>
          <w:tcPr>
            <w:tcW w:w="601" w:type="pct"/>
            <w:vAlign w:val="center"/>
          </w:tcPr>
          <w:p w14:paraId="12DE6E61" w14:textId="7F8ED1CB" w:rsidR="0039351F" w:rsidRDefault="0039351F" w:rsidP="00150969">
            <w:pPr>
              <w:pStyle w:val="Tabletext"/>
              <w:keepNext/>
              <w:keepLines/>
              <w:jc w:val="center"/>
            </w:pPr>
            <w:r>
              <w:t>NR (NA)</w:t>
            </w:r>
          </w:p>
        </w:tc>
      </w:tr>
      <w:tr w:rsidR="0039351F" w:rsidRPr="0098262F" w14:paraId="63936EED" w14:textId="77777777" w:rsidTr="00767F25">
        <w:trPr>
          <w:cantSplit/>
        </w:trPr>
        <w:tc>
          <w:tcPr>
            <w:tcW w:w="1648" w:type="pct"/>
            <w:vAlign w:val="center"/>
          </w:tcPr>
          <w:p w14:paraId="5D24BA1D" w14:textId="3BCCC493" w:rsidR="0039351F" w:rsidRDefault="00344923" w:rsidP="00150969">
            <w:pPr>
              <w:pStyle w:val="Tabletext"/>
              <w:keepNext/>
              <w:keepLines/>
              <w:ind w:left="318"/>
            </w:pPr>
            <w:r>
              <w:t>d</w:t>
            </w:r>
            <w:r w:rsidR="0039351F">
              <w:t xml:space="preserve">ose reduction, </w:t>
            </w:r>
            <w:r w:rsidR="0039351F">
              <w:rPr>
                <w:rFonts w:eastAsiaTheme="minorHAnsi"/>
              </w:rPr>
              <w:t>n (%)</w:t>
            </w:r>
          </w:p>
        </w:tc>
        <w:tc>
          <w:tcPr>
            <w:tcW w:w="787" w:type="pct"/>
            <w:vAlign w:val="center"/>
          </w:tcPr>
          <w:p w14:paraId="6504DA7A" w14:textId="7A865DF4" w:rsidR="0039351F" w:rsidRDefault="0039351F" w:rsidP="00150969">
            <w:pPr>
              <w:pStyle w:val="Tabletext"/>
              <w:keepNext/>
              <w:keepLines/>
              <w:jc w:val="center"/>
            </w:pPr>
            <w:r>
              <w:t>195 (42)</w:t>
            </w:r>
          </w:p>
        </w:tc>
        <w:tc>
          <w:tcPr>
            <w:tcW w:w="864" w:type="pct"/>
            <w:vAlign w:val="center"/>
          </w:tcPr>
          <w:p w14:paraId="063E6266" w14:textId="5CEFB2D3" w:rsidR="0039351F" w:rsidRDefault="0039351F" w:rsidP="00150969">
            <w:pPr>
              <w:pStyle w:val="Tabletext"/>
              <w:keepNext/>
              <w:keepLines/>
              <w:jc w:val="center"/>
            </w:pPr>
            <w:r>
              <w:t>131 (40)</w:t>
            </w:r>
          </w:p>
        </w:tc>
        <w:tc>
          <w:tcPr>
            <w:tcW w:w="1100" w:type="pct"/>
            <w:vAlign w:val="center"/>
          </w:tcPr>
          <w:p w14:paraId="2251A1FF" w14:textId="144CE3B2" w:rsidR="0039351F" w:rsidRDefault="0039351F" w:rsidP="00150969">
            <w:pPr>
              <w:pStyle w:val="Tabletext"/>
              <w:keepNext/>
              <w:keepLines/>
              <w:jc w:val="center"/>
            </w:pPr>
            <w:r>
              <w:t>NR (NA)</w:t>
            </w:r>
          </w:p>
        </w:tc>
        <w:tc>
          <w:tcPr>
            <w:tcW w:w="601" w:type="pct"/>
            <w:vAlign w:val="center"/>
          </w:tcPr>
          <w:p w14:paraId="30C07D4B" w14:textId="64C7DCD5" w:rsidR="0039351F" w:rsidRDefault="0039351F" w:rsidP="00150969">
            <w:pPr>
              <w:pStyle w:val="Tabletext"/>
              <w:keepNext/>
              <w:keepLines/>
              <w:jc w:val="center"/>
            </w:pPr>
            <w:r>
              <w:t>NR (NA)</w:t>
            </w:r>
          </w:p>
        </w:tc>
      </w:tr>
      <w:tr w:rsidR="0039351F" w:rsidRPr="0098262F" w14:paraId="529EF0D9" w14:textId="77777777" w:rsidTr="00767F25">
        <w:trPr>
          <w:cantSplit/>
        </w:trPr>
        <w:tc>
          <w:tcPr>
            <w:tcW w:w="1648" w:type="pct"/>
            <w:vAlign w:val="center"/>
          </w:tcPr>
          <w:p w14:paraId="52C8D033" w14:textId="399E086E" w:rsidR="0039351F" w:rsidRDefault="00344923" w:rsidP="00150969">
            <w:pPr>
              <w:pStyle w:val="Tabletext"/>
              <w:keepNext/>
              <w:keepLines/>
              <w:ind w:left="318"/>
            </w:pPr>
            <w:r>
              <w:t>d</w:t>
            </w:r>
            <w:r w:rsidR="0039351F">
              <w:t xml:space="preserve">rug interruption, </w:t>
            </w:r>
            <w:r w:rsidR="0039351F">
              <w:rPr>
                <w:rFonts w:eastAsiaTheme="minorHAnsi"/>
              </w:rPr>
              <w:t>n (%)</w:t>
            </w:r>
          </w:p>
        </w:tc>
        <w:tc>
          <w:tcPr>
            <w:tcW w:w="787" w:type="pct"/>
            <w:vAlign w:val="center"/>
          </w:tcPr>
          <w:p w14:paraId="7CE8176E" w14:textId="3DDDD283" w:rsidR="0039351F" w:rsidRDefault="0039351F" w:rsidP="00150969">
            <w:pPr>
              <w:pStyle w:val="Tabletext"/>
              <w:keepNext/>
              <w:keepLines/>
              <w:jc w:val="center"/>
            </w:pPr>
            <w:r>
              <w:t>255 (55)</w:t>
            </w:r>
          </w:p>
        </w:tc>
        <w:tc>
          <w:tcPr>
            <w:tcW w:w="864" w:type="pct"/>
            <w:vAlign w:val="center"/>
          </w:tcPr>
          <w:p w14:paraId="6ED7CE2B" w14:textId="01D728F3" w:rsidR="0039351F" w:rsidRDefault="0039351F" w:rsidP="00150969">
            <w:pPr>
              <w:pStyle w:val="Tabletext"/>
              <w:keepNext/>
              <w:keepLines/>
              <w:jc w:val="center"/>
            </w:pPr>
            <w:r>
              <w:t>181 (55)</w:t>
            </w:r>
          </w:p>
        </w:tc>
        <w:tc>
          <w:tcPr>
            <w:tcW w:w="1100" w:type="pct"/>
            <w:vAlign w:val="center"/>
          </w:tcPr>
          <w:p w14:paraId="680D4786" w14:textId="38F42016" w:rsidR="0039351F" w:rsidRDefault="0039351F" w:rsidP="00150969">
            <w:pPr>
              <w:pStyle w:val="Tabletext"/>
              <w:keepNext/>
              <w:keepLines/>
              <w:jc w:val="center"/>
            </w:pPr>
            <w:r>
              <w:t>NR (NA)</w:t>
            </w:r>
          </w:p>
        </w:tc>
        <w:tc>
          <w:tcPr>
            <w:tcW w:w="601" w:type="pct"/>
            <w:vAlign w:val="center"/>
          </w:tcPr>
          <w:p w14:paraId="607DBBEA" w14:textId="087FCB74" w:rsidR="0039351F" w:rsidRDefault="0039351F" w:rsidP="00150969">
            <w:pPr>
              <w:pStyle w:val="Tabletext"/>
              <w:keepNext/>
              <w:keepLines/>
              <w:jc w:val="center"/>
            </w:pPr>
            <w:r>
              <w:t>NR (NA)</w:t>
            </w:r>
          </w:p>
        </w:tc>
      </w:tr>
      <w:tr w:rsidR="005D26B4" w:rsidRPr="0098262F" w14:paraId="288735B9" w14:textId="499706AF" w:rsidTr="00767F25">
        <w:trPr>
          <w:cantSplit/>
        </w:trPr>
        <w:tc>
          <w:tcPr>
            <w:tcW w:w="1648" w:type="pct"/>
            <w:vAlign w:val="center"/>
          </w:tcPr>
          <w:p w14:paraId="0191F38E" w14:textId="343590FA" w:rsidR="005D26B4" w:rsidRPr="0098262F" w:rsidRDefault="0039351F" w:rsidP="00150969">
            <w:pPr>
              <w:pStyle w:val="Tabletext"/>
              <w:keepNext/>
              <w:keepLines/>
              <w:ind w:left="168"/>
            </w:pPr>
            <w:r>
              <w:t xml:space="preserve">SAE, </w:t>
            </w:r>
            <w:r>
              <w:rPr>
                <w:rFonts w:eastAsiaTheme="minorHAnsi"/>
              </w:rPr>
              <w:t>n (%)</w:t>
            </w:r>
          </w:p>
        </w:tc>
        <w:tc>
          <w:tcPr>
            <w:tcW w:w="787" w:type="pct"/>
            <w:vAlign w:val="center"/>
          </w:tcPr>
          <w:p w14:paraId="573931A7" w14:textId="0193803A" w:rsidR="005D26B4" w:rsidRPr="0098262F" w:rsidRDefault="0039351F" w:rsidP="00150969">
            <w:pPr>
              <w:pStyle w:val="Tabletext"/>
              <w:keepNext/>
              <w:keepLines/>
              <w:jc w:val="center"/>
            </w:pPr>
            <w:r>
              <w:t>179 (39)</w:t>
            </w:r>
          </w:p>
        </w:tc>
        <w:tc>
          <w:tcPr>
            <w:tcW w:w="864" w:type="pct"/>
            <w:vAlign w:val="center"/>
          </w:tcPr>
          <w:p w14:paraId="4832ADCF" w14:textId="41BC08CE" w:rsidR="005D26B4" w:rsidRPr="0098262F" w:rsidRDefault="0039351F" w:rsidP="00150969">
            <w:pPr>
              <w:pStyle w:val="Tabletext"/>
              <w:keepNext/>
              <w:keepLines/>
              <w:jc w:val="center"/>
            </w:pPr>
            <w:r>
              <w:t>126 (39)</w:t>
            </w:r>
          </w:p>
        </w:tc>
        <w:tc>
          <w:tcPr>
            <w:tcW w:w="1100" w:type="pct"/>
            <w:vAlign w:val="center"/>
          </w:tcPr>
          <w:p w14:paraId="5B42B0D8" w14:textId="5E27EDCE" w:rsidR="005D26B4" w:rsidRPr="0098262F" w:rsidRDefault="0039351F" w:rsidP="00150969">
            <w:pPr>
              <w:pStyle w:val="Tabletext"/>
              <w:keepNext/>
              <w:keepLines/>
              <w:jc w:val="center"/>
            </w:pPr>
            <w:r>
              <w:t>NR (NA)</w:t>
            </w:r>
          </w:p>
        </w:tc>
        <w:tc>
          <w:tcPr>
            <w:tcW w:w="601" w:type="pct"/>
            <w:vAlign w:val="center"/>
          </w:tcPr>
          <w:p w14:paraId="0D8A34C0" w14:textId="3CDAD772" w:rsidR="0039351F" w:rsidRDefault="0039351F" w:rsidP="00150969">
            <w:pPr>
              <w:pStyle w:val="Tabletext"/>
              <w:keepNext/>
              <w:keepLines/>
              <w:jc w:val="center"/>
            </w:pPr>
            <w:r>
              <w:t>NR (NA)</w:t>
            </w:r>
          </w:p>
        </w:tc>
      </w:tr>
      <w:tr w:rsidR="0039351F" w:rsidRPr="0098262F" w14:paraId="60018424" w14:textId="77777777" w:rsidTr="00767F25">
        <w:trPr>
          <w:cantSplit/>
        </w:trPr>
        <w:tc>
          <w:tcPr>
            <w:tcW w:w="1648" w:type="pct"/>
            <w:vAlign w:val="center"/>
          </w:tcPr>
          <w:p w14:paraId="2DE3F19E" w14:textId="2EDB4540" w:rsidR="0039351F" w:rsidRDefault="00344923" w:rsidP="00150969">
            <w:pPr>
              <w:pStyle w:val="Tabletext"/>
              <w:keepNext/>
              <w:keepLines/>
              <w:ind w:left="176"/>
            </w:pPr>
            <w:r>
              <w:rPr>
                <w:szCs w:val="20"/>
              </w:rPr>
              <w:t>g</w:t>
            </w:r>
            <w:r w:rsidR="0039351F">
              <w:rPr>
                <w:szCs w:val="20"/>
              </w:rPr>
              <w:t xml:space="preserve">rade ≥3 </w:t>
            </w:r>
            <w:r w:rsidR="00FF6DFE">
              <w:rPr>
                <w:szCs w:val="20"/>
                <w:vertAlign w:val="superscript"/>
              </w:rPr>
              <w:t>c</w:t>
            </w:r>
            <w:r w:rsidR="00BF0F80">
              <w:t xml:space="preserve">, </w:t>
            </w:r>
            <w:r w:rsidR="0039351F">
              <w:rPr>
                <w:rFonts w:eastAsiaTheme="minorHAnsi"/>
              </w:rPr>
              <w:t>n (%)</w:t>
            </w:r>
          </w:p>
        </w:tc>
        <w:tc>
          <w:tcPr>
            <w:tcW w:w="787" w:type="pct"/>
            <w:vAlign w:val="center"/>
          </w:tcPr>
          <w:p w14:paraId="1CB91597" w14:textId="2FCC301F" w:rsidR="0039351F" w:rsidRDefault="0039351F" w:rsidP="00150969">
            <w:pPr>
              <w:pStyle w:val="Tabletext"/>
              <w:keepNext/>
              <w:keepLines/>
              <w:jc w:val="center"/>
            </w:pPr>
            <w:r>
              <w:t>262 (57)</w:t>
            </w:r>
          </w:p>
        </w:tc>
        <w:tc>
          <w:tcPr>
            <w:tcW w:w="864" w:type="pct"/>
            <w:vAlign w:val="center"/>
          </w:tcPr>
          <w:p w14:paraId="037DF782" w14:textId="2F38D8A0" w:rsidR="0039351F" w:rsidRDefault="0039351F" w:rsidP="00150969">
            <w:pPr>
              <w:pStyle w:val="Tabletext"/>
              <w:keepNext/>
              <w:keepLines/>
              <w:jc w:val="center"/>
            </w:pPr>
            <w:r>
              <w:t>185 (57)</w:t>
            </w:r>
          </w:p>
        </w:tc>
        <w:tc>
          <w:tcPr>
            <w:tcW w:w="1100" w:type="pct"/>
            <w:vAlign w:val="center"/>
          </w:tcPr>
          <w:p w14:paraId="128CEBCE" w14:textId="3E65563D" w:rsidR="0039351F" w:rsidRDefault="0039351F" w:rsidP="00150969">
            <w:pPr>
              <w:pStyle w:val="Tabletext"/>
              <w:keepNext/>
              <w:keepLines/>
              <w:jc w:val="center"/>
            </w:pPr>
            <w:r>
              <w:t>NR (NA)</w:t>
            </w:r>
          </w:p>
        </w:tc>
        <w:tc>
          <w:tcPr>
            <w:tcW w:w="601" w:type="pct"/>
            <w:vAlign w:val="center"/>
          </w:tcPr>
          <w:p w14:paraId="433EEC71" w14:textId="788366A8" w:rsidR="0039351F" w:rsidRDefault="0039351F" w:rsidP="00150969">
            <w:pPr>
              <w:pStyle w:val="Tabletext"/>
              <w:keepNext/>
              <w:keepLines/>
              <w:jc w:val="center"/>
            </w:pPr>
            <w:r>
              <w:t>31 (56)</w:t>
            </w:r>
          </w:p>
        </w:tc>
      </w:tr>
      <w:tr w:rsidR="005D26B4" w:rsidRPr="0098262F" w14:paraId="097999E8" w14:textId="56D3A441" w:rsidTr="00D46663">
        <w:trPr>
          <w:cantSplit/>
        </w:trPr>
        <w:tc>
          <w:tcPr>
            <w:tcW w:w="1648" w:type="pct"/>
            <w:shd w:val="clear" w:color="auto" w:fill="auto"/>
            <w:vAlign w:val="center"/>
          </w:tcPr>
          <w:p w14:paraId="73C7D16F" w14:textId="3D248C70" w:rsidR="005D26B4" w:rsidRPr="0098262F" w:rsidRDefault="0039351F" w:rsidP="00150969">
            <w:pPr>
              <w:pStyle w:val="Tabletext"/>
              <w:keepNext/>
              <w:keepLines/>
            </w:pPr>
            <w:r>
              <w:t>Any TR</w:t>
            </w:r>
            <w:r w:rsidR="0086750B">
              <w:t>AE</w:t>
            </w:r>
            <w:r>
              <w:t xml:space="preserve">, </w:t>
            </w:r>
            <w:r>
              <w:rPr>
                <w:rFonts w:eastAsiaTheme="minorHAnsi"/>
              </w:rPr>
              <w:t>n (%)</w:t>
            </w:r>
          </w:p>
        </w:tc>
        <w:tc>
          <w:tcPr>
            <w:tcW w:w="787" w:type="pct"/>
            <w:shd w:val="clear" w:color="auto" w:fill="auto"/>
            <w:vAlign w:val="center"/>
          </w:tcPr>
          <w:p w14:paraId="53BA973E" w14:textId="12AAD69D" w:rsidR="005D26B4" w:rsidRPr="0098262F" w:rsidRDefault="0039351F" w:rsidP="00150969">
            <w:pPr>
              <w:pStyle w:val="Tabletext"/>
              <w:keepNext/>
              <w:keepLines/>
              <w:jc w:val="center"/>
            </w:pPr>
            <w:r>
              <w:t>444 (96)</w:t>
            </w:r>
          </w:p>
        </w:tc>
        <w:tc>
          <w:tcPr>
            <w:tcW w:w="864" w:type="pct"/>
            <w:shd w:val="clear" w:color="auto" w:fill="auto"/>
            <w:vAlign w:val="center"/>
          </w:tcPr>
          <w:p w14:paraId="3849128B" w14:textId="74ED611E" w:rsidR="005D26B4" w:rsidRPr="0098262F" w:rsidRDefault="0039351F" w:rsidP="00150969">
            <w:pPr>
              <w:pStyle w:val="Tabletext"/>
              <w:keepNext/>
              <w:keepLines/>
              <w:jc w:val="center"/>
            </w:pPr>
            <w:r>
              <w:t>NR (NA)</w:t>
            </w:r>
          </w:p>
        </w:tc>
        <w:tc>
          <w:tcPr>
            <w:tcW w:w="1100" w:type="pct"/>
            <w:shd w:val="clear" w:color="auto" w:fill="auto"/>
            <w:vAlign w:val="center"/>
          </w:tcPr>
          <w:p w14:paraId="66594359" w14:textId="2C5AD87C" w:rsidR="005D26B4" w:rsidRPr="0098262F" w:rsidRDefault="0039351F" w:rsidP="00150969">
            <w:pPr>
              <w:pStyle w:val="Tabletext"/>
              <w:keepNext/>
              <w:keepLines/>
              <w:jc w:val="center"/>
            </w:pPr>
            <w:r>
              <w:t>234 (95)</w:t>
            </w:r>
          </w:p>
        </w:tc>
        <w:tc>
          <w:tcPr>
            <w:tcW w:w="601" w:type="pct"/>
            <w:shd w:val="clear" w:color="auto" w:fill="auto"/>
            <w:vAlign w:val="center"/>
          </w:tcPr>
          <w:p w14:paraId="386EE510" w14:textId="5207CA21" w:rsidR="0039351F" w:rsidRDefault="0039351F" w:rsidP="00150969">
            <w:pPr>
              <w:pStyle w:val="Tabletext"/>
              <w:keepNext/>
              <w:keepLines/>
              <w:jc w:val="center"/>
            </w:pPr>
            <w:r>
              <w:t>51 (93)</w:t>
            </w:r>
          </w:p>
        </w:tc>
      </w:tr>
      <w:tr w:rsidR="005D26B4" w:rsidRPr="0098262F" w14:paraId="21E7BF5A" w14:textId="09F5F05F" w:rsidTr="00767F25">
        <w:trPr>
          <w:cantSplit/>
        </w:trPr>
        <w:tc>
          <w:tcPr>
            <w:tcW w:w="1648" w:type="pct"/>
            <w:vAlign w:val="center"/>
          </w:tcPr>
          <w:p w14:paraId="19121454" w14:textId="2CFC834A" w:rsidR="005D26B4" w:rsidRPr="0098262F" w:rsidRDefault="00344923" w:rsidP="00150969">
            <w:pPr>
              <w:pStyle w:val="Tabletext"/>
              <w:keepNext/>
              <w:keepLines/>
              <w:ind w:left="168"/>
            </w:pPr>
            <w:r>
              <w:t>l</w:t>
            </w:r>
            <w:r w:rsidR="0039351F">
              <w:t xml:space="preserve">eading to discontinuation, </w:t>
            </w:r>
            <w:r w:rsidR="0039351F">
              <w:rPr>
                <w:rFonts w:eastAsiaTheme="minorHAnsi"/>
              </w:rPr>
              <w:t>n (%)</w:t>
            </w:r>
          </w:p>
        </w:tc>
        <w:tc>
          <w:tcPr>
            <w:tcW w:w="787" w:type="pct"/>
            <w:vAlign w:val="center"/>
          </w:tcPr>
          <w:p w14:paraId="65A29316" w14:textId="4B123424" w:rsidR="005D26B4" w:rsidRPr="0098262F" w:rsidRDefault="0039351F" w:rsidP="00150969">
            <w:pPr>
              <w:pStyle w:val="Tabletext"/>
              <w:keepNext/>
              <w:keepLines/>
              <w:jc w:val="center"/>
            </w:pPr>
            <w:r>
              <w:t>20 (4)</w:t>
            </w:r>
          </w:p>
        </w:tc>
        <w:tc>
          <w:tcPr>
            <w:tcW w:w="864" w:type="pct"/>
            <w:vAlign w:val="center"/>
          </w:tcPr>
          <w:p w14:paraId="28F19227" w14:textId="546956C0" w:rsidR="005D26B4" w:rsidRPr="0098262F" w:rsidRDefault="0039351F" w:rsidP="00150969">
            <w:pPr>
              <w:pStyle w:val="Tabletext"/>
              <w:keepNext/>
              <w:keepLines/>
              <w:jc w:val="center"/>
            </w:pPr>
            <w:r>
              <w:t>15 (5)</w:t>
            </w:r>
          </w:p>
        </w:tc>
        <w:tc>
          <w:tcPr>
            <w:tcW w:w="1100" w:type="pct"/>
            <w:vAlign w:val="center"/>
          </w:tcPr>
          <w:p w14:paraId="5680AFDE" w14:textId="0AD5077F" w:rsidR="005D26B4" w:rsidRPr="0098262F" w:rsidRDefault="0039351F" w:rsidP="00150969">
            <w:pPr>
              <w:pStyle w:val="Tabletext"/>
              <w:keepNext/>
              <w:keepLines/>
              <w:jc w:val="center"/>
            </w:pPr>
            <w:r>
              <w:t>NR (NA)</w:t>
            </w:r>
          </w:p>
        </w:tc>
        <w:tc>
          <w:tcPr>
            <w:tcW w:w="601" w:type="pct"/>
            <w:vAlign w:val="center"/>
          </w:tcPr>
          <w:p w14:paraId="32ECDB8C" w14:textId="44070368" w:rsidR="0039351F" w:rsidRDefault="0039351F" w:rsidP="00150969">
            <w:pPr>
              <w:pStyle w:val="Tabletext"/>
              <w:keepNext/>
              <w:keepLines/>
              <w:jc w:val="center"/>
            </w:pPr>
            <w:r>
              <w:t>3 (6)</w:t>
            </w:r>
          </w:p>
        </w:tc>
      </w:tr>
      <w:tr w:rsidR="0039351F" w:rsidRPr="0098262F" w14:paraId="332E290F" w14:textId="77777777" w:rsidTr="00767F25">
        <w:trPr>
          <w:cantSplit/>
        </w:trPr>
        <w:tc>
          <w:tcPr>
            <w:tcW w:w="1648" w:type="pct"/>
            <w:vAlign w:val="center"/>
          </w:tcPr>
          <w:p w14:paraId="6744495F" w14:textId="6E457BF5" w:rsidR="0039351F" w:rsidRDefault="00344923" w:rsidP="00150969">
            <w:pPr>
              <w:pStyle w:val="Tabletext"/>
              <w:keepNext/>
              <w:keepLines/>
              <w:ind w:left="168"/>
            </w:pPr>
            <w:r>
              <w:t>l</w:t>
            </w:r>
            <w:r w:rsidR="0039351F">
              <w:t xml:space="preserve">eading to dose modification, </w:t>
            </w:r>
            <w:r w:rsidR="0039351F">
              <w:rPr>
                <w:rFonts w:eastAsiaTheme="minorHAnsi"/>
              </w:rPr>
              <w:t>n (%)</w:t>
            </w:r>
          </w:p>
        </w:tc>
        <w:tc>
          <w:tcPr>
            <w:tcW w:w="787" w:type="pct"/>
            <w:vAlign w:val="center"/>
          </w:tcPr>
          <w:p w14:paraId="41BFA7B7" w14:textId="561C4F0B" w:rsidR="0039351F" w:rsidRDefault="0039351F" w:rsidP="00150969">
            <w:pPr>
              <w:pStyle w:val="Tabletext"/>
              <w:keepNext/>
              <w:keepLines/>
              <w:jc w:val="center"/>
            </w:pPr>
            <w:r>
              <w:t>217 (47)</w:t>
            </w:r>
          </w:p>
        </w:tc>
        <w:tc>
          <w:tcPr>
            <w:tcW w:w="864" w:type="pct"/>
            <w:vAlign w:val="center"/>
          </w:tcPr>
          <w:p w14:paraId="7091E807" w14:textId="039A79F5" w:rsidR="0039351F" w:rsidRDefault="0039351F" w:rsidP="00150969">
            <w:pPr>
              <w:pStyle w:val="Tabletext"/>
              <w:keepNext/>
              <w:keepLines/>
              <w:jc w:val="center"/>
            </w:pPr>
            <w:r>
              <w:t>144 (44)</w:t>
            </w:r>
          </w:p>
        </w:tc>
        <w:tc>
          <w:tcPr>
            <w:tcW w:w="1100" w:type="pct"/>
            <w:vAlign w:val="center"/>
          </w:tcPr>
          <w:p w14:paraId="287F3880" w14:textId="10C37283" w:rsidR="0039351F" w:rsidRDefault="0039351F" w:rsidP="00150969">
            <w:pPr>
              <w:pStyle w:val="Tabletext"/>
              <w:keepNext/>
              <w:keepLines/>
              <w:jc w:val="center"/>
            </w:pPr>
            <w:r>
              <w:t>NR (NA)</w:t>
            </w:r>
          </w:p>
        </w:tc>
        <w:tc>
          <w:tcPr>
            <w:tcW w:w="601" w:type="pct"/>
            <w:vAlign w:val="center"/>
          </w:tcPr>
          <w:p w14:paraId="33A745D1" w14:textId="350CB673" w:rsidR="0039351F" w:rsidRDefault="0039351F" w:rsidP="00150969">
            <w:pPr>
              <w:pStyle w:val="Tabletext"/>
              <w:keepNext/>
              <w:keepLines/>
              <w:jc w:val="center"/>
            </w:pPr>
            <w:r>
              <w:t>NR (NA)</w:t>
            </w:r>
          </w:p>
        </w:tc>
      </w:tr>
      <w:tr w:rsidR="0039351F" w:rsidRPr="0098262F" w14:paraId="43D01044" w14:textId="77777777" w:rsidTr="00767F25">
        <w:trPr>
          <w:cantSplit/>
        </w:trPr>
        <w:tc>
          <w:tcPr>
            <w:tcW w:w="1648" w:type="pct"/>
            <w:vAlign w:val="center"/>
          </w:tcPr>
          <w:p w14:paraId="7291BDE1" w14:textId="7AB14A2E" w:rsidR="0039351F" w:rsidRDefault="00344923" w:rsidP="00150969">
            <w:pPr>
              <w:pStyle w:val="Tabletext"/>
              <w:keepNext/>
              <w:keepLines/>
              <w:ind w:left="318"/>
            </w:pPr>
            <w:r>
              <w:t>d</w:t>
            </w:r>
            <w:r w:rsidR="0039351F">
              <w:t xml:space="preserve">ose reduction, </w:t>
            </w:r>
            <w:r w:rsidR="0039351F">
              <w:rPr>
                <w:rFonts w:eastAsiaTheme="minorHAnsi"/>
              </w:rPr>
              <w:t>n (%)</w:t>
            </w:r>
          </w:p>
        </w:tc>
        <w:tc>
          <w:tcPr>
            <w:tcW w:w="787" w:type="pct"/>
            <w:vAlign w:val="center"/>
          </w:tcPr>
          <w:p w14:paraId="5C2E5E3E" w14:textId="2C78481E" w:rsidR="0039351F" w:rsidRDefault="0039351F" w:rsidP="00150969">
            <w:pPr>
              <w:pStyle w:val="Tabletext"/>
              <w:keepNext/>
              <w:keepLines/>
              <w:jc w:val="center"/>
            </w:pPr>
            <w:r>
              <w:t>175 (38)</w:t>
            </w:r>
          </w:p>
        </w:tc>
        <w:tc>
          <w:tcPr>
            <w:tcW w:w="864" w:type="pct"/>
            <w:vAlign w:val="center"/>
          </w:tcPr>
          <w:p w14:paraId="79E25F57" w14:textId="1D736FCE" w:rsidR="0039351F" w:rsidRDefault="0039351F" w:rsidP="00150969">
            <w:pPr>
              <w:pStyle w:val="Tabletext"/>
              <w:keepNext/>
              <w:keepLines/>
              <w:jc w:val="center"/>
            </w:pPr>
            <w:r>
              <w:t>113 (35)</w:t>
            </w:r>
          </w:p>
        </w:tc>
        <w:tc>
          <w:tcPr>
            <w:tcW w:w="1100" w:type="pct"/>
            <w:vAlign w:val="center"/>
          </w:tcPr>
          <w:p w14:paraId="7C707F3E" w14:textId="6BA007D3" w:rsidR="0039351F" w:rsidRDefault="0039351F" w:rsidP="00150969">
            <w:pPr>
              <w:pStyle w:val="Tabletext"/>
              <w:keepNext/>
              <w:keepLines/>
              <w:jc w:val="center"/>
            </w:pPr>
            <w:r>
              <w:t>NR</w:t>
            </w:r>
            <w:r w:rsidR="001364D6" w:rsidRPr="005C1D33">
              <w:t xml:space="preserve"> (NA)</w:t>
            </w:r>
          </w:p>
        </w:tc>
        <w:tc>
          <w:tcPr>
            <w:tcW w:w="601" w:type="pct"/>
            <w:vAlign w:val="center"/>
          </w:tcPr>
          <w:p w14:paraId="02CE6A48" w14:textId="1F69AEFB" w:rsidR="0039351F" w:rsidRDefault="0039351F" w:rsidP="00150969">
            <w:pPr>
              <w:pStyle w:val="Tabletext"/>
              <w:keepNext/>
              <w:keepLines/>
              <w:jc w:val="center"/>
            </w:pPr>
            <w:r>
              <w:t>20 (36)</w:t>
            </w:r>
          </w:p>
        </w:tc>
      </w:tr>
      <w:tr w:rsidR="0039351F" w:rsidRPr="0098262F" w14:paraId="0FE7E627" w14:textId="77777777" w:rsidTr="00767F25">
        <w:trPr>
          <w:cantSplit/>
        </w:trPr>
        <w:tc>
          <w:tcPr>
            <w:tcW w:w="1648" w:type="pct"/>
            <w:vAlign w:val="center"/>
          </w:tcPr>
          <w:p w14:paraId="60E187A3" w14:textId="7E77C15D" w:rsidR="0039351F" w:rsidRDefault="00344923" w:rsidP="00150969">
            <w:pPr>
              <w:pStyle w:val="Tabletext"/>
              <w:keepNext/>
              <w:keepLines/>
              <w:ind w:left="318"/>
            </w:pPr>
            <w:r>
              <w:t>d</w:t>
            </w:r>
            <w:r w:rsidR="0039351F">
              <w:t xml:space="preserve">rug interruption, </w:t>
            </w:r>
            <w:r w:rsidR="0039351F">
              <w:rPr>
                <w:rFonts w:eastAsiaTheme="minorHAnsi"/>
              </w:rPr>
              <w:t>n (%)</w:t>
            </w:r>
          </w:p>
        </w:tc>
        <w:tc>
          <w:tcPr>
            <w:tcW w:w="787" w:type="pct"/>
            <w:vAlign w:val="center"/>
          </w:tcPr>
          <w:p w14:paraId="471D54E7" w14:textId="78913279" w:rsidR="0039351F" w:rsidRDefault="0039351F" w:rsidP="00150969">
            <w:pPr>
              <w:pStyle w:val="Tabletext"/>
              <w:keepNext/>
              <w:keepLines/>
              <w:jc w:val="center"/>
            </w:pPr>
            <w:r>
              <w:t>179 (39)</w:t>
            </w:r>
          </w:p>
        </w:tc>
        <w:tc>
          <w:tcPr>
            <w:tcW w:w="864" w:type="pct"/>
            <w:vAlign w:val="center"/>
          </w:tcPr>
          <w:p w14:paraId="4B4EEFD8" w14:textId="754A4902" w:rsidR="0039351F" w:rsidRDefault="0039351F" w:rsidP="00150969">
            <w:pPr>
              <w:pStyle w:val="Tabletext"/>
              <w:keepNext/>
              <w:keepLines/>
              <w:jc w:val="center"/>
            </w:pPr>
            <w:r>
              <w:t>119 (36)</w:t>
            </w:r>
          </w:p>
        </w:tc>
        <w:tc>
          <w:tcPr>
            <w:tcW w:w="1100" w:type="pct"/>
            <w:vAlign w:val="center"/>
          </w:tcPr>
          <w:p w14:paraId="2E5407B6" w14:textId="78C16710" w:rsidR="0039351F" w:rsidRDefault="0039351F" w:rsidP="00150969">
            <w:pPr>
              <w:pStyle w:val="Tabletext"/>
              <w:keepNext/>
              <w:keepLines/>
              <w:jc w:val="center"/>
            </w:pPr>
            <w:r>
              <w:t>NR</w:t>
            </w:r>
            <w:r w:rsidR="001364D6" w:rsidRPr="005C1D33">
              <w:t xml:space="preserve"> (NA)</w:t>
            </w:r>
          </w:p>
        </w:tc>
        <w:tc>
          <w:tcPr>
            <w:tcW w:w="601" w:type="pct"/>
            <w:vAlign w:val="center"/>
          </w:tcPr>
          <w:p w14:paraId="68B8AD94" w14:textId="4F711E9A" w:rsidR="0039351F" w:rsidRDefault="0039351F" w:rsidP="00150969">
            <w:pPr>
              <w:pStyle w:val="Tabletext"/>
              <w:keepNext/>
              <w:keepLines/>
              <w:jc w:val="center"/>
            </w:pPr>
            <w:r>
              <w:t>11 (20)</w:t>
            </w:r>
          </w:p>
        </w:tc>
      </w:tr>
      <w:tr w:rsidR="0039351F" w:rsidRPr="0098262F" w14:paraId="7CBF1620" w14:textId="3DD3484F" w:rsidTr="00767F25">
        <w:trPr>
          <w:cantSplit/>
        </w:trPr>
        <w:tc>
          <w:tcPr>
            <w:tcW w:w="1648" w:type="pct"/>
            <w:vAlign w:val="center"/>
          </w:tcPr>
          <w:p w14:paraId="52B0295C" w14:textId="62D8317C" w:rsidR="0039351F" w:rsidRPr="0098262F" w:rsidRDefault="0039351F" w:rsidP="00150969">
            <w:pPr>
              <w:pStyle w:val="Tabletext"/>
              <w:keepNext/>
              <w:keepLines/>
              <w:ind w:left="168"/>
            </w:pPr>
            <w:r>
              <w:t xml:space="preserve">SAE, </w:t>
            </w:r>
            <w:r>
              <w:rPr>
                <w:rFonts w:eastAsiaTheme="minorHAnsi"/>
              </w:rPr>
              <w:t>n (%)</w:t>
            </w:r>
          </w:p>
        </w:tc>
        <w:tc>
          <w:tcPr>
            <w:tcW w:w="787" w:type="pct"/>
            <w:vAlign w:val="center"/>
          </w:tcPr>
          <w:p w14:paraId="4B2F918D" w14:textId="1AEF47F4" w:rsidR="0039351F" w:rsidRPr="0098262F" w:rsidRDefault="0039351F" w:rsidP="00150969">
            <w:pPr>
              <w:pStyle w:val="Tabletext"/>
              <w:keepNext/>
              <w:keepLines/>
              <w:jc w:val="center"/>
            </w:pPr>
            <w:r>
              <w:t>45 (10)</w:t>
            </w:r>
          </w:p>
        </w:tc>
        <w:tc>
          <w:tcPr>
            <w:tcW w:w="864" w:type="pct"/>
            <w:vAlign w:val="center"/>
          </w:tcPr>
          <w:p w14:paraId="7AEFB3F9" w14:textId="68A81050" w:rsidR="0039351F" w:rsidRPr="0098262F" w:rsidRDefault="0039351F" w:rsidP="00150969">
            <w:pPr>
              <w:pStyle w:val="Tabletext"/>
              <w:keepNext/>
              <w:keepLines/>
              <w:jc w:val="center"/>
            </w:pPr>
            <w:r>
              <w:t>27 (8)</w:t>
            </w:r>
          </w:p>
        </w:tc>
        <w:tc>
          <w:tcPr>
            <w:tcW w:w="1100" w:type="pct"/>
            <w:vAlign w:val="center"/>
          </w:tcPr>
          <w:p w14:paraId="58D84AEC" w14:textId="1286C181" w:rsidR="0039351F" w:rsidRPr="0098262F" w:rsidRDefault="0039351F" w:rsidP="00150969">
            <w:pPr>
              <w:pStyle w:val="Tabletext"/>
              <w:keepNext/>
              <w:keepLines/>
              <w:jc w:val="center"/>
            </w:pPr>
            <w:r>
              <w:t>35 (14)</w:t>
            </w:r>
          </w:p>
        </w:tc>
        <w:tc>
          <w:tcPr>
            <w:tcW w:w="601" w:type="pct"/>
            <w:vAlign w:val="center"/>
          </w:tcPr>
          <w:p w14:paraId="6D89DA42" w14:textId="56BA2FAE" w:rsidR="0039351F" w:rsidRPr="0098262F" w:rsidRDefault="0039351F" w:rsidP="00150969">
            <w:pPr>
              <w:pStyle w:val="Tabletext"/>
              <w:keepNext/>
              <w:keepLines/>
              <w:jc w:val="center"/>
            </w:pPr>
            <w:r>
              <w:t>7 (13)</w:t>
            </w:r>
          </w:p>
        </w:tc>
      </w:tr>
      <w:tr w:rsidR="0039351F" w:rsidRPr="0098262F" w14:paraId="28D69C4E" w14:textId="77777777" w:rsidTr="00767F25">
        <w:trPr>
          <w:cantSplit/>
        </w:trPr>
        <w:tc>
          <w:tcPr>
            <w:tcW w:w="1648" w:type="pct"/>
            <w:vAlign w:val="center"/>
          </w:tcPr>
          <w:p w14:paraId="5B17F799" w14:textId="5A7A5286" w:rsidR="0039351F" w:rsidRDefault="00344923" w:rsidP="00150969">
            <w:pPr>
              <w:pStyle w:val="TableText0"/>
              <w:ind w:left="176"/>
            </w:pPr>
            <w:r>
              <w:t>g</w:t>
            </w:r>
            <w:r w:rsidR="0039351F">
              <w:t xml:space="preserve">rade ≥3 </w:t>
            </w:r>
            <w:r w:rsidR="00FF6DFE">
              <w:rPr>
                <w:szCs w:val="20"/>
                <w:vertAlign w:val="superscript"/>
              </w:rPr>
              <w:t>c</w:t>
            </w:r>
            <w:r w:rsidR="00BF0F80">
              <w:t xml:space="preserve">, </w:t>
            </w:r>
            <w:r w:rsidR="0039351F">
              <w:rPr>
                <w:rFonts w:eastAsiaTheme="minorHAnsi"/>
              </w:rPr>
              <w:t>n (%)</w:t>
            </w:r>
          </w:p>
        </w:tc>
        <w:tc>
          <w:tcPr>
            <w:tcW w:w="787" w:type="pct"/>
            <w:vAlign w:val="center"/>
          </w:tcPr>
          <w:p w14:paraId="41828B86" w14:textId="5807A8EF" w:rsidR="0039351F" w:rsidRDefault="0039351F" w:rsidP="00150969">
            <w:pPr>
              <w:pStyle w:val="Tabletext"/>
              <w:keepNext/>
              <w:keepLines/>
              <w:jc w:val="center"/>
            </w:pPr>
            <w:r>
              <w:t>149 (32)</w:t>
            </w:r>
          </w:p>
        </w:tc>
        <w:tc>
          <w:tcPr>
            <w:tcW w:w="864" w:type="pct"/>
            <w:vAlign w:val="center"/>
          </w:tcPr>
          <w:p w14:paraId="482F7B3B" w14:textId="3DFA770C" w:rsidR="0039351F" w:rsidRDefault="0039351F" w:rsidP="00150969">
            <w:pPr>
              <w:pStyle w:val="Tabletext"/>
              <w:keepNext/>
              <w:keepLines/>
              <w:jc w:val="center"/>
            </w:pPr>
            <w:r>
              <w:t>100 (31)</w:t>
            </w:r>
          </w:p>
        </w:tc>
        <w:tc>
          <w:tcPr>
            <w:tcW w:w="1100" w:type="pct"/>
            <w:vAlign w:val="center"/>
          </w:tcPr>
          <w:p w14:paraId="60976152" w14:textId="7C7143FA" w:rsidR="0039351F" w:rsidRDefault="0039351F" w:rsidP="00150969">
            <w:pPr>
              <w:pStyle w:val="Tabletext"/>
              <w:keepNext/>
              <w:keepLines/>
              <w:jc w:val="center"/>
            </w:pPr>
            <w:r>
              <w:t>NR (NA)</w:t>
            </w:r>
          </w:p>
        </w:tc>
        <w:tc>
          <w:tcPr>
            <w:tcW w:w="601" w:type="pct"/>
            <w:vAlign w:val="center"/>
          </w:tcPr>
          <w:p w14:paraId="2A7D6D4B" w14:textId="2049C855" w:rsidR="0039351F" w:rsidRDefault="0039351F" w:rsidP="00150969">
            <w:pPr>
              <w:pStyle w:val="Tabletext"/>
              <w:keepNext/>
              <w:keepLines/>
              <w:jc w:val="center"/>
            </w:pPr>
            <w:r>
              <w:t>NR (NA)</w:t>
            </w:r>
          </w:p>
        </w:tc>
      </w:tr>
      <w:tr w:rsidR="0039351F" w:rsidRPr="0098262F" w14:paraId="5057F2A8" w14:textId="77777777" w:rsidTr="00D46663">
        <w:trPr>
          <w:cantSplit/>
        </w:trPr>
        <w:tc>
          <w:tcPr>
            <w:tcW w:w="1648" w:type="pct"/>
            <w:shd w:val="clear" w:color="auto" w:fill="auto"/>
            <w:vAlign w:val="center"/>
          </w:tcPr>
          <w:p w14:paraId="7BEF093D" w14:textId="61BD23F1" w:rsidR="0039351F" w:rsidRDefault="0039351F" w:rsidP="00150969">
            <w:pPr>
              <w:pStyle w:val="TableText0"/>
            </w:pPr>
            <w:r>
              <w:t xml:space="preserve">At least </w:t>
            </w:r>
            <w:r w:rsidR="00344923">
              <w:t xml:space="preserve">1 </w:t>
            </w:r>
            <w:r>
              <w:t xml:space="preserve">AESI, </w:t>
            </w:r>
            <w:r>
              <w:rPr>
                <w:rFonts w:eastAsiaTheme="minorHAnsi"/>
              </w:rPr>
              <w:t>n (%)</w:t>
            </w:r>
          </w:p>
        </w:tc>
        <w:tc>
          <w:tcPr>
            <w:tcW w:w="787" w:type="pct"/>
            <w:shd w:val="clear" w:color="auto" w:fill="auto"/>
            <w:vAlign w:val="center"/>
          </w:tcPr>
          <w:p w14:paraId="1C426E9C" w14:textId="27803CB5" w:rsidR="0039351F" w:rsidRDefault="0039351F" w:rsidP="00150969">
            <w:pPr>
              <w:pStyle w:val="Tabletext"/>
              <w:keepNext/>
              <w:keepLines/>
              <w:jc w:val="center"/>
            </w:pPr>
            <w:r>
              <w:t>312 (95)</w:t>
            </w:r>
          </w:p>
        </w:tc>
        <w:tc>
          <w:tcPr>
            <w:tcW w:w="864" w:type="pct"/>
            <w:shd w:val="clear" w:color="auto" w:fill="auto"/>
            <w:vAlign w:val="center"/>
          </w:tcPr>
          <w:p w14:paraId="3B9A1D7B" w14:textId="44CE2D3F" w:rsidR="0039351F" w:rsidRDefault="0039351F" w:rsidP="00150969">
            <w:pPr>
              <w:pStyle w:val="Tabletext"/>
              <w:keepNext/>
              <w:keepLines/>
              <w:jc w:val="center"/>
            </w:pPr>
            <w:r>
              <w:t>440 (95)</w:t>
            </w:r>
          </w:p>
        </w:tc>
        <w:tc>
          <w:tcPr>
            <w:tcW w:w="1100" w:type="pct"/>
            <w:shd w:val="clear" w:color="auto" w:fill="auto"/>
            <w:vAlign w:val="center"/>
          </w:tcPr>
          <w:p w14:paraId="2269C41D" w14:textId="27441D16" w:rsidR="0039351F" w:rsidRDefault="0039351F" w:rsidP="00150969">
            <w:pPr>
              <w:pStyle w:val="Tabletext"/>
              <w:keepNext/>
              <w:keepLines/>
              <w:jc w:val="center"/>
            </w:pPr>
            <w:r>
              <w:t>NR (NA)</w:t>
            </w:r>
          </w:p>
        </w:tc>
        <w:tc>
          <w:tcPr>
            <w:tcW w:w="601" w:type="pct"/>
            <w:shd w:val="clear" w:color="auto" w:fill="auto"/>
            <w:vAlign w:val="center"/>
          </w:tcPr>
          <w:p w14:paraId="4E954A80" w14:textId="7B1C95CD" w:rsidR="0039351F" w:rsidRDefault="0039351F" w:rsidP="00150969">
            <w:pPr>
              <w:pStyle w:val="Tabletext"/>
              <w:keepNext/>
              <w:keepLines/>
              <w:jc w:val="center"/>
            </w:pPr>
            <w:r>
              <w:t>NR (NA)</w:t>
            </w:r>
          </w:p>
        </w:tc>
      </w:tr>
      <w:tr w:rsidR="0039351F" w:rsidRPr="0098262F" w14:paraId="50C8D9BC" w14:textId="77777777" w:rsidTr="00D46663">
        <w:trPr>
          <w:cantSplit/>
          <w:trHeight w:val="64"/>
        </w:trPr>
        <w:tc>
          <w:tcPr>
            <w:tcW w:w="1648" w:type="pct"/>
            <w:vAlign w:val="center"/>
          </w:tcPr>
          <w:p w14:paraId="2E868B7E" w14:textId="3018BB5B" w:rsidR="0039351F" w:rsidRDefault="00344923" w:rsidP="00150969">
            <w:pPr>
              <w:pStyle w:val="TableText0"/>
              <w:ind w:left="176"/>
            </w:pPr>
            <w:r>
              <w:t>l</w:t>
            </w:r>
            <w:r w:rsidR="0039351F">
              <w:t xml:space="preserve">eading to discontinuation, </w:t>
            </w:r>
            <w:r w:rsidR="0039351F">
              <w:rPr>
                <w:rFonts w:eastAsiaTheme="minorHAnsi"/>
              </w:rPr>
              <w:t>n (%)</w:t>
            </w:r>
          </w:p>
        </w:tc>
        <w:tc>
          <w:tcPr>
            <w:tcW w:w="787" w:type="pct"/>
            <w:vAlign w:val="center"/>
          </w:tcPr>
          <w:p w14:paraId="7AA2361D" w14:textId="7DA5C30B" w:rsidR="0039351F" w:rsidRDefault="0039351F" w:rsidP="00150969">
            <w:pPr>
              <w:pStyle w:val="TableText0"/>
              <w:jc w:val="center"/>
            </w:pPr>
            <w:r>
              <w:t>13 (4)</w:t>
            </w:r>
          </w:p>
        </w:tc>
        <w:tc>
          <w:tcPr>
            <w:tcW w:w="864" w:type="pct"/>
            <w:vAlign w:val="center"/>
          </w:tcPr>
          <w:p w14:paraId="3C02F278" w14:textId="58EE30AC" w:rsidR="0039351F" w:rsidRDefault="0039351F" w:rsidP="00150969">
            <w:pPr>
              <w:pStyle w:val="TableText0"/>
              <w:jc w:val="center"/>
            </w:pPr>
            <w:r>
              <w:t>17 (4)</w:t>
            </w:r>
          </w:p>
        </w:tc>
        <w:tc>
          <w:tcPr>
            <w:tcW w:w="1100" w:type="pct"/>
            <w:vAlign w:val="center"/>
          </w:tcPr>
          <w:p w14:paraId="581CA9B4" w14:textId="4A162ADB" w:rsidR="0039351F" w:rsidRDefault="0039351F" w:rsidP="00150969">
            <w:pPr>
              <w:pStyle w:val="TableText0"/>
              <w:jc w:val="center"/>
            </w:pPr>
            <w:r>
              <w:t>NR (NA)</w:t>
            </w:r>
          </w:p>
        </w:tc>
        <w:tc>
          <w:tcPr>
            <w:tcW w:w="601" w:type="pct"/>
            <w:vAlign w:val="center"/>
          </w:tcPr>
          <w:p w14:paraId="5EA73C80" w14:textId="4F77011A" w:rsidR="0039351F" w:rsidRDefault="0039351F" w:rsidP="00150969">
            <w:pPr>
              <w:pStyle w:val="TableText0"/>
              <w:jc w:val="center"/>
            </w:pPr>
            <w:r>
              <w:t>NR (NA)</w:t>
            </w:r>
          </w:p>
        </w:tc>
      </w:tr>
      <w:tr w:rsidR="0039351F" w:rsidRPr="0098262F" w14:paraId="0AA06D7D" w14:textId="77777777" w:rsidTr="00767F25">
        <w:trPr>
          <w:cantSplit/>
        </w:trPr>
        <w:tc>
          <w:tcPr>
            <w:tcW w:w="1648" w:type="pct"/>
            <w:vAlign w:val="center"/>
          </w:tcPr>
          <w:p w14:paraId="59570257" w14:textId="6826DC79" w:rsidR="0039351F" w:rsidRPr="007D2492" w:rsidRDefault="00344923" w:rsidP="00150969">
            <w:pPr>
              <w:pStyle w:val="TableText0"/>
              <w:ind w:left="318"/>
            </w:pPr>
            <w:r>
              <w:t>c</w:t>
            </w:r>
            <w:r w:rsidR="0039351F">
              <w:t xml:space="preserve">ognitive </w:t>
            </w:r>
            <w:r>
              <w:t>d</w:t>
            </w:r>
            <w:r w:rsidR="0039351F">
              <w:t xml:space="preserve">isorders, </w:t>
            </w:r>
            <w:r w:rsidR="0039351F">
              <w:rPr>
                <w:rFonts w:eastAsiaTheme="minorHAnsi"/>
              </w:rPr>
              <w:t>n (%)</w:t>
            </w:r>
            <w:r w:rsidR="0039351F">
              <w:t xml:space="preserve"> </w:t>
            </w:r>
          </w:p>
        </w:tc>
        <w:tc>
          <w:tcPr>
            <w:tcW w:w="787" w:type="pct"/>
            <w:vAlign w:val="center"/>
          </w:tcPr>
          <w:p w14:paraId="7A019ABE" w14:textId="5B386E49" w:rsidR="0039351F" w:rsidRDefault="0039351F" w:rsidP="00150969">
            <w:pPr>
              <w:pStyle w:val="TableText0"/>
              <w:jc w:val="center"/>
            </w:pPr>
            <w:r>
              <w:t>3 (0.6)</w:t>
            </w:r>
          </w:p>
        </w:tc>
        <w:tc>
          <w:tcPr>
            <w:tcW w:w="864" w:type="pct"/>
            <w:vAlign w:val="center"/>
          </w:tcPr>
          <w:p w14:paraId="2A9A74BE" w14:textId="1EEBD8F0" w:rsidR="0039351F" w:rsidRDefault="0039351F" w:rsidP="00150969">
            <w:pPr>
              <w:pStyle w:val="TableText0"/>
              <w:jc w:val="center"/>
            </w:pPr>
            <w:r>
              <w:t>1 (0.3)</w:t>
            </w:r>
          </w:p>
        </w:tc>
        <w:tc>
          <w:tcPr>
            <w:tcW w:w="1100" w:type="pct"/>
            <w:vAlign w:val="center"/>
          </w:tcPr>
          <w:p w14:paraId="027D7152" w14:textId="62310C5C" w:rsidR="0039351F" w:rsidRDefault="0039351F" w:rsidP="00150969">
            <w:pPr>
              <w:pStyle w:val="TableText0"/>
              <w:jc w:val="center"/>
            </w:pPr>
            <w:r>
              <w:t>NR (NA)</w:t>
            </w:r>
          </w:p>
        </w:tc>
        <w:tc>
          <w:tcPr>
            <w:tcW w:w="601" w:type="pct"/>
            <w:vAlign w:val="center"/>
          </w:tcPr>
          <w:p w14:paraId="21711788" w14:textId="0EB40509" w:rsidR="0039351F" w:rsidRDefault="0039351F" w:rsidP="00150969">
            <w:pPr>
              <w:pStyle w:val="TableText0"/>
              <w:jc w:val="center"/>
            </w:pPr>
            <w:r>
              <w:t>NR (NA)</w:t>
            </w:r>
          </w:p>
        </w:tc>
      </w:tr>
      <w:tr w:rsidR="0039351F" w:rsidRPr="0098262F" w14:paraId="00018406" w14:textId="77777777" w:rsidTr="00767F25">
        <w:trPr>
          <w:cantSplit/>
        </w:trPr>
        <w:tc>
          <w:tcPr>
            <w:tcW w:w="1648" w:type="pct"/>
            <w:vAlign w:val="center"/>
          </w:tcPr>
          <w:p w14:paraId="33DA7308" w14:textId="2BD6752D" w:rsidR="0039351F" w:rsidRDefault="00344923" w:rsidP="00150969">
            <w:pPr>
              <w:pStyle w:val="TableText0"/>
              <w:ind w:left="318"/>
            </w:pPr>
            <w:r>
              <w:t>m</w:t>
            </w:r>
            <w:r w:rsidR="0039351F">
              <w:t xml:space="preserve">uscular </w:t>
            </w:r>
            <w:r>
              <w:t>w</w:t>
            </w:r>
            <w:r w:rsidR="0039351F">
              <w:t xml:space="preserve">eakness, </w:t>
            </w:r>
            <w:r w:rsidR="0039351F">
              <w:rPr>
                <w:rFonts w:eastAsiaTheme="minorHAnsi"/>
              </w:rPr>
              <w:t>n (%)</w:t>
            </w:r>
            <w:r w:rsidR="0039351F">
              <w:t xml:space="preserve"> </w:t>
            </w:r>
          </w:p>
        </w:tc>
        <w:tc>
          <w:tcPr>
            <w:tcW w:w="787" w:type="pct"/>
            <w:vAlign w:val="center"/>
          </w:tcPr>
          <w:p w14:paraId="5E7BC8A8" w14:textId="279DDA43" w:rsidR="0039351F" w:rsidRDefault="0039351F" w:rsidP="00150969">
            <w:pPr>
              <w:pStyle w:val="TableText0"/>
              <w:jc w:val="center"/>
            </w:pPr>
            <w:r>
              <w:t>5 (1)</w:t>
            </w:r>
          </w:p>
        </w:tc>
        <w:tc>
          <w:tcPr>
            <w:tcW w:w="864" w:type="pct"/>
            <w:vAlign w:val="center"/>
          </w:tcPr>
          <w:p w14:paraId="4DCDAB33" w14:textId="6E4A1366" w:rsidR="0039351F" w:rsidRDefault="0039351F" w:rsidP="00150969">
            <w:pPr>
              <w:pStyle w:val="TableText0"/>
              <w:jc w:val="center"/>
            </w:pPr>
            <w:r>
              <w:t>4 (1)</w:t>
            </w:r>
          </w:p>
        </w:tc>
        <w:tc>
          <w:tcPr>
            <w:tcW w:w="1100" w:type="pct"/>
            <w:vAlign w:val="center"/>
          </w:tcPr>
          <w:p w14:paraId="662D9905" w14:textId="42E31D86" w:rsidR="0039351F" w:rsidRDefault="0039351F" w:rsidP="00150969">
            <w:pPr>
              <w:pStyle w:val="TableText0"/>
              <w:jc w:val="center"/>
            </w:pPr>
            <w:r>
              <w:t>NR (NA)</w:t>
            </w:r>
          </w:p>
        </w:tc>
        <w:tc>
          <w:tcPr>
            <w:tcW w:w="601" w:type="pct"/>
            <w:vAlign w:val="center"/>
          </w:tcPr>
          <w:p w14:paraId="7E543851" w14:textId="1DF067DC" w:rsidR="0039351F" w:rsidRDefault="0039351F" w:rsidP="00150969">
            <w:pPr>
              <w:pStyle w:val="TableText0"/>
              <w:jc w:val="center"/>
            </w:pPr>
            <w:r>
              <w:t>NR (NA)</w:t>
            </w:r>
          </w:p>
        </w:tc>
      </w:tr>
      <w:tr w:rsidR="0039351F" w:rsidRPr="0098262F" w14:paraId="4001671D" w14:textId="77777777" w:rsidTr="00767F25">
        <w:trPr>
          <w:cantSplit/>
        </w:trPr>
        <w:tc>
          <w:tcPr>
            <w:tcW w:w="1648" w:type="pct"/>
            <w:vAlign w:val="center"/>
          </w:tcPr>
          <w:p w14:paraId="1F2C5BB2" w14:textId="5D5A0E65" w:rsidR="0039351F" w:rsidRDefault="00344923" w:rsidP="00150969">
            <w:pPr>
              <w:pStyle w:val="TableText0"/>
              <w:ind w:left="318"/>
            </w:pPr>
            <w:r>
              <w:t>p</w:t>
            </w:r>
            <w:r w:rsidR="0039351F">
              <w:t xml:space="preserve">neumonitis, </w:t>
            </w:r>
            <w:r w:rsidR="0039351F">
              <w:rPr>
                <w:rFonts w:eastAsiaTheme="minorHAnsi"/>
              </w:rPr>
              <w:t>n (%)</w:t>
            </w:r>
            <w:r w:rsidR="0039351F">
              <w:t xml:space="preserve"> </w:t>
            </w:r>
          </w:p>
        </w:tc>
        <w:tc>
          <w:tcPr>
            <w:tcW w:w="787" w:type="pct"/>
            <w:vAlign w:val="center"/>
          </w:tcPr>
          <w:p w14:paraId="03C66E19" w14:textId="4FB4ECD6" w:rsidR="0039351F" w:rsidRDefault="0039351F" w:rsidP="00150969">
            <w:pPr>
              <w:pStyle w:val="TableText0"/>
              <w:jc w:val="center"/>
            </w:pPr>
            <w:r>
              <w:t>5 (1)</w:t>
            </w:r>
          </w:p>
        </w:tc>
        <w:tc>
          <w:tcPr>
            <w:tcW w:w="864" w:type="pct"/>
            <w:vAlign w:val="center"/>
          </w:tcPr>
          <w:p w14:paraId="6E7A570F" w14:textId="332EDA7A" w:rsidR="0039351F" w:rsidRDefault="0039351F" w:rsidP="00150969">
            <w:pPr>
              <w:pStyle w:val="TableText0"/>
              <w:jc w:val="center"/>
            </w:pPr>
            <w:r>
              <w:t>4 (1)</w:t>
            </w:r>
          </w:p>
        </w:tc>
        <w:tc>
          <w:tcPr>
            <w:tcW w:w="1100" w:type="pct"/>
            <w:vAlign w:val="center"/>
          </w:tcPr>
          <w:p w14:paraId="666AD5D1" w14:textId="07BB3DE8" w:rsidR="0039351F" w:rsidRDefault="0039351F" w:rsidP="00150969">
            <w:pPr>
              <w:pStyle w:val="TableText0"/>
              <w:jc w:val="center"/>
            </w:pPr>
            <w:r>
              <w:t>NR (NA)</w:t>
            </w:r>
          </w:p>
        </w:tc>
        <w:tc>
          <w:tcPr>
            <w:tcW w:w="601" w:type="pct"/>
            <w:vAlign w:val="center"/>
          </w:tcPr>
          <w:p w14:paraId="2B99A2A5" w14:textId="3542B0F1" w:rsidR="0039351F" w:rsidRDefault="0039351F" w:rsidP="00150969">
            <w:pPr>
              <w:pStyle w:val="TableText0"/>
              <w:jc w:val="center"/>
            </w:pPr>
            <w:r>
              <w:t>NR (NA)</w:t>
            </w:r>
          </w:p>
        </w:tc>
      </w:tr>
      <w:tr w:rsidR="0039351F" w:rsidRPr="0098262F" w14:paraId="280034B6" w14:textId="77777777" w:rsidTr="00767F25">
        <w:trPr>
          <w:cantSplit/>
        </w:trPr>
        <w:tc>
          <w:tcPr>
            <w:tcW w:w="1648" w:type="pct"/>
            <w:vAlign w:val="center"/>
          </w:tcPr>
          <w:p w14:paraId="2B678370" w14:textId="62E72ABB" w:rsidR="0039351F" w:rsidRPr="007D2492" w:rsidRDefault="00344923" w:rsidP="00150969">
            <w:pPr>
              <w:pStyle w:val="TableText0"/>
              <w:ind w:left="176"/>
            </w:pPr>
            <w:r>
              <w:t>l</w:t>
            </w:r>
            <w:r w:rsidR="0039351F">
              <w:t xml:space="preserve">eading to dose modification, </w:t>
            </w:r>
            <w:r w:rsidR="0039351F">
              <w:rPr>
                <w:rFonts w:eastAsiaTheme="minorHAnsi"/>
              </w:rPr>
              <w:t>n (%)</w:t>
            </w:r>
            <w:r w:rsidR="0039351F">
              <w:t xml:space="preserve"> </w:t>
            </w:r>
          </w:p>
        </w:tc>
        <w:tc>
          <w:tcPr>
            <w:tcW w:w="787" w:type="pct"/>
            <w:vAlign w:val="center"/>
          </w:tcPr>
          <w:p w14:paraId="3D2A2C7D" w14:textId="5A4F64FA" w:rsidR="0039351F" w:rsidRDefault="0039351F" w:rsidP="00150969">
            <w:pPr>
              <w:pStyle w:val="TableText0"/>
              <w:jc w:val="center"/>
            </w:pPr>
            <w:r>
              <w:t>115 (35)</w:t>
            </w:r>
          </w:p>
        </w:tc>
        <w:tc>
          <w:tcPr>
            <w:tcW w:w="864" w:type="pct"/>
            <w:vAlign w:val="center"/>
          </w:tcPr>
          <w:p w14:paraId="15F99838" w14:textId="5769AE2B" w:rsidR="0039351F" w:rsidRDefault="0039351F" w:rsidP="00150969">
            <w:pPr>
              <w:pStyle w:val="TableText0"/>
              <w:jc w:val="center"/>
            </w:pPr>
            <w:r>
              <w:t>172 (37)</w:t>
            </w:r>
          </w:p>
        </w:tc>
        <w:tc>
          <w:tcPr>
            <w:tcW w:w="1100" w:type="pct"/>
            <w:vAlign w:val="center"/>
          </w:tcPr>
          <w:p w14:paraId="235169E6" w14:textId="109AEC0B" w:rsidR="0039351F" w:rsidRDefault="0039351F" w:rsidP="00150969">
            <w:pPr>
              <w:pStyle w:val="TableText0"/>
              <w:jc w:val="center"/>
            </w:pPr>
            <w:r>
              <w:t>NR (NA)</w:t>
            </w:r>
          </w:p>
        </w:tc>
        <w:tc>
          <w:tcPr>
            <w:tcW w:w="601" w:type="pct"/>
            <w:vAlign w:val="center"/>
          </w:tcPr>
          <w:p w14:paraId="05584FF6" w14:textId="225E0FA1" w:rsidR="0039351F" w:rsidRDefault="0039351F" w:rsidP="00150969">
            <w:pPr>
              <w:pStyle w:val="TableText0"/>
              <w:jc w:val="center"/>
            </w:pPr>
            <w:r>
              <w:t>NR (NA)</w:t>
            </w:r>
          </w:p>
        </w:tc>
      </w:tr>
      <w:tr w:rsidR="0039351F" w:rsidRPr="0098262F" w14:paraId="34030348" w14:textId="77777777" w:rsidTr="00767F25">
        <w:trPr>
          <w:cantSplit/>
        </w:trPr>
        <w:tc>
          <w:tcPr>
            <w:tcW w:w="1648" w:type="pct"/>
            <w:vAlign w:val="center"/>
          </w:tcPr>
          <w:p w14:paraId="3A0B9233" w14:textId="595F334E" w:rsidR="0039351F" w:rsidRDefault="00344923" w:rsidP="00150969">
            <w:pPr>
              <w:pStyle w:val="TableText0"/>
              <w:ind w:left="318"/>
            </w:pPr>
            <w:r>
              <w:t>d</w:t>
            </w:r>
            <w:r w:rsidR="0039351F">
              <w:t xml:space="preserve">ose reduction, </w:t>
            </w:r>
            <w:r w:rsidR="0039351F">
              <w:rPr>
                <w:rFonts w:eastAsiaTheme="minorHAnsi"/>
              </w:rPr>
              <w:t>n (%)</w:t>
            </w:r>
          </w:p>
        </w:tc>
        <w:tc>
          <w:tcPr>
            <w:tcW w:w="787" w:type="pct"/>
            <w:vAlign w:val="center"/>
          </w:tcPr>
          <w:p w14:paraId="68F48105" w14:textId="5D422816" w:rsidR="0039351F" w:rsidRDefault="0039351F" w:rsidP="00150969">
            <w:pPr>
              <w:pStyle w:val="TableText0"/>
              <w:jc w:val="center"/>
            </w:pPr>
            <w:r>
              <w:t>87 (27)</w:t>
            </w:r>
          </w:p>
        </w:tc>
        <w:tc>
          <w:tcPr>
            <w:tcW w:w="864" w:type="pct"/>
            <w:vAlign w:val="center"/>
          </w:tcPr>
          <w:p w14:paraId="07069C7F" w14:textId="594DF5F5" w:rsidR="0039351F" w:rsidRDefault="0039351F" w:rsidP="00150969">
            <w:pPr>
              <w:pStyle w:val="TableText0"/>
              <w:jc w:val="center"/>
            </w:pPr>
            <w:r>
              <w:t>135 (29)</w:t>
            </w:r>
          </w:p>
        </w:tc>
        <w:tc>
          <w:tcPr>
            <w:tcW w:w="1100" w:type="pct"/>
            <w:vAlign w:val="center"/>
          </w:tcPr>
          <w:p w14:paraId="23AE7B65" w14:textId="66D3B526" w:rsidR="0039351F" w:rsidRDefault="0039351F" w:rsidP="00150969">
            <w:pPr>
              <w:pStyle w:val="TableText0"/>
              <w:jc w:val="center"/>
            </w:pPr>
            <w:r>
              <w:t>NR (NA)</w:t>
            </w:r>
          </w:p>
        </w:tc>
        <w:tc>
          <w:tcPr>
            <w:tcW w:w="601" w:type="pct"/>
            <w:vAlign w:val="center"/>
          </w:tcPr>
          <w:p w14:paraId="77C0A190" w14:textId="62D95FF9" w:rsidR="0039351F" w:rsidRDefault="0039351F" w:rsidP="00150969">
            <w:pPr>
              <w:pStyle w:val="TableText0"/>
              <w:jc w:val="center"/>
            </w:pPr>
            <w:r>
              <w:t>NR (NA)</w:t>
            </w:r>
          </w:p>
        </w:tc>
      </w:tr>
      <w:tr w:rsidR="0039351F" w:rsidRPr="0098262F" w14:paraId="3CAA966E" w14:textId="77777777" w:rsidTr="00767F25">
        <w:trPr>
          <w:cantSplit/>
        </w:trPr>
        <w:tc>
          <w:tcPr>
            <w:tcW w:w="1648" w:type="pct"/>
            <w:vAlign w:val="center"/>
          </w:tcPr>
          <w:p w14:paraId="115984F3" w14:textId="34401C57" w:rsidR="0039351F" w:rsidRDefault="00344923" w:rsidP="00150969">
            <w:pPr>
              <w:pStyle w:val="TableText0"/>
              <w:ind w:left="318"/>
            </w:pPr>
            <w:r>
              <w:t>d</w:t>
            </w:r>
            <w:r w:rsidR="0039351F">
              <w:t xml:space="preserve">rug interruption, </w:t>
            </w:r>
            <w:r w:rsidR="0039351F">
              <w:rPr>
                <w:rFonts w:eastAsiaTheme="minorHAnsi"/>
              </w:rPr>
              <w:t>n (%)</w:t>
            </w:r>
          </w:p>
        </w:tc>
        <w:tc>
          <w:tcPr>
            <w:tcW w:w="787" w:type="pct"/>
            <w:vAlign w:val="center"/>
          </w:tcPr>
          <w:p w14:paraId="324E2A2E" w14:textId="43A150CA" w:rsidR="0039351F" w:rsidRDefault="0039351F" w:rsidP="00150969">
            <w:pPr>
              <w:pStyle w:val="TableText0"/>
              <w:jc w:val="center"/>
            </w:pPr>
            <w:r>
              <w:t>88 (27)</w:t>
            </w:r>
          </w:p>
        </w:tc>
        <w:tc>
          <w:tcPr>
            <w:tcW w:w="864" w:type="pct"/>
            <w:vAlign w:val="center"/>
          </w:tcPr>
          <w:p w14:paraId="7BB5009F" w14:textId="71C9268A" w:rsidR="0039351F" w:rsidRDefault="0039351F" w:rsidP="00150969">
            <w:pPr>
              <w:pStyle w:val="TableText0"/>
              <w:jc w:val="center"/>
            </w:pPr>
            <w:r>
              <w:t>130 (28)</w:t>
            </w:r>
          </w:p>
        </w:tc>
        <w:tc>
          <w:tcPr>
            <w:tcW w:w="1100" w:type="pct"/>
            <w:vAlign w:val="center"/>
          </w:tcPr>
          <w:p w14:paraId="69E5D2C3" w14:textId="16ED5087" w:rsidR="0039351F" w:rsidRDefault="0039351F" w:rsidP="00150969">
            <w:pPr>
              <w:pStyle w:val="TableText0"/>
              <w:jc w:val="center"/>
            </w:pPr>
            <w:r>
              <w:t>NR (NA)</w:t>
            </w:r>
          </w:p>
        </w:tc>
        <w:tc>
          <w:tcPr>
            <w:tcW w:w="601" w:type="pct"/>
            <w:vAlign w:val="center"/>
          </w:tcPr>
          <w:p w14:paraId="30D37E8C" w14:textId="2937185F" w:rsidR="0039351F" w:rsidRDefault="0039351F" w:rsidP="00150969">
            <w:pPr>
              <w:pStyle w:val="TableText0"/>
              <w:jc w:val="center"/>
            </w:pPr>
            <w:r>
              <w:t>NR (NA)</w:t>
            </w:r>
          </w:p>
        </w:tc>
      </w:tr>
      <w:tr w:rsidR="0039351F" w:rsidRPr="0098262F" w14:paraId="404F0728" w14:textId="77777777" w:rsidTr="00767F25">
        <w:trPr>
          <w:cantSplit/>
        </w:trPr>
        <w:tc>
          <w:tcPr>
            <w:tcW w:w="1648" w:type="pct"/>
            <w:vAlign w:val="center"/>
          </w:tcPr>
          <w:p w14:paraId="4BFFD12C" w14:textId="324ECD35" w:rsidR="0039351F" w:rsidRPr="0060210D" w:rsidRDefault="0039351F" w:rsidP="00150969">
            <w:pPr>
              <w:pStyle w:val="TableText0"/>
              <w:ind w:left="176"/>
            </w:pPr>
            <w:r>
              <w:t xml:space="preserve">SAE, </w:t>
            </w:r>
            <w:r>
              <w:rPr>
                <w:rFonts w:eastAsiaTheme="minorHAnsi"/>
              </w:rPr>
              <w:t>n (%)</w:t>
            </w:r>
          </w:p>
        </w:tc>
        <w:tc>
          <w:tcPr>
            <w:tcW w:w="787" w:type="pct"/>
            <w:vAlign w:val="center"/>
          </w:tcPr>
          <w:p w14:paraId="30085622" w14:textId="1CE087C6" w:rsidR="0039351F" w:rsidRDefault="0039351F" w:rsidP="00150969">
            <w:pPr>
              <w:pStyle w:val="TableText0"/>
              <w:jc w:val="center"/>
            </w:pPr>
            <w:r>
              <w:t>19 (6)</w:t>
            </w:r>
          </w:p>
        </w:tc>
        <w:tc>
          <w:tcPr>
            <w:tcW w:w="864" w:type="pct"/>
            <w:vAlign w:val="center"/>
          </w:tcPr>
          <w:p w14:paraId="4ADD2553" w14:textId="36562976" w:rsidR="0039351F" w:rsidRDefault="0039351F" w:rsidP="00150969">
            <w:pPr>
              <w:pStyle w:val="TableText0"/>
              <w:jc w:val="center"/>
            </w:pPr>
            <w:r>
              <w:t>28 (6)</w:t>
            </w:r>
          </w:p>
        </w:tc>
        <w:tc>
          <w:tcPr>
            <w:tcW w:w="1100" w:type="pct"/>
            <w:vAlign w:val="center"/>
          </w:tcPr>
          <w:p w14:paraId="20EDCC3A" w14:textId="3E7F8C13" w:rsidR="0039351F" w:rsidRDefault="0039351F" w:rsidP="00150969">
            <w:pPr>
              <w:pStyle w:val="TableText0"/>
              <w:jc w:val="center"/>
            </w:pPr>
            <w:r>
              <w:t>NR (NA)</w:t>
            </w:r>
          </w:p>
        </w:tc>
        <w:tc>
          <w:tcPr>
            <w:tcW w:w="601" w:type="pct"/>
            <w:vAlign w:val="center"/>
          </w:tcPr>
          <w:p w14:paraId="5DC09633" w14:textId="3E2D88D3" w:rsidR="0039351F" w:rsidRDefault="0039351F" w:rsidP="00150969">
            <w:pPr>
              <w:pStyle w:val="TableText0"/>
              <w:jc w:val="center"/>
            </w:pPr>
            <w:r>
              <w:t>NR (NA)</w:t>
            </w:r>
          </w:p>
        </w:tc>
      </w:tr>
      <w:tr w:rsidR="0039351F" w:rsidRPr="0098262F" w14:paraId="7C0AD9BE" w14:textId="77777777" w:rsidTr="00767F25">
        <w:trPr>
          <w:cantSplit/>
        </w:trPr>
        <w:tc>
          <w:tcPr>
            <w:tcW w:w="1648" w:type="pct"/>
            <w:vAlign w:val="center"/>
          </w:tcPr>
          <w:p w14:paraId="2047BB8B" w14:textId="1A8C09C1" w:rsidR="0039351F" w:rsidRDefault="00344923" w:rsidP="00150969">
            <w:pPr>
              <w:pStyle w:val="TableText0"/>
              <w:ind w:left="318"/>
            </w:pPr>
            <w:r>
              <w:t>d</w:t>
            </w:r>
            <w:r w:rsidR="0039351F">
              <w:t xml:space="preserve">izziness, </w:t>
            </w:r>
            <w:r w:rsidR="0039351F">
              <w:rPr>
                <w:rFonts w:eastAsiaTheme="minorHAnsi"/>
              </w:rPr>
              <w:t>n (%)</w:t>
            </w:r>
          </w:p>
        </w:tc>
        <w:tc>
          <w:tcPr>
            <w:tcW w:w="787" w:type="pct"/>
            <w:vAlign w:val="center"/>
          </w:tcPr>
          <w:p w14:paraId="7AF29637" w14:textId="59186C2D" w:rsidR="0039351F" w:rsidRDefault="0039351F" w:rsidP="00150969">
            <w:pPr>
              <w:pStyle w:val="TableText0"/>
              <w:jc w:val="center"/>
            </w:pPr>
            <w:r>
              <w:t>3 (0.6)</w:t>
            </w:r>
          </w:p>
        </w:tc>
        <w:tc>
          <w:tcPr>
            <w:tcW w:w="864" w:type="pct"/>
            <w:vAlign w:val="center"/>
          </w:tcPr>
          <w:p w14:paraId="4779AA33" w14:textId="07758861" w:rsidR="0039351F" w:rsidRDefault="0039351F" w:rsidP="00150969">
            <w:pPr>
              <w:pStyle w:val="TableText0"/>
              <w:jc w:val="center"/>
            </w:pPr>
            <w:r>
              <w:t>1 (0.3)</w:t>
            </w:r>
          </w:p>
        </w:tc>
        <w:tc>
          <w:tcPr>
            <w:tcW w:w="1100" w:type="pct"/>
            <w:vAlign w:val="center"/>
          </w:tcPr>
          <w:p w14:paraId="218347DD" w14:textId="3C5400C8" w:rsidR="0039351F" w:rsidRDefault="0039351F" w:rsidP="00150969">
            <w:pPr>
              <w:pStyle w:val="TableText0"/>
              <w:jc w:val="center"/>
            </w:pPr>
            <w:r>
              <w:t>NR (NA)</w:t>
            </w:r>
          </w:p>
        </w:tc>
        <w:tc>
          <w:tcPr>
            <w:tcW w:w="601" w:type="pct"/>
            <w:vAlign w:val="center"/>
          </w:tcPr>
          <w:p w14:paraId="44689AE3" w14:textId="7DAED9E9" w:rsidR="0039351F" w:rsidRDefault="0039351F" w:rsidP="00150969">
            <w:pPr>
              <w:pStyle w:val="TableText0"/>
              <w:jc w:val="center"/>
            </w:pPr>
            <w:r>
              <w:t>NR (NA)</w:t>
            </w:r>
          </w:p>
        </w:tc>
      </w:tr>
      <w:tr w:rsidR="0039351F" w:rsidRPr="0098262F" w14:paraId="1FAA84C1" w14:textId="77777777" w:rsidTr="00767F25">
        <w:trPr>
          <w:cantSplit/>
        </w:trPr>
        <w:tc>
          <w:tcPr>
            <w:tcW w:w="1648" w:type="pct"/>
            <w:vAlign w:val="center"/>
          </w:tcPr>
          <w:p w14:paraId="06DD5355" w14:textId="095EE3EB" w:rsidR="0039351F" w:rsidRDefault="00344923" w:rsidP="00150969">
            <w:pPr>
              <w:pStyle w:val="TableText0"/>
              <w:ind w:left="318"/>
            </w:pPr>
            <w:r>
              <w:t>m</w:t>
            </w:r>
            <w:r w:rsidR="0039351F">
              <w:t xml:space="preserve">uscular weakness, </w:t>
            </w:r>
            <w:r w:rsidR="0039351F">
              <w:rPr>
                <w:rFonts w:eastAsiaTheme="minorHAnsi"/>
              </w:rPr>
              <w:t>n (%)</w:t>
            </w:r>
          </w:p>
        </w:tc>
        <w:tc>
          <w:tcPr>
            <w:tcW w:w="787" w:type="pct"/>
            <w:vAlign w:val="center"/>
          </w:tcPr>
          <w:p w14:paraId="73D2891E" w14:textId="2EF4208D" w:rsidR="0039351F" w:rsidRDefault="0039351F" w:rsidP="00150969">
            <w:pPr>
              <w:pStyle w:val="TableText0"/>
              <w:jc w:val="center"/>
            </w:pPr>
            <w:r>
              <w:t>5 (1)</w:t>
            </w:r>
          </w:p>
        </w:tc>
        <w:tc>
          <w:tcPr>
            <w:tcW w:w="864" w:type="pct"/>
            <w:vAlign w:val="center"/>
          </w:tcPr>
          <w:p w14:paraId="6EE3284D" w14:textId="41E4F41B" w:rsidR="0039351F" w:rsidRDefault="0039351F" w:rsidP="00150969">
            <w:pPr>
              <w:pStyle w:val="TableText0"/>
              <w:jc w:val="center"/>
            </w:pPr>
            <w:r>
              <w:t>3 (0.9)</w:t>
            </w:r>
          </w:p>
        </w:tc>
        <w:tc>
          <w:tcPr>
            <w:tcW w:w="1100" w:type="pct"/>
            <w:vAlign w:val="center"/>
          </w:tcPr>
          <w:p w14:paraId="1B8DFB19" w14:textId="1492B933" w:rsidR="0039351F" w:rsidRDefault="0039351F" w:rsidP="00150969">
            <w:pPr>
              <w:pStyle w:val="TableText0"/>
              <w:jc w:val="center"/>
            </w:pPr>
            <w:r>
              <w:t>NR (NA)</w:t>
            </w:r>
          </w:p>
        </w:tc>
        <w:tc>
          <w:tcPr>
            <w:tcW w:w="601" w:type="pct"/>
            <w:vAlign w:val="center"/>
          </w:tcPr>
          <w:p w14:paraId="30E6C1EE" w14:textId="5BD7A5E1" w:rsidR="0039351F" w:rsidRDefault="0039351F" w:rsidP="00150969">
            <w:pPr>
              <w:pStyle w:val="TableText0"/>
              <w:jc w:val="center"/>
            </w:pPr>
            <w:r>
              <w:t>NR (NA)</w:t>
            </w:r>
          </w:p>
        </w:tc>
      </w:tr>
      <w:tr w:rsidR="0039351F" w:rsidRPr="0098262F" w14:paraId="69C08AF8" w14:textId="77777777" w:rsidTr="00767F25">
        <w:trPr>
          <w:cantSplit/>
        </w:trPr>
        <w:tc>
          <w:tcPr>
            <w:tcW w:w="1648" w:type="pct"/>
            <w:vAlign w:val="center"/>
          </w:tcPr>
          <w:p w14:paraId="1AAE1DFD" w14:textId="185A67B2" w:rsidR="0039351F" w:rsidRDefault="00344923" w:rsidP="00150969">
            <w:pPr>
              <w:pStyle w:val="TableText0"/>
              <w:ind w:left="318"/>
            </w:pPr>
            <w:r>
              <w:t>p</w:t>
            </w:r>
            <w:r w:rsidR="0039351F">
              <w:t xml:space="preserve">neumonitis, </w:t>
            </w:r>
            <w:r w:rsidR="0039351F">
              <w:rPr>
                <w:rFonts w:eastAsiaTheme="minorHAnsi"/>
              </w:rPr>
              <w:t>n (%)</w:t>
            </w:r>
          </w:p>
        </w:tc>
        <w:tc>
          <w:tcPr>
            <w:tcW w:w="787" w:type="pct"/>
            <w:vAlign w:val="center"/>
          </w:tcPr>
          <w:p w14:paraId="24C12A22" w14:textId="319370A0" w:rsidR="0039351F" w:rsidRDefault="0039351F" w:rsidP="00150969">
            <w:pPr>
              <w:pStyle w:val="TableText0"/>
              <w:jc w:val="center"/>
            </w:pPr>
            <w:r>
              <w:t>6 (1)</w:t>
            </w:r>
          </w:p>
        </w:tc>
        <w:tc>
          <w:tcPr>
            <w:tcW w:w="864" w:type="pct"/>
            <w:vAlign w:val="center"/>
          </w:tcPr>
          <w:p w14:paraId="217A2F2C" w14:textId="00546CF7" w:rsidR="0039351F" w:rsidRDefault="0039351F" w:rsidP="00150969">
            <w:pPr>
              <w:pStyle w:val="TableText0"/>
              <w:jc w:val="center"/>
            </w:pPr>
            <w:r>
              <w:t>5 (2)</w:t>
            </w:r>
          </w:p>
        </w:tc>
        <w:tc>
          <w:tcPr>
            <w:tcW w:w="1100" w:type="pct"/>
            <w:vAlign w:val="center"/>
          </w:tcPr>
          <w:p w14:paraId="67707623" w14:textId="0F7AC5A6" w:rsidR="0039351F" w:rsidRDefault="0039351F" w:rsidP="00150969">
            <w:pPr>
              <w:pStyle w:val="TableText0"/>
              <w:jc w:val="center"/>
            </w:pPr>
            <w:r>
              <w:t>NR (NA)</w:t>
            </w:r>
          </w:p>
        </w:tc>
        <w:tc>
          <w:tcPr>
            <w:tcW w:w="601" w:type="pct"/>
            <w:vAlign w:val="center"/>
          </w:tcPr>
          <w:p w14:paraId="6070FDAC" w14:textId="73FD3809" w:rsidR="0039351F" w:rsidRDefault="0039351F" w:rsidP="00150969">
            <w:pPr>
              <w:pStyle w:val="TableText0"/>
              <w:jc w:val="center"/>
            </w:pPr>
            <w:r>
              <w:t>NR (NA)</w:t>
            </w:r>
          </w:p>
        </w:tc>
      </w:tr>
      <w:tr w:rsidR="0039351F" w:rsidRPr="0098262F" w14:paraId="501E8E83" w14:textId="77777777" w:rsidTr="00767F25">
        <w:trPr>
          <w:cantSplit/>
        </w:trPr>
        <w:tc>
          <w:tcPr>
            <w:tcW w:w="1648" w:type="pct"/>
            <w:vAlign w:val="center"/>
          </w:tcPr>
          <w:p w14:paraId="611823AA" w14:textId="5F48C96A" w:rsidR="0039351F" w:rsidRDefault="00344923" w:rsidP="00150969">
            <w:pPr>
              <w:pStyle w:val="TableText0"/>
              <w:ind w:left="176"/>
            </w:pPr>
            <w:r>
              <w:t>g</w:t>
            </w:r>
            <w:r w:rsidR="0039351F">
              <w:t xml:space="preserve">rade ≥3 </w:t>
            </w:r>
            <w:r w:rsidR="00FF6DFE">
              <w:rPr>
                <w:vertAlign w:val="superscript"/>
              </w:rPr>
              <w:t>c</w:t>
            </w:r>
            <w:r w:rsidR="0039351F">
              <w:t xml:space="preserve">, </w:t>
            </w:r>
            <w:r w:rsidR="0039351F">
              <w:rPr>
                <w:rFonts w:eastAsiaTheme="minorHAnsi"/>
              </w:rPr>
              <w:t>n (%)</w:t>
            </w:r>
          </w:p>
        </w:tc>
        <w:tc>
          <w:tcPr>
            <w:tcW w:w="787" w:type="pct"/>
            <w:vAlign w:val="center"/>
          </w:tcPr>
          <w:p w14:paraId="761D280A" w14:textId="2F19392D" w:rsidR="0039351F" w:rsidRDefault="0039351F" w:rsidP="00150969">
            <w:pPr>
              <w:pStyle w:val="TableText0"/>
              <w:jc w:val="center"/>
            </w:pPr>
            <w:r>
              <w:t>46 (14)</w:t>
            </w:r>
          </w:p>
        </w:tc>
        <w:tc>
          <w:tcPr>
            <w:tcW w:w="864" w:type="pct"/>
            <w:vAlign w:val="center"/>
          </w:tcPr>
          <w:p w14:paraId="57960E6D" w14:textId="1234BC05" w:rsidR="0039351F" w:rsidRDefault="0039351F" w:rsidP="00150969">
            <w:pPr>
              <w:pStyle w:val="TableText0"/>
              <w:jc w:val="center"/>
            </w:pPr>
            <w:r>
              <w:t>66 (14)</w:t>
            </w:r>
          </w:p>
        </w:tc>
        <w:tc>
          <w:tcPr>
            <w:tcW w:w="1100" w:type="pct"/>
            <w:vAlign w:val="center"/>
          </w:tcPr>
          <w:p w14:paraId="32B4631C" w14:textId="040CB58C" w:rsidR="0039351F" w:rsidRDefault="0039351F" w:rsidP="00150969">
            <w:pPr>
              <w:pStyle w:val="TableText0"/>
              <w:jc w:val="center"/>
            </w:pPr>
            <w:r>
              <w:t>NR (NA)</w:t>
            </w:r>
          </w:p>
        </w:tc>
        <w:tc>
          <w:tcPr>
            <w:tcW w:w="601" w:type="pct"/>
            <w:vAlign w:val="center"/>
          </w:tcPr>
          <w:p w14:paraId="4D4AF825" w14:textId="769D7E65" w:rsidR="0039351F" w:rsidRDefault="0039351F" w:rsidP="00150969">
            <w:pPr>
              <w:pStyle w:val="TableText0"/>
              <w:jc w:val="center"/>
            </w:pPr>
            <w:r>
              <w:t>NR (NA)</w:t>
            </w:r>
          </w:p>
        </w:tc>
      </w:tr>
      <w:tr w:rsidR="0039351F" w:rsidRPr="0098262F" w14:paraId="13F1D47E" w14:textId="77777777" w:rsidTr="00767F25">
        <w:trPr>
          <w:cantSplit/>
        </w:trPr>
        <w:tc>
          <w:tcPr>
            <w:tcW w:w="1648" w:type="pct"/>
            <w:vAlign w:val="center"/>
          </w:tcPr>
          <w:p w14:paraId="70FB81F5" w14:textId="0663D8BA" w:rsidR="0039351F" w:rsidRDefault="00344923" w:rsidP="00150969">
            <w:pPr>
              <w:pStyle w:val="TableText0"/>
              <w:ind w:left="318"/>
              <w:rPr>
                <w:rFonts w:ascii="Times New Roman" w:hAnsi="Times New Roman" w:cs="Times New Roman"/>
                <w:i/>
                <w:iCs/>
                <w:lang w:val="en-GB"/>
              </w:rPr>
            </w:pPr>
            <w:r>
              <w:t>d</w:t>
            </w:r>
            <w:r w:rsidR="0039351F">
              <w:t xml:space="preserve">izziness, </w:t>
            </w:r>
            <w:r w:rsidR="0039351F">
              <w:rPr>
                <w:rFonts w:eastAsiaTheme="minorHAnsi"/>
              </w:rPr>
              <w:t>n (%)</w:t>
            </w:r>
          </w:p>
        </w:tc>
        <w:tc>
          <w:tcPr>
            <w:tcW w:w="787" w:type="pct"/>
            <w:vAlign w:val="center"/>
          </w:tcPr>
          <w:p w14:paraId="7BB583DE" w14:textId="3B3DCA90" w:rsidR="0039351F" w:rsidRDefault="0039351F" w:rsidP="00150969">
            <w:pPr>
              <w:pStyle w:val="TableText0"/>
              <w:jc w:val="center"/>
            </w:pPr>
            <w:r>
              <w:t>13 (3)</w:t>
            </w:r>
          </w:p>
        </w:tc>
        <w:tc>
          <w:tcPr>
            <w:tcW w:w="864" w:type="pct"/>
            <w:vAlign w:val="center"/>
          </w:tcPr>
          <w:p w14:paraId="7D90E331" w14:textId="3E327A87" w:rsidR="0039351F" w:rsidRDefault="0039351F" w:rsidP="00150969">
            <w:pPr>
              <w:pStyle w:val="TableText0"/>
              <w:jc w:val="center"/>
            </w:pPr>
            <w:r>
              <w:t>6 (2)</w:t>
            </w:r>
          </w:p>
        </w:tc>
        <w:tc>
          <w:tcPr>
            <w:tcW w:w="1100" w:type="pct"/>
            <w:vAlign w:val="center"/>
          </w:tcPr>
          <w:p w14:paraId="3A68BF45" w14:textId="719C0E75" w:rsidR="0039351F" w:rsidRDefault="0039351F" w:rsidP="00150969">
            <w:pPr>
              <w:pStyle w:val="TableText0"/>
              <w:jc w:val="center"/>
            </w:pPr>
            <w:r>
              <w:t>NR (NA)</w:t>
            </w:r>
          </w:p>
        </w:tc>
        <w:tc>
          <w:tcPr>
            <w:tcW w:w="601" w:type="pct"/>
            <w:vAlign w:val="center"/>
          </w:tcPr>
          <w:p w14:paraId="5F7E8644" w14:textId="0AE3872F" w:rsidR="0039351F" w:rsidRDefault="0039351F" w:rsidP="00150969">
            <w:pPr>
              <w:pStyle w:val="TableText0"/>
              <w:jc w:val="center"/>
            </w:pPr>
            <w:r>
              <w:t>NR (NA)</w:t>
            </w:r>
          </w:p>
        </w:tc>
      </w:tr>
      <w:tr w:rsidR="0039351F" w:rsidRPr="0098262F" w14:paraId="29A195E0" w14:textId="77777777" w:rsidTr="00767F25">
        <w:trPr>
          <w:cantSplit/>
        </w:trPr>
        <w:tc>
          <w:tcPr>
            <w:tcW w:w="1648" w:type="pct"/>
            <w:vAlign w:val="center"/>
          </w:tcPr>
          <w:p w14:paraId="7DD1F76E" w14:textId="3F7E1CA8" w:rsidR="0039351F" w:rsidRDefault="00344923" w:rsidP="00150969">
            <w:pPr>
              <w:pStyle w:val="TableText0"/>
              <w:ind w:left="318"/>
              <w:rPr>
                <w:rFonts w:ascii="Times New Roman" w:hAnsi="Times New Roman" w:cs="Times New Roman"/>
                <w:i/>
                <w:iCs/>
                <w:lang w:val="en-GB"/>
              </w:rPr>
            </w:pPr>
            <w:r>
              <w:t>m</w:t>
            </w:r>
            <w:r w:rsidR="0039351F">
              <w:t xml:space="preserve">uscular weakness, </w:t>
            </w:r>
            <w:r w:rsidR="0039351F">
              <w:rPr>
                <w:rFonts w:eastAsiaTheme="minorHAnsi"/>
              </w:rPr>
              <w:t>n (%)</w:t>
            </w:r>
          </w:p>
        </w:tc>
        <w:tc>
          <w:tcPr>
            <w:tcW w:w="787" w:type="pct"/>
            <w:vAlign w:val="center"/>
          </w:tcPr>
          <w:p w14:paraId="7B0E2A1F" w14:textId="564E1994" w:rsidR="0039351F" w:rsidRDefault="0039351F" w:rsidP="00150969">
            <w:pPr>
              <w:pStyle w:val="TableText0"/>
              <w:jc w:val="center"/>
            </w:pPr>
            <w:r>
              <w:t>10 (2)</w:t>
            </w:r>
          </w:p>
        </w:tc>
        <w:tc>
          <w:tcPr>
            <w:tcW w:w="864" w:type="pct"/>
            <w:vAlign w:val="center"/>
          </w:tcPr>
          <w:p w14:paraId="6972EE81" w14:textId="3D92A78C" w:rsidR="0039351F" w:rsidRDefault="0039351F" w:rsidP="00150969">
            <w:pPr>
              <w:pStyle w:val="TableText0"/>
              <w:jc w:val="center"/>
            </w:pPr>
            <w:r>
              <w:t>7 (2)</w:t>
            </w:r>
          </w:p>
        </w:tc>
        <w:tc>
          <w:tcPr>
            <w:tcW w:w="1100" w:type="pct"/>
            <w:vAlign w:val="center"/>
          </w:tcPr>
          <w:p w14:paraId="7934C5D1" w14:textId="44DA0AC2" w:rsidR="0039351F" w:rsidRDefault="0039351F" w:rsidP="00150969">
            <w:pPr>
              <w:pStyle w:val="TableText0"/>
              <w:jc w:val="center"/>
            </w:pPr>
            <w:r>
              <w:t>NR (NA)</w:t>
            </w:r>
          </w:p>
        </w:tc>
        <w:tc>
          <w:tcPr>
            <w:tcW w:w="601" w:type="pct"/>
            <w:vAlign w:val="center"/>
          </w:tcPr>
          <w:p w14:paraId="7895E5E6" w14:textId="7BDB96DB" w:rsidR="0039351F" w:rsidRDefault="0039351F" w:rsidP="00150969">
            <w:pPr>
              <w:pStyle w:val="TableText0"/>
              <w:jc w:val="center"/>
            </w:pPr>
            <w:r>
              <w:t>NR (NA)</w:t>
            </w:r>
          </w:p>
        </w:tc>
      </w:tr>
      <w:tr w:rsidR="0039351F" w:rsidRPr="0098262F" w14:paraId="4C1B1AA6" w14:textId="77777777" w:rsidTr="00767F25">
        <w:trPr>
          <w:cantSplit/>
        </w:trPr>
        <w:tc>
          <w:tcPr>
            <w:tcW w:w="1648" w:type="pct"/>
            <w:vAlign w:val="center"/>
          </w:tcPr>
          <w:p w14:paraId="7A7D3F2C" w14:textId="641E1EA3" w:rsidR="0039351F" w:rsidRDefault="00344923" w:rsidP="00150969">
            <w:pPr>
              <w:pStyle w:val="TableText0"/>
              <w:ind w:left="318"/>
              <w:rPr>
                <w:rFonts w:ascii="Times New Roman" w:hAnsi="Times New Roman" w:cs="Times New Roman"/>
                <w:i/>
                <w:iCs/>
                <w:lang w:val="en-GB"/>
              </w:rPr>
            </w:pPr>
            <w:r>
              <w:t>p</w:t>
            </w:r>
            <w:r w:rsidR="0039351F">
              <w:t xml:space="preserve">neumonitis, </w:t>
            </w:r>
            <w:r w:rsidR="0039351F">
              <w:rPr>
                <w:rFonts w:eastAsiaTheme="minorHAnsi"/>
              </w:rPr>
              <w:t>n (%)</w:t>
            </w:r>
          </w:p>
        </w:tc>
        <w:tc>
          <w:tcPr>
            <w:tcW w:w="787" w:type="pct"/>
            <w:vAlign w:val="center"/>
          </w:tcPr>
          <w:p w14:paraId="31ED6ADA" w14:textId="645AB104" w:rsidR="0039351F" w:rsidRDefault="0039351F" w:rsidP="00150969">
            <w:pPr>
              <w:pStyle w:val="TableText0"/>
              <w:jc w:val="center"/>
            </w:pPr>
            <w:r>
              <w:t>5 (1)</w:t>
            </w:r>
          </w:p>
        </w:tc>
        <w:tc>
          <w:tcPr>
            <w:tcW w:w="864" w:type="pct"/>
            <w:vAlign w:val="center"/>
          </w:tcPr>
          <w:p w14:paraId="7C290E60" w14:textId="0645C491" w:rsidR="0039351F" w:rsidRDefault="0039351F" w:rsidP="00150969">
            <w:pPr>
              <w:pStyle w:val="TableText0"/>
              <w:jc w:val="center"/>
            </w:pPr>
            <w:r>
              <w:t>4 (1)</w:t>
            </w:r>
          </w:p>
        </w:tc>
        <w:tc>
          <w:tcPr>
            <w:tcW w:w="1100" w:type="pct"/>
            <w:vAlign w:val="center"/>
          </w:tcPr>
          <w:p w14:paraId="4E196944" w14:textId="186DF6CE" w:rsidR="0039351F" w:rsidRDefault="0039351F" w:rsidP="00150969">
            <w:pPr>
              <w:pStyle w:val="TableText0"/>
              <w:jc w:val="center"/>
            </w:pPr>
            <w:r>
              <w:t>NR (NA)</w:t>
            </w:r>
          </w:p>
        </w:tc>
        <w:tc>
          <w:tcPr>
            <w:tcW w:w="601" w:type="pct"/>
            <w:vAlign w:val="center"/>
          </w:tcPr>
          <w:p w14:paraId="3FE8413A" w14:textId="4DA1EAEB" w:rsidR="0039351F" w:rsidRDefault="0039351F" w:rsidP="00150969">
            <w:pPr>
              <w:pStyle w:val="TableText0"/>
              <w:jc w:val="center"/>
            </w:pPr>
            <w:r>
              <w:t>NR (NA)</w:t>
            </w:r>
          </w:p>
        </w:tc>
      </w:tr>
    </w:tbl>
    <w:p w14:paraId="77412402" w14:textId="1960699F" w:rsidR="005D26B4" w:rsidRPr="00F53B28" w:rsidRDefault="005D26B4" w:rsidP="00F511D9">
      <w:pPr>
        <w:pStyle w:val="TableFigureFooter"/>
      </w:pPr>
      <w:r w:rsidRPr="00F05040">
        <w:t>Source: Table</w:t>
      </w:r>
      <w:r w:rsidR="00792228" w:rsidRPr="00F05040">
        <w:t xml:space="preserve"> 41 (p79)</w:t>
      </w:r>
      <w:r w:rsidR="008B1344" w:rsidRPr="00F05040">
        <w:t>,</w:t>
      </w:r>
      <w:r w:rsidR="00D957AC" w:rsidRPr="00F05040">
        <w:t xml:space="preserve"> </w:t>
      </w:r>
      <w:r w:rsidR="008B1344" w:rsidRPr="00F05040">
        <w:t>Table 43 (p80), Table 44 (p82)</w:t>
      </w:r>
      <w:r w:rsidRPr="00F05040">
        <w:t xml:space="preserve"> of the submission</w:t>
      </w:r>
      <w:r w:rsidR="00F53B28" w:rsidRPr="00F05040">
        <w:t>.</w:t>
      </w:r>
    </w:p>
    <w:p w14:paraId="7E43A741" w14:textId="7049AFA8" w:rsidR="005D26B4" w:rsidRPr="00F53B28" w:rsidRDefault="0096284F" w:rsidP="00F511D9">
      <w:pPr>
        <w:pStyle w:val="TableFigureFooter"/>
        <w:rPr>
          <w:rFonts w:eastAsia="Calibri"/>
        </w:rPr>
      </w:pPr>
      <w:r w:rsidRPr="00F53B28">
        <w:rPr>
          <w:rFonts w:eastAsia="Calibri"/>
        </w:rPr>
        <w:t xml:space="preserve">AE = adverse events; </w:t>
      </w:r>
      <w:r w:rsidR="0063305B" w:rsidRPr="00F53B28">
        <w:rPr>
          <w:rFonts w:eastAsia="Calibri"/>
        </w:rPr>
        <w:t xml:space="preserve">AESI = adverse event </w:t>
      </w:r>
      <w:r w:rsidR="008A47B3" w:rsidRPr="00F53B28">
        <w:rPr>
          <w:rFonts w:eastAsia="Calibri"/>
        </w:rPr>
        <w:t xml:space="preserve">of special interest; </w:t>
      </w:r>
      <w:r w:rsidR="00D957AC" w:rsidRPr="00F53B28">
        <w:t>CTCAE</w:t>
      </w:r>
      <w:r w:rsidR="00D957AC" w:rsidRPr="00F53B28">
        <w:rPr>
          <w:rFonts w:eastAsia="Calibri"/>
        </w:rPr>
        <w:t xml:space="preserve"> = common terminology criteria for adverse events; </w:t>
      </w:r>
      <w:r w:rsidR="005D26B4" w:rsidRPr="00F53B28">
        <w:rPr>
          <w:rFonts w:eastAsia="Calibri"/>
        </w:rPr>
        <w:t>n = number of participants reporting data; N = total participants in group</w:t>
      </w:r>
      <w:r w:rsidR="009F0937" w:rsidRPr="00F53B28">
        <w:rPr>
          <w:rFonts w:eastAsia="Calibri"/>
        </w:rPr>
        <w:t xml:space="preserve">; NA = </w:t>
      </w:r>
      <w:r w:rsidR="00DD5FA2" w:rsidRPr="00F53B28">
        <w:rPr>
          <w:rFonts w:eastAsia="Calibri"/>
        </w:rPr>
        <w:t>not applica</w:t>
      </w:r>
      <w:r w:rsidR="00080C2D" w:rsidRPr="00F53B28">
        <w:rPr>
          <w:rFonts w:eastAsia="Calibri"/>
        </w:rPr>
        <w:t>b</w:t>
      </w:r>
      <w:r w:rsidR="00DD5FA2" w:rsidRPr="00F53B28">
        <w:rPr>
          <w:rFonts w:eastAsia="Calibri"/>
        </w:rPr>
        <w:t>le</w:t>
      </w:r>
      <w:r w:rsidR="009F0937" w:rsidRPr="00F53B28">
        <w:rPr>
          <w:rFonts w:eastAsia="Calibri"/>
        </w:rPr>
        <w:t xml:space="preserve">; NR = </w:t>
      </w:r>
      <w:r w:rsidR="00DD5FA2" w:rsidRPr="00F53B28">
        <w:rPr>
          <w:rFonts w:eastAsia="Calibri"/>
        </w:rPr>
        <w:t>not reported</w:t>
      </w:r>
      <w:r w:rsidR="00E470E2" w:rsidRPr="00F53B28">
        <w:rPr>
          <w:rFonts w:eastAsia="Calibri"/>
        </w:rPr>
        <w:t xml:space="preserve">; </w:t>
      </w:r>
      <w:r w:rsidR="00343572" w:rsidRPr="00F53B28">
        <w:rPr>
          <w:rFonts w:eastAsia="Calibri"/>
        </w:rPr>
        <w:t xml:space="preserve">NSCLC = non-small cell lung cancer; </w:t>
      </w:r>
      <w:r w:rsidR="00E470E2" w:rsidRPr="00F53B28">
        <w:rPr>
          <w:rFonts w:eastAsia="Calibri"/>
        </w:rPr>
        <w:t>TEAE</w:t>
      </w:r>
      <w:r w:rsidR="003E177E" w:rsidRPr="00F53B28">
        <w:rPr>
          <w:rFonts w:eastAsia="Calibri"/>
        </w:rPr>
        <w:t xml:space="preserve"> =</w:t>
      </w:r>
      <w:r w:rsidR="00E470E2" w:rsidRPr="00F53B28">
        <w:rPr>
          <w:rFonts w:eastAsia="Calibri"/>
        </w:rPr>
        <w:t xml:space="preserve"> </w:t>
      </w:r>
      <w:r w:rsidR="00DD5FA2" w:rsidRPr="00F53B28">
        <w:rPr>
          <w:rFonts w:eastAsia="Calibri"/>
        </w:rPr>
        <w:t>tr</w:t>
      </w:r>
      <w:r w:rsidR="00080C2D" w:rsidRPr="00F53B28">
        <w:rPr>
          <w:rFonts w:eastAsia="Calibri"/>
        </w:rPr>
        <w:t>eatment-emergent adverse event</w:t>
      </w:r>
      <w:r w:rsidR="00E470E2" w:rsidRPr="00F53B28">
        <w:rPr>
          <w:rFonts w:eastAsia="Calibri"/>
        </w:rPr>
        <w:t xml:space="preserve">; TREA = </w:t>
      </w:r>
      <w:r w:rsidR="002F4979" w:rsidRPr="00F53B28">
        <w:rPr>
          <w:rFonts w:eastAsia="Calibri"/>
        </w:rPr>
        <w:t>treatment-related adverse events</w:t>
      </w:r>
      <w:r w:rsidR="00E470E2" w:rsidRPr="00F53B28">
        <w:rPr>
          <w:rFonts w:eastAsia="Calibri"/>
        </w:rPr>
        <w:t xml:space="preserve">; SAE = </w:t>
      </w:r>
      <w:r w:rsidR="002F4979" w:rsidRPr="00F53B28">
        <w:rPr>
          <w:rFonts w:eastAsia="Calibri"/>
        </w:rPr>
        <w:t>serious adverse events</w:t>
      </w:r>
      <w:r w:rsidR="00907DAD">
        <w:rPr>
          <w:rFonts w:eastAsia="Calibri"/>
        </w:rPr>
        <w:t>.</w:t>
      </w:r>
    </w:p>
    <w:p w14:paraId="4AF631AE" w14:textId="7E5B745C" w:rsidR="009C1BEA" w:rsidRPr="00F53B28" w:rsidRDefault="009C1BEA" w:rsidP="00F511D9">
      <w:pPr>
        <w:pStyle w:val="TableFigureFooter"/>
      </w:pPr>
      <w:r w:rsidRPr="00F53B28">
        <w:t>Notes: Dose modification includes dose reduction or drug interruption</w:t>
      </w:r>
      <w:r w:rsidR="002F543D">
        <w:t>.</w:t>
      </w:r>
    </w:p>
    <w:p w14:paraId="420FB2EC" w14:textId="3E36727C" w:rsidR="00B306B2" w:rsidRPr="00F53B28" w:rsidRDefault="00644D38" w:rsidP="00F511D9">
      <w:pPr>
        <w:pStyle w:val="TableFigureFooter"/>
      </w:pPr>
      <w:proofErr w:type="spellStart"/>
      <w:proofErr w:type="gramStart"/>
      <w:r w:rsidRPr="00907DAD">
        <w:rPr>
          <w:vertAlign w:val="superscript"/>
        </w:rPr>
        <w:t>a</w:t>
      </w:r>
      <w:proofErr w:type="spellEnd"/>
      <w:proofErr w:type="gramEnd"/>
      <w:r w:rsidR="00B306B2" w:rsidRPr="00F53B28">
        <w:t xml:space="preserve"> </w:t>
      </w:r>
      <w:r w:rsidR="00AB4D97">
        <w:t>A</w:t>
      </w:r>
      <w:r w:rsidR="00B306B2" w:rsidRPr="00F53B28">
        <w:t>dverse events of special interest discussed separately in this section</w:t>
      </w:r>
    </w:p>
    <w:p w14:paraId="5F8DDD13" w14:textId="49D2DB49" w:rsidR="00B306B2" w:rsidRPr="00F53B28" w:rsidRDefault="00B306B2" w:rsidP="00F511D9">
      <w:pPr>
        <w:pStyle w:val="TableFigureFooter"/>
      </w:pPr>
      <w:r w:rsidRPr="00907DAD">
        <w:rPr>
          <w:vertAlign w:val="superscript"/>
        </w:rPr>
        <w:t>b</w:t>
      </w:r>
      <w:r w:rsidRPr="00F53B28">
        <w:t xml:space="preserve"> Overall number of deaths were not reported as a safety statistic</w:t>
      </w:r>
      <w:r w:rsidR="006B5837">
        <w:t>. T</w:t>
      </w:r>
      <w:r w:rsidRPr="00F53B28">
        <w:t>his is reproduced from the number of patients with event from the overall survival data because the analysis set size is the same for safety and efficacy data reported from that trial.</w:t>
      </w:r>
      <w:r w:rsidR="00644D38" w:rsidRPr="00F53B28">
        <w:t xml:space="preserve"> </w:t>
      </w:r>
    </w:p>
    <w:p w14:paraId="2EE95302" w14:textId="54DBF9B3" w:rsidR="00644D38" w:rsidRPr="00F53B28" w:rsidRDefault="00B306B2" w:rsidP="00F511D9">
      <w:pPr>
        <w:pStyle w:val="TableFigureFooter"/>
      </w:pPr>
      <w:r w:rsidRPr="00907DAD">
        <w:rPr>
          <w:vertAlign w:val="superscript"/>
        </w:rPr>
        <w:t>c</w:t>
      </w:r>
      <w:r w:rsidRPr="00F53B28">
        <w:t xml:space="preserve"> </w:t>
      </w:r>
      <w:r w:rsidR="00494E5D">
        <w:t>C</w:t>
      </w:r>
      <w:r w:rsidR="00D957AC" w:rsidRPr="00F53B28">
        <w:t xml:space="preserve">lassified using CTCAE grading </w:t>
      </w:r>
    </w:p>
    <w:p w14:paraId="190FD084" w14:textId="1CC20855" w:rsidR="006351ED" w:rsidRPr="00D66E5F" w:rsidRDefault="004072B2" w:rsidP="00997285">
      <w:pPr>
        <w:pStyle w:val="3-BodyText"/>
      </w:pPr>
      <w:bookmarkStart w:id="38" w:name="_Ref195090544"/>
      <w:r w:rsidRPr="00D66E5F">
        <w:t xml:space="preserve">The ESC considered the comparative safety claim was </w:t>
      </w:r>
      <w:r w:rsidR="00F61721" w:rsidRPr="00D66E5F">
        <w:t xml:space="preserve">very difficult to </w:t>
      </w:r>
      <w:r w:rsidR="006F52F9" w:rsidRPr="00D66E5F">
        <w:t xml:space="preserve">interpret due to the issues raised in paragraph </w:t>
      </w:r>
      <w:r w:rsidR="006F52F9" w:rsidRPr="00D66E5F">
        <w:fldChar w:fldCharType="begin"/>
      </w:r>
      <w:r w:rsidR="006F52F9" w:rsidRPr="00D66E5F">
        <w:instrText xml:space="preserve"> REF _Ref195090295 \r \h </w:instrText>
      </w:r>
      <w:r w:rsidR="00D66E5F">
        <w:instrText xml:space="preserve"> \* MERGEFORMAT </w:instrText>
      </w:r>
      <w:r w:rsidR="006F52F9" w:rsidRPr="00D66E5F">
        <w:fldChar w:fldCharType="separate"/>
      </w:r>
      <w:r w:rsidR="00D32E93">
        <w:t>6.28</w:t>
      </w:r>
      <w:r w:rsidR="006F52F9" w:rsidRPr="00D66E5F">
        <w:fldChar w:fldCharType="end"/>
      </w:r>
      <w:r w:rsidR="006F52F9" w:rsidRPr="00D66E5F">
        <w:t xml:space="preserve"> and the very limited available safety data for entrectinib</w:t>
      </w:r>
      <w:r w:rsidR="00C4487A" w:rsidRPr="00D66E5F">
        <w:t xml:space="preserve"> </w:t>
      </w:r>
      <w:r w:rsidR="00426971" w:rsidRPr="00D66E5F">
        <w:t xml:space="preserve">(as demonstrated in the table above). However, the ESC considered the </w:t>
      </w:r>
      <w:r w:rsidR="00426971" w:rsidRPr="00D66E5F">
        <w:lastRenderedPageBreak/>
        <w:t xml:space="preserve">available safety data did not </w:t>
      </w:r>
      <w:r w:rsidR="00E666EF" w:rsidRPr="00D66E5F">
        <w:t>raise any substantial concerns that the safety profile of repotrectinib was likely to be worse than that of entrectinib.</w:t>
      </w:r>
      <w:bookmarkEnd w:id="38"/>
      <w:r w:rsidR="00E666EF" w:rsidRPr="00D66E5F">
        <w:t xml:space="preserve"> </w:t>
      </w:r>
      <w:r w:rsidR="00D66E5F">
        <w:t>The Pre-PBAC Response agreed with the assessment by ESC</w:t>
      </w:r>
      <w:r w:rsidR="00C86489">
        <w:t xml:space="preserve"> that the safety </w:t>
      </w:r>
      <w:r w:rsidR="00D966F5">
        <w:t>outcomes</w:t>
      </w:r>
      <w:r w:rsidR="00C86489">
        <w:t xml:space="preserve"> reported </w:t>
      </w:r>
      <w:r w:rsidR="00D966F5">
        <w:t>for</w:t>
      </w:r>
      <w:r w:rsidR="00C86489">
        <w:t xml:space="preserve"> </w:t>
      </w:r>
      <w:r w:rsidR="00C86489" w:rsidRPr="00D966F5">
        <w:rPr>
          <w:i/>
          <w:iCs/>
        </w:rPr>
        <w:t>ROS1</w:t>
      </w:r>
      <w:r w:rsidR="00C86489">
        <w:t>-positive and TKI-naïve patients</w:t>
      </w:r>
      <w:r w:rsidR="003F5705">
        <w:t xml:space="preserve"> (PSCR, Table 3)</w:t>
      </w:r>
      <w:r w:rsidR="00C86489">
        <w:t xml:space="preserve"> treated with </w:t>
      </w:r>
      <w:r w:rsidR="00D966F5">
        <w:t>repotrectinib</w:t>
      </w:r>
      <w:r w:rsidR="00C86489">
        <w:t xml:space="preserve"> </w:t>
      </w:r>
      <w:r w:rsidR="00D966F5">
        <w:t xml:space="preserve">did not raise additional concerns regarding the safety in the population requested for PBS listing. </w:t>
      </w:r>
    </w:p>
    <w:p w14:paraId="04908C7F" w14:textId="415B9B7D" w:rsidR="007F1017" w:rsidRPr="0098262F" w:rsidRDefault="007F1017" w:rsidP="00D86231">
      <w:pPr>
        <w:pStyle w:val="4-SubsectionHeading"/>
      </w:pPr>
      <w:bookmarkStart w:id="39" w:name="_Toc22897643"/>
      <w:bookmarkStart w:id="40" w:name="_Toc193124293"/>
      <w:r w:rsidRPr="0098262F">
        <w:t>Benefits/harms</w:t>
      </w:r>
      <w:bookmarkEnd w:id="39"/>
      <w:bookmarkEnd w:id="40"/>
    </w:p>
    <w:p w14:paraId="02B9BDE3" w14:textId="4C224FFC" w:rsidR="007A1345" w:rsidRPr="0098262F" w:rsidRDefault="00311D9B" w:rsidP="00D2155B">
      <w:pPr>
        <w:pStyle w:val="3-BodyText"/>
      </w:pPr>
      <w:r w:rsidRPr="0098262F">
        <w:t xml:space="preserve">A benefits and harms table </w:t>
      </w:r>
      <w:proofErr w:type="gramStart"/>
      <w:r w:rsidR="00F05040">
        <w:t>was</w:t>
      </w:r>
      <w:proofErr w:type="gramEnd"/>
      <w:r w:rsidR="00F05040" w:rsidRPr="0098262F">
        <w:t xml:space="preserve"> </w:t>
      </w:r>
      <w:r w:rsidRPr="0098262F">
        <w:t>not presented as the submission made a claim of non-inferiority.</w:t>
      </w:r>
      <w:r w:rsidR="00E926A5" w:rsidRPr="0098262F">
        <w:t xml:space="preserve"> </w:t>
      </w:r>
    </w:p>
    <w:p w14:paraId="7A1772B6" w14:textId="23ABA1A5" w:rsidR="00B60939" w:rsidRPr="0098262F" w:rsidRDefault="00B60939" w:rsidP="00E9094A">
      <w:pPr>
        <w:pStyle w:val="4-SubsectionHeading"/>
      </w:pPr>
      <w:bookmarkStart w:id="41" w:name="_Toc22897644"/>
      <w:bookmarkStart w:id="42" w:name="_Toc193124294"/>
      <w:r w:rsidRPr="0098262F">
        <w:t>Clinical claim</w:t>
      </w:r>
      <w:bookmarkEnd w:id="41"/>
      <w:bookmarkEnd w:id="42"/>
    </w:p>
    <w:p w14:paraId="54D3A82D" w14:textId="0528E300" w:rsidR="005F7588" w:rsidRPr="00BA79FF" w:rsidRDefault="005F7588" w:rsidP="00997285">
      <w:pPr>
        <w:pStyle w:val="3-BodyText"/>
        <w:rPr>
          <w:rFonts w:eastAsia="Calibri"/>
        </w:rPr>
      </w:pPr>
      <w:r w:rsidRPr="00BA79FF">
        <w:rPr>
          <w:rFonts w:eastAsia="Calibri"/>
        </w:rPr>
        <w:t xml:space="preserve">The submission described </w:t>
      </w:r>
      <w:r w:rsidR="00692BD8" w:rsidRPr="00BA79FF">
        <w:rPr>
          <w:rFonts w:eastAsia="Calibri"/>
        </w:rPr>
        <w:t>repotrectinib</w:t>
      </w:r>
      <w:r w:rsidRPr="00BA79FF">
        <w:rPr>
          <w:rFonts w:eastAsia="Calibri"/>
        </w:rPr>
        <w:t xml:space="preserve"> as non-inferior in terms of effectiveness compared to </w:t>
      </w:r>
      <w:r w:rsidR="00470DAF" w:rsidRPr="00BA79FF">
        <w:rPr>
          <w:rFonts w:eastAsia="Calibri"/>
        </w:rPr>
        <w:t>entrectinib and crizotinib</w:t>
      </w:r>
      <w:r w:rsidRPr="00BA79FF">
        <w:rPr>
          <w:rFonts w:eastAsia="Calibri"/>
        </w:rPr>
        <w:t xml:space="preserve">. </w:t>
      </w:r>
      <w:r w:rsidR="0051748B" w:rsidRPr="00BA79FF">
        <w:rPr>
          <w:rFonts w:eastAsia="Calibri"/>
        </w:rPr>
        <w:t>The evaluation considered the</w:t>
      </w:r>
      <w:r w:rsidRPr="00BA79FF">
        <w:rPr>
          <w:rFonts w:eastAsia="Calibri"/>
        </w:rPr>
        <w:t xml:space="preserve"> claim was</w:t>
      </w:r>
      <w:r w:rsidR="00E247A6" w:rsidRPr="00BA79FF">
        <w:rPr>
          <w:rFonts w:eastAsia="Calibri"/>
        </w:rPr>
        <w:t xml:space="preserve"> uncertain and may</w:t>
      </w:r>
      <w:r w:rsidRPr="00BA79FF">
        <w:rPr>
          <w:rFonts w:eastAsia="Calibri"/>
        </w:rPr>
        <w:t xml:space="preserve"> not </w:t>
      </w:r>
      <w:r w:rsidR="00E247A6" w:rsidRPr="00BA79FF">
        <w:rPr>
          <w:rFonts w:eastAsia="Calibri"/>
        </w:rPr>
        <w:t xml:space="preserve">be </w:t>
      </w:r>
      <w:r w:rsidRPr="00BA79FF">
        <w:rPr>
          <w:rFonts w:eastAsia="Calibri"/>
        </w:rPr>
        <w:t>adequately supported</w:t>
      </w:r>
      <w:r w:rsidR="00B718C8" w:rsidRPr="00BA79FF">
        <w:rPr>
          <w:rFonts w:eastAsia="Calibri"/>
        </w:rPr>
        <w:t xml:space="preserve">. </w:t>
      </w:r>
      <w:r w:rsidR="007C70FF" w:rsidRPr="00BA79FF">
        <w:rPr>
          <w:rFonts w:eastAsia="Calibri"/>
        </w:rPr>
        <w:t xml:space="preserve">The key issues were: </w:t>
      </w:r>
      <w:r w:rsidR="001C479D" w:rsidRPr="00BA79FF">
        <w:rPr>
          <w:rFonts w:eastAsia="Calibri"/>
        </w:rPr>
        <w:t xml:space="preserve">(1) </w:t>
      </w:r>
      <w:r w:rsidR="00FE739A" w:rsidRPr="00BA79FF">
        <w:rPr>
          <w:rFonts w:eastAsia="Calibri"/>
        </w:rPr>
        <w:t>considerable heterogeneity in terms of patient demographics, disease characteristics, and study treatment/follow-up durations</w:t>
      </w:r>
      <w:r w:rsidR="00D20270" w:rsidRPr="00BA79FF">
        <w:rPr>
          <w:rFonts w:eastAsia="Calibri"/>
        </w:rPr>
        <w:t xml:space="preserve"> between studies</w:t>
      </w:r>
      <w:r w:rsidR="007014AF" w:rsidRPr="00BA79FF">
        <w:rPr>
          <w:rFonts w:eastAsia="Calibri"/>
        </w:rPr>
        <w:t>;</w:t>
      </w:r>
      <w:r w:rsidR="007C2F75" w:rsidRPr="00BA79FF">
        <w:rPr>
          <w:rFonts w:eastAsia="Calibri"/>
        </w:rPr>
        <w:t xml:space="preserve"> and</w:t>
      </w:r>
      <w:r w:rsidR="007014AF" w:rsidRPr="00BA79FF">
        <w:rPr>
          <w:rFonts w:eastAsia="Calibri"/>
        </w:rPr>
        <w:t xml:space="preserve"> (</w:t>
      </w:r>
      <w:r w:rsidR="007C2F75" w:rsidRPr="00BA79FF">
        <w:rPr>
          <w:rFonts w:eastAsia="Calibri"/>
        </w:rPr>
        <w:t>2</w:t>
      </w:r>
      <w:r w:rsidR="007014AF" w:rsidRPr="00BA79FF">
        <w:rPr>
          <w:rFonts w:eastAsia="Calibri"/>
        </w:rPr>
        <w:t>)</w:t>
      </w:r>
      <w:r w:rsidR="007014AF" w:rsidRPr="00BA79FF">
        <w:t xml:space="preserve"> the naïve comparative approach lacks statistical testing to measure the magnitude of effect between repotrectinib and entrectinib</w:t>
      </w:r>
      <w:r w:rsidR="008D2F8D" w:rsidRPr="00BA79FF">
        <w:t>.</w:t>
      </w:r>
      <w:r w:rsidR="00FA6E67" w:rsidRPr="00BA79FF">
        <w:t xml:space="preserve"> </w:t>
      </w:r>
      <w:r w:rsidR="001C3615" w:rsidRPr="00BA79FF">
        <w:t xml:space="preserve">The ESC noted, however, that there was no suggestion from the data provided that repotrectinib was inferior to entrectinib or </w:t>
      </w:r>
      <w:r w:rsidR="00672021" w:rsidRPr="00BA79FF">
        <w:t>crizotinib</w:t>
      </w:r>
      <w:r w:rsidR="001C3615" w:rsidRPr="00BA79FF">
        <w:t>.</w:t>
      </w:r>
    </w:p>
    <w:p w14:paraId="0D5FE2C2" w14:textId="4C734A17" w:rsidR="009B436C" w:rsidRPr="00BA79FF" w:rsidRDefault="003D3D01" w:rsidP="00997285">
      <w:pPr>
        <w:pStyle w:val="3-BodyText"/>
        <w:rPr>
          <w:rFonts w:eastAsia="Calibri"/>
        </w:rPr>
      </w:pPr>
      <w:r w:rsidRPr="00BA79FF">
        <w:rPr>
          <w:rFonts w:eastAsia="Calibri"/>
        </w:rPr>
        <w:t xml:space="preserve">The ESC </w:t>
      </w:r>
      <w:r w:rsidR="00CC4C6C" w:rsidRPr="00BA79FF">
        <w:rPr>
          <w:rFonts w:eastAsia="Calibri"/>
        </w:rPr>
        <w:t>also considered the claim of non-inferi</w:t>
      </w:r>
      <w:r w:rsidR="00964EFB" w:rsidRPr="00BA79FF">
        <w:rPr>
          <w:rFonts w:eastAsia="Calibri"/>
        </w:rPr>
        <w:t xml:space="preserve">or comparative effectiveness to entrectinib was uncertain due to the inherent limitations of the available data, however considered on balance </w:t>
      </w:r>
      <w:r w:rsidR="001C6B29" w:rsidRPr="00BA79FF">
        <w:rPr>
          <w:rFonts w:eastAsia="Calibri"/>
        </w:rPr>
        <w:t xml:space="preserve">that the claim may be reasonable. </w:t>
      </w:r>
      <w:bookmarkStart w:id="43" w:name="_Toc22897645"/>
      <w:r w:rsidR="00FE35AA" w:rsidRPr="00BA79FF">
        <w:t xml:space="preserve">The ESC further considered the available safety data was very difficult to interpret (as outlined in paragraph </w:t>
      </w:r>
      <w:r w:rsidR="00FE35AA" w:rsidRPr="00BA79FF">
        <w:fldChar w:fldCharType="begin"/>
      </w:r>
      <w:r w:rsidR="00FE35AA" w:rsidRPr="00BA79FF">
        <w:instrText xml:space="preserve"> REF _Ref195090544 \r \h </w:instrText>
      </w:r>
      <w:r w:rsidR="00BA79FF" w:rsidRPr="00BA79FF">
        <w:instrText xml:space="preserve"> \* MERGEFORMAT </w:instrText>
      </w:r>
      <w:r w:rsidR="00FE35AA" w:rsidRPr="00BA79FF">
        <w:fldChar w:fldCharType="separate"/>
      </w:r>
      <w:r w:rsidR="00D32E93">
        <w:t>6.36</w:t>
      </w:r>
      <w:r w:rsidR="00FE35AA" w:rsidRPr="00BA79FF">
        <w:fldChar w:fldCharType="end"/>
      </w:r>
      <w:r w:rsidR="00FE35AA" w:rsidRPr="00BA79FF">
        <w:t>), however considered the available safety data did not raise any substantial concerns that repotrectinib was likely to have a worse safety profile than entrectinib.</w:t>
      </w:r>
    </w:p>
    <w:p w14:paraId="1FE9F7F4" w14:textId="7DD8C569" w:rsidR="00BA79FF" w:rsidRPr="00BA79FF" w:rsidRDefault="00BA79FF" w:rsidP="00997285">
      <w:pPr>
        <w:pStyle w:val="3-BodyText"/>
        <w:rPr>
          <w:snapToGrid w:val="0"/>
        </w:rPr>
      </w:pPr>
      <w:bookmarkStart w:id="44" w:name="_Hlk76376200"/>
      <w:r w:rsidRPr="00BA79FF">
        <w:rPr>
          <w:snapToGrid w:val="0"/>
        </w:rPr>
        <w:t>The PBAC considered that the claim of non-inferior comparative effectiveness was reasonable.</w:t>
      </w:r>
    </w:p>
    <w:p w14:paraId="7B8F1DA3" w14:textId="60EB8F3D" w:rsidR="00BA79FF" w:rsidRPr="00BA79FF" w:rsidRDefault="00BA79FF" w:rsidP="00997285">
      <w:pPr>
        <w:pStyle w:val="3-BodyText"/>
        <w:rPr>
          <w:snapToGrid w:val="0"/>
        </w:rPr>
      </w:pPr>
      <w:r w:rsidRPr="00BA79FF">
        <w:rPr>
          <w:snapToGrid w:val="0"/>
        </w:rPr>
        <w:t>The PBAC considered that the claim of non-inferior comparative safety was reasonable.</w:t>
      </w:r>
      <w:bookmarkEnd w:id="44"/>
    </w:p>
    <w:p w14:paraId="74A1172E" w14:textId="0550F1FB" w:rsidR="00B60939" w:rsidRPr="0098262F" w:rsidRDefault="00B60939" w:rsidP="00E9094A">
      <w:pPr>
        <w:pStyle w:val="4-SubsectionHeading"/>
      </w:pPr>
      <w:bookmarkStart w:id="45" w:name="_Toc193124295"/>
      <w:r w:rsidRPr="0098262F">
        <w:t>Economic analysis</w:t>
      </w:r>
      <w:bookmarkEnd w:id="43"/>
      <w:bookmarkEnd w:id="45"/>
      <w:r w:rsidR="00491B3A" w:rsidRPr="0098262F">
        <w:t xml:space="preserve"> </w:t>
      </w:r>
    </w:p>
    <w:p w14:paraId="50FD827B" w14:textId="0C991799" w:rsidR="0071408F" w:rsidRPr="00BA79FF" w:rsidRDefault="0071408F" w:rsidP="00C5155F">
      <w:pPr>
        <w:pStyle w:val="3-BodyText"/>
      </w:pPr>
      <w:bookmarkStart w:id="46" w:name="_Ref190958288"/>
      <w:bookmarkStart w:id="47" w:name="_Toc22897650"/>
      <w:r w:rsidRPr="00BA79FF">
        <w:t xml:space="preserve">The submission applied </w:t>
      </w:r>
      <w:r w:rsidR="004E0C22" w:rsidRPr="00BA79FF">
        <w:t xml:space="preserve">a </w:t>
      </w:r>
      <w:r w:rsidRPr="00BA79FF">
        <w:t xml:space="preserve">cost minimisation </w:t>
      </w:r>
      <w:r w:rsidR="009842F1" w:rsidRPr="00BA79FF">
        <w:t xml:space="preserve">approach </w:t>
      </w:r>
      <w:r w:rsidRPr="00BA79FF">
        <w:t xml:space="preserve">(CMA) based on </w:t>
      </w:r>
      <w:r w:rsidR="009842F1" w:rsidRPr="00BA79FF">
        <w:t>the</w:t>
      </w:r>
      <w:r w:rsidRPr="00BA79FF">
        <w:t xml:space="preserve"> clinical claim</w:t>
      </w:r>
      <w:r w:rsidR="0042256B" w:rsidRPr="00BA79FF">
        <w:t xml:space="preserve"> of non-inferior </w:t>
      </w:r>
      <w:r w:rsidR="00946F2E" w:rsidRPr="00BA79FF">
        <w:t>effectiveness and safety</w:t>
      </w:r>
      <w:r w:rsidRPr="00BA79FF">
        <w:t xml:space="preserve"> </w:t>
      </w:r>
      <w:r w:rsidR="0030391F" w:rsidRPr="00BA79FF">
        <w:t>of</w:t>
      </w:r>
      <w:r w:rsidR="00B91237" w:rsidRPr="00BA79FF">
        <w:t xml:space="preserve"> </w:t>
      </w:r>
      <w:r w:rsidR="004E0C22" w:rsidRPr="00BA79FF">
        <w:t xml:space="preserve">repotrectinib </w:t>
      </w:r>
      <w:r w:rsidR="00C64BCB" w:rsidRPr="00BA79FF">
        <w:t>and</w:t>
      </w:r>
      <w:r w:rsidRPr="00BA79FF">
        <w:t xml:space="preserve"> entrectinib.</w:t>
      </w:r>
      <w:r w:rsidR="00AC2D38" w:rsidRPr="00BA79FF">
        <w:t xml:space="preserve"> </w:t>
      </w:r>
      <w:r w:rsidR="000D5FAD" w:rsidRPr="00BA79FF">
        <w:t xml:space="preserve">The ESC considered a CMA </w:t>
      </w:r>
      <w:r w:rsidR="00E71920" w:rsidRPr="00BA79FF">
        <w:t>may be reasonable, given its view on the clinical claims</w:t>
      </w:r>
      <w:r w:rsidR="00417235" w:rsidRPr="00BA79FF">
        <w:t xml:space="preserve">. </w:t>
      </w:r>
    </w:p>
    <w:p w14:paraId="5EDF0C6F" w14:textId="7A402762" w:rsidR="00E72B71" w:rsidRPr="00BA79FF" w:rsidRDefault="0071408F" w:rsidP="00C5155F">
      <w:pPr>
        <w:pStyle w:val="3-BodyText"/>
      </w:pPr>
      <w:bookmarkStart w:id="48" w:name="_Ref191473402"/>
      <w:bookmarkStart w:id="49" w:name="_Ref192524516"/>
      <w:r w:rsidRPr="00BA79FF">
        <w:t xml:space="preserve">The submission stated that the </w:t>
      </w:r>
      <w:proofErr w:type="spellStart"/>
      <w:r w:rsidRPr="00BA79FF">
        <w:t>equi</w:t>
      </w:r>
      <w:proofErr w:type="spellEnd"/>
      <w:r w:rsidRPr="00BA79FF">
        <w:t xml:space="preserve">-effective doses </w:t>
      </w:r>
      <w:r w:rsidR="00AA0DC2" w:rsidRPr="00BA79FF">
        <w:t xml:space="preserve">was based on </w:t>
      </w:r>
      <w:r w:rsidR="00AA0DC2" w:rsidRPr="00BA79FF" w:rsidDel="00250E83">
        <w:t>steady</w:t>
      </w:r>
      <w:r w:rsidR="00250E83" w:rsidRPr="00BA79FF">
        <w:t>-state dosing</w:t>
      </w:r>
      <w:r w:rsidR="00AA0DC2" w:rsidRPr="00BA79FF">
        <w:t xml:space="preserve">, </w:t>
      </w:r>
      <w:r w:rsidR="000D04E7" w:rsidRPr="00BA79FF">
        <w:t xml:space="preserve">with </w:t>
      </w:r>
      <w:r w:rsidRPr="00BA79FF">
        <w:t>600</w:t>
      </w:r>
      <w:r w:rsidR="00B35533">
        <w:t> </w:t>
      </w:r>
      <w:r w:rsidRPr="00BA79FF">
        <w:t>mg (once daily) for entrectinib and 320</w:t>
      </w:r>
      <w:r w:rsidR="00B35533">
        <w:t> </w:t>
      </w:r>
      <w:r w:rsidRPr="00BA79FF">
        <w:t>mg (160</w:t>
      </w:r>
      <w:r w:rsidR="00B35533">
        <w:t> </w:t>
      </w:r>
      <w:r w:rsidRPr="00BA79FF">
        <w:t>mg twice daily) for repotrectinib. The calculation was based on manufacturer recommended dosage, instead of trial-based dosage, due to data limitation</w:t>
      </w:r>
      <w:r w:rsidR="005C2C08" w:rsidRPr="00BA79FF">
        <w:t>s</w:t>
      </w:r>
      <w:r w:rsidRPr="00BA79FF">
        <w:t>.</w:t>
      </w:r>
      <w:bookmarkEnd w:id="48"/>
      <w:r w:rsidR="00707F28" w:rsidRPr="00BA79FF">
        <w:t xml:space="preserve"> </w:t>
      </w:r>
      <w:r w:rsidRPr="00BA79FF">
        <w:t xml:space="preserve">These doses are only correct for patients taking standard doses. </w:t>
      </w:r>
      <w:r w:rsidR="00417235" w:rsidRPr="00BA79FF">
        <w:t xml:space="preserve">The </w:t>
      </w:r>
      <w:r w:rsidR="001F1670" w:rsidRPr="00BA79FF">
        <w:t>ESC noted</w:t>
      </w:r>
      <w:r w:rsidR="00E774D7" w:rsidRPr="00BA79FF">
        <w:t xml:space="preserve"> </w:t>
      </w:r>
      <w:r w:rsidR="00F05CBC" w:rsidRPr="00BA79FF">
        <w:t>an</w:t>
      </w:r>
      <w:r w:rsidR="00CC2976" w:rsidRPr="00BA79FF">
        <w:t xml:space="preserve"> </w:t>
      </w:r>
      <w:r w:rsidR="00E774D7" w:rsidRPr="00BA79FF">
        <w:t>estimated</w:t>
      </w:r>
      <w:r w:rsidRPr="00BA79FF">
        <w:t xml:space="preserve"> 40.1%</w:t>
      </w:r>
      <w:r w:rsidR="00474F83" w:rsidRPr="00BA79FF">
        <w:t xml:space="preserve"> of</w:t>
      </w:r>
      <w:r w:rsidRPr="00BA79FF">
        <w:t xml:space="preserve"> patients </w:t>
      </w:r>
      <w:r w:rsidR="00C76F65" w:rsidRPr="00BA79FF">
        <w:t xml:space="preserve">in TRIDENT-1 </w:t>
      </w:r>
      <w:r w:rsidR="00924840" w:rsidRPr="00BA79FF">
        <w:t>experienced a dose modification</w:t>
      </w:r>
      <w:r w:rsidR="00F54D46" w:rsidRPr="00BA79FF">
        <w:t xml:space="preserve"> due to AEs/intolerance</w:t>
      </w:r>
      <w:r w:rsidR="00421488" w:rsidRPr="00BA79FF">
        <w:t>, moving fro</w:t>
      </w:r>
      <w:r w:rsidR="00C30D2B" w:rsidRPr="00BA79FF">
        <w:t>m 320</w:t>
      </w:r>
      <w:r w:rsidR="003A46D8">
        <w:t> </w:t>
      </w:r>
      <w:r w:rsidR="00C30D2B" w:rsidRPr="00BA79FF">
        <w:t>mg</w:t>
      </w:r>
      <w:r w:rsidR="008454F8" w:rsidRPr="00BA79FF">
        <w:t xml:space="preserve"> daily dose</w:t>
      </w:r>
      <w:r w:rsidR="00C30D2B" w:rsidRPr="00BA79FF">
        <w:t xml:space="preserve"> in what is referred to as the steady state </w:t>
      </w:r>
      <w:r w:rsidR="00F54D46" w:rsidRPr="00BA79FF">
        <w:t>to</w:t>
      </w:r>
      <w:r w:rsidR="008454F8" w:rsidRPr="00BA79FF">
        <w:t xml:space="preserve"> smaller dosing </w:t>
      </w:r>
      <w:r w:rsidR="00EB1C26" w:rsidRPr="00BA79FF">
        <w:t xml:space="preserve">which </w:t>
      </w:r>
      <w:r w:rsidR="00EB1C26" w:rsidRPr="00BA79FF">
        <w:lastRenderedPageBreak/>
        <w:t>may occur in increments of 40</w:t>
      </w:r>
      <w:r w:rsidR="003A46D8">
        <w:t> </w:t>
      </w:r>
      <w:r w:rsidR="00EB1C26" w:rsidRPr="00BA79FF">
        <w:t xml:space="preserve">mg </w:t>
      </w:r>
      <w:r w:rsidR="005B4D18" w:rsidRPr="00BA79FF">
        <w:t>(to 120</w:t>
      </w:r>
      <w:r w:rsidR="003A46D8">
        <w:t> </w:t>
      </w:r>
      <w:r w:rsidR="00BB3F11" w:rsidRPr="00BA79FF">
        <w:t>mg or 80</w:t>
      </w:r>
      <w:r w:rsidR="003A46D8">
        <w:t> </w:t>
      </w:r>
      <w:r w:rsidR="00BB3F11" w:rsidRPr="00BA79FF">
        <w:t>mg, once or twice daily depending on titration status)</w:t>
      </w:r>
      <w:r w:rsidR="00332D36" w:rsidRPr="00BA79FF">
        <w:t xml:space="preserve">. </w:t>
      </w:r>
      <w:r w:rsidR="00EB0EC0" w:rsidRPr="00BA79FF">
        <w:t>The PSCR</w:t>
      </w:r>
      <w:r w:rsidR="001B1F79" w:rsidRPr="00BA79FF">
        <w:t xml:space="preserve"> </w:t>
      </w:r>
      <w:r w:rsidR="00497A8E" w:rsidRPr="00BA79FF">
        <w:t>stated</w:t>
      </w:r>
      <w:r w:rsidR="00F7136B" w:rsidRPr="00BA79FF">
        <w:t xml:space="preserve"> </w:t>
      </w:r>
      <w:r w:rsidR="00F07885" w:rsidRPr="00BA79FF">
        <w:t>the</w:t>
      </w:r>
      <w:r w:rsidR="00F7136B" w:rsidRPr="00BA79FF">
        <w:t xml:space="preserve"> </w:t>
      </w:r>
      <w:r w:rsidR="004F2F1C" w:rsidRPr="00BA79FF">
        <w:t>entrectinib TGA Australian Public Assessment Report</w:t>
      </w:r>
      <w:r w:rsidR="0001433B" w:rsidRPr="00BA79FF">
        <w:t xml:space="preserve"> </w:t>
      </w:r>
      <w:r w:rsidR="00497A8E" w:rsidRPr="00BA79FF">
        <w:t>specified</w:t>
      </w:r>
      <w:r w:rsidR="000337BB" w:rsidRPr="00BA79FF">
        <w:t xml:space="preserve"> that </w:t>
      </w:r>
      <w:r w:rsidR="004F2F1C" w:rsidRPr="00BA79FF">
        <w:t>34.1% of patients experienced a dose</w:t>
      </w:r>
      <w:r w:rsidR="0001433B" w:rsidRPr="00BA79FF">
        <w:t xml:space="preserve"> </w:t>
      </w:r>
      <w:r w:rsidR="004F2F1C" w:rsidRPr="00BA79FF">
        <w:t>reduction</w:t>
      </w:r>
      <w:r w:rsidR="00F40DD6" w:rsidRPr="00BA79FF">
        <w:t xml:space="preserve"> and that no data on </w:t>
      </w:r>
      <w:r w:rsidR="00181DE6" w:rsidRPr="00BA79FF">
        <w:t xml:space="preserve">the distribution of </w:t>
      </w:r>
      <w:r w:rsidR="00F3677E" w:rsidRPr="00BA79FF">
        <w:t>dose reduction levels was available</w:t>
      </w:r>
      <w:r w:rsidR="004F2F1C" w:rsidRPr="00BA79FF">
        <w:t xml:space="preserve">. </w:t>
      </w:r>
      <w:bookmarkEnd w:id="49"/>
    </w:p>
    <w:p w14:paraId="27137A8A" w14:textId="0A33D689" w:rsidR="00102F56" w:rsidRPr="00BA79FF" w:rsidRDefault="00102F56" w:rsidP="00C5155F">
      <w:pPr>
        <w:pStyle w:val="3-BodyText"/>
      </w:pPr>
      <w:r w:rsidRPr="00BA79FF">
        <w:t xml:space="preserve">Relative dose intensity (RDI) of entrectinib in ROS1-positive patients was unavailable, as was the proportion of patients with dose reductions of entrectinib. </w:t>
      </w:r>
      <w:r w:rsidR="00A07D01" w:rsidRPr="00BA79FF">
        <w:t>RDI and</w:t>
      </w:r>
      <w:r w:rsidRPr="00BA79FF">
        <w:t xml:space="preserve"> dose reductions were not considered for the CMA proposed in the submission. The exclusion of RDI may be reasonable and </w:t>
      </w:r>
      <w:r w:rsidR="008312B5" w:rsidRPr="00BA79FF">
        <w:t xml:space="preserve">was </w:t>
      </w:r>
      <w:r w:rsidRPr="00BA79FF">
        <w:t>consistent with the CMA accepted by the PBAC for entrectinib</w:t>
      </w:r>
      <w:r w:rsidR="00DC23B0" w:rsidRPr="00BA79FF">
        <w:t xml:space="preserve"> (to crizotinib)</w:t>
      </w:r>
      <w:r w:rsidRPr="00BA79FF">
        <w:t>. However, for dose reduction scenarios, the cost per day of treatment with entrectinib reduces substantially</w:t>
      </w:r>
      <w:r w:rsidR="00805C63" w:rsidRPr="00BA79FF">
        <w:t xml:space="preserve"> as opposed to the </w:t>
      </w:r>
      <w:r w:rsidR="001D34A9" w:rsidRPr="00BA79FF">
        <w:t>repotrectinib</w:t>
      </w:r>
      <w:r w:rsidR="00C85F6F" w:rsidRPr="00BA79FF">
        <w:t xml:space="preserve"> price per day increasing</w:t>
      </w:r>
      <w:r w:rsidRPr="00BA79FF">
        <w:t>.</w:t>
      </w:r>
      <w:r w:rsidR="00DC23B0" w:rsidRPr="00BA79FF">
        <w:t xml:space="preserve"> </w:t>
      </w:r>
    </w:p>
    <w:p w14:paraId="5279DD1A" w14:textId="66F18FD2" w:rsidR="0071408F" w:rsidRPr="00BA79FF" w:rsidRDefault="0071408F" w:rsidP="00903FD7">
      <w:pPr>
        <w:pStyle w:val="3-BodyText"/>
      </w:pPr>
      <w:bookmarkStart w:id="50" w:name="_Ref191473406"/>
      <w:bookmarkStart w:id="51" w:name="_Ref192524529"/>
      <w:r w:rsidRPr="00BA79FF">
        <w:t xml:space="preserve">The submission assumed </w:t>
      </w:r>
      <w:r w:rsidR="00C06D2D">
        <w:t>the effective price for entrectinib</w:t>
      </w:r>
      <w:r w:rsidRPr="00BA79FF">
        <w:t xml:space="preserve"> to be </w:t>
      </w:r>
      <w:r w:rsidR="0057223D" w:rsidRPr="0057223D">
        <w:rPr>
          <w:color w:val="000000"/>
          <w:w w:val="62"/>
          <w:shd w:val="solid" w:color="000000" w:fill="000000"/>
          <w:fitText w:val="480" w:id="-663558144"/>
          <w14:textFill>
            <w14:solidFill>
              <w14:srgbClr w14:val="000000">
                <w14:alpha w14:val="100000"/>
              </w14:srgbClr>
            </w14:solidFill>
          </w14:textFill>
        </w:rPr>
        <w:t>|||  ||</w:t>
      </w:r>
      <w:r w:rsidR="0057223D" w:rsidRPr="0057223D">
        <w:rPr>
          <w:color w:val="000000"/>
          <w:spacing w:val="2"/>
          <w:w w:val="62"/>
          <w:shd w:val="solid" w:color="000000" w:fill="000000"/>
          <w:fitText w:val="480" w:id="-663558144"/>
          <w14:textFill>
            <w14:solidFill>
              <w14:srgbClr w14:val="000000">
                <w14:alpha w14:val="100000"/>
              </w14:srgbClr>
            </w14:solidFill>
          </w14:textFill>
        </w:rPr>
        <w:t>|</w:t>
      </w:r>
      <w:r w:rsidRPr="00BA79FF">
        <w:t xml:space="preserve">% of the published price in </w:t>
      </w:r>
      <w:r w:rsidR="00681C22">
        <w:t>its</w:t>
      </w:r>
      <w:r w:rsidR="00681C22" w:rsidRPr="00BA79FF">
        <w:t xml:space="preserve"> </w:t>
      </w:r>
      <w:r w:rsidRPr="00BA79FF">
        <w:t>calculations.</w:t>
      </w:r>
      <w:r w:rsidR="00267DEA">
        <w:t xml:space="preserve"> </w:t>
      </w:r>
      <w:bookmarkEnd w:id="50"/>
      <w:r w:rsidRPr="00BA79FF">
        <w:t xml:space="preserve">A </w:t>
      </w:r>
      <w:r w:rsidRPr="00BA79FF">
        <w:rPr>
          <w:szCs w:val="24"/>
        </w:rPr>
        <w:t xml:space="preserve">daily cost </w:t>
      </w:r>
      <w:r w:rsidRPr="00BA79FF">
        <w:t xml:space="preserve">of </w:t>
      </w:r>
      <w:r w:rsidRPr="00BA79FF">
        <w:rPr>
          <w:szCs w:val="24"/>
        </w:rPr>
        <w:t>$</w:t>
      </w:r>
      <w:r w:rsidR="0057223D" w:rsidRPr="00C42029">
        <w:rPr>
          <w:color w:val="000000"/>
          <w:w w:val="60"/>
          <w:szCs w:val="24"/>
          <w:shd w:val="solid" w:color="000000" w:fill="000000"/>
          <w:fitText w:val="470" w:id="-663558143"/>
          <w14:textFill>
            <w14:solidFill>
              <w14:srgbClr w14:val="000000">
                <w14:alpha w14:val="100000"/>
              </w14:srgbClr>
            </w14:solidFill>
          </w14:textFill>
        </w:rPr>
        <w:t>|||  ||</w:t>
      </w:r>
      <w:r w:rsidR="0057223D" w:rsidRPr="00C42029">
        <w:rPr>
          <w:color w:val="000000"/>
          <w:spacing w:val="6"/>
          <w:w w:val="60"/>
          <w:szCs w:val="24"/>
          <w:shd w:val="solid" w:color="000000" w:fill="000000"/>
          <w:fitText w:val="470" w:id="-663558143"/>
          <w14:textFill>
            <w14:solidFill>
              <w14:srgbClr w14:val="000000">
                <w14:alpha w14:val="100000"/>
              </w14:srgbClr>
            </w14:solidFill>
          </w14:textFill>
        </w:rPr>
        <w:t>|</w:t>
      </w:r>
      <w:r w:rsidRPr="00BA79FF">
        <w:t xml:space="preserve"> for entrectinib was </w:t>
      </w:r>
      <w:r w:rsidR="0007722B" w:rsidRPr="00BA79FF">
        <w:t>calculated</w:t>
      </w:r>
      <w:r w:rsidR="004D06CE" w:rsidRPr="00BA79FF">
        <w:t>,</w:t>
      </w:r>
      <w:r w:rsidRPr="00BA79FF">
        <w:t xml:space="preserve"> also based on standard doses.</w:t>
      </w:r>
      <w:r w:rsidR="00D567DE">
        <w:t xml:space="preserve"> All calculations and scenarios below are based on this assumed effective cost of entrectinib used in the submission.</w:t>
      </w:r>
      <w:r w:rsidRPr="00BA79FF">
        <w:t xml:space="preserve"> Aim</w:t>
      </w:r>
      <w:r w:rsidR="00A4446A" w:rsidRPr="00BA79FF">
        <w:t>i</w:t>
      </w:r>
      <w:r w:rsidR="00D33CC2" w:rsidRPr="00BA79FF">
        <w:t>n</w:t>
      </w:r>
      <w:r w:rsidR="00A4446A" w:rsidRPr="00BA79FF">
        <w:t>g to</w:t>
      </w:r>
      <w:r w:rsidRPr="00BA79FF">
        <w:t xml:space="preserve"> match repotrectinib to the same cost,</w:t>
      </w:r>
      <w:r w:rsidRPr="00BA79FF">
        <w:rPr>
          <w:szCs w:val="24"/>
        </w:rPr>
        <w:t xml:space="preserve"> </w:t>
      </w:r>
      <w:r w:rsidR="0007722B" w:rsidRPr="00BA79FF">
        <w:rPr>
          <w:szCs w:val="24"/>
        </w:rPr>
        <w:t>t</w:t>
      </w:r>
      <w:r w:rsidRPr="00BA79FF">
        <w:t xml:space="preserve">he submission calculated the </w:t>
      </w:r>
      <w:r w:rsidR="00766135" w:rsidRPr="00BA79FF">
        <w:t>dispensed price for maximum quantity</w:t>
      </w:r>
      <w:r w:rsidRPr="00BA79FF">
        <w:t xml:space="preserve"> </w:t>
      </w:r>
      <w:r w:rsidR="00766135" w:rsidRPr="00BA79FF">
        <w:t>(</w:t>
      </w:r>
      <w:r w:rsidRPr="00BA79FF">
        <w:t>DPMQ</w:t>
      </w:r>
      <w:r w:rsidR="00766135" w:rsidRPr="00BA79FF">
        <w:t>)</w:t>
      </w:r>
      <w:r w:rsidRPr="00BA79FF">
        <w:t xml:space="preserve"> </w:t>
      </w:r>
      <w:r w:rsidR="00A4446A" w:rsidRPr="00BA79FF">
        <w:t>for</w:t>
      </w:r>
      <w:r w:rsidRPr="00BA79FF">
        <w:t xml:space="preserve"> 30</w:t>
      </w:r>
      <w:r w:rsidR="002739FA">
        <w:t> </w:t>
      </w:r>
      <w:r w:rsidRPr="00BA79FF">
        <w:t>days</w:t>
      </w:r>
      <w:r w:rsidR="00E25CAD" w:rsidRPr="00BA79FF">
        <w:t xml:space="preserve"> (</w:t>
      </w:r>
      <w:r w:rsidRPr="00BA79FF">
        <w:t xml:space="preserve">i.e. the </w:t>
      </w:r>
      <w:r w:rsidR="002739FA" w:rsidRPr="00BA79FF">
        <w:t>160</w:t>
      </w:r>
      <w:r w:rsidR="002739FA">
        <w:t> </w:t>
      </w:r>
      <w:r w:rsidRPr="00BA79FF">
        <w:t xml:space="preserve">mg </w:t>
      </w:r>
      <w:r w:rsidR="002739FA" w:rsidRPr="00BA79FF">
        <w:t>60</w:t>
      </w:r>
      <w:r w:rsidR="002739FA">
        <w:t> </w:t>
      </w:r>
      <w:r w:rsidRPr="00BA79FF">
        <w:t>pack</w:t>
      </w:r>
      <w:r w:rsidR="00E25CAD" w:rsidRPr="00BA79FF">
        <w:t>)</w:t>
      </w:r>
      <w:r w:rsidRPr="00BA79FF">
        <w:t xml:space="preserve"> </w:t>
      </w:r>
      <w:r w:rsidR="0007722B" w:rsidRPr="00BA79FF">
        <w:t>to</w:t>
      </w:r>
      <w:r w:rsidRPr="00BA79FF">
        <w:t xml:space="preserve"> be </w:t>
      </w:r>
      <w:r w:rsidRPr="00BA79FF">
        <w:rPr>
          <w:szCs w:val="24"/>
        </w:rPr>
        <w:t>$</w:t>
      </w:r>
      <w:r w:rsidR="0057223D" w:rsidRPr="00C42029">
        <w:rPr>
          <w:color w:val="000000"/>
          <w:w w:val="60"/>
          <w:szCs w:val="24"/>
          <w:shd w:val="solid" w:color="000000" w:fill="000000"/>
          <w:fitText w:val="470" w:id="-663558142"/>
          <w14:textFill>
            <w14:solidFill>
              <w14:srgbClr w14:val="000000">
                <w14:alpha w14:val="100000"/>
              </w14:srgbClr>
            </w14:solidFill>
          </w14:textFill>
        </w:rPr>
        <w:t>|||  ||</w:t>
      </w:r>
      <w:r w:rsidR="0057223D" w:rsidRPr="00C42029">
        <w:rPr>
          <w:color w:val="000000"/>
          <w:spacing w:val="6"/>
          <w:w w:val="60"/>
          <w:szCs w:val="24"/>
          <w:shd w:val="solid" w:color="000000" w:fill="000000"/>
          <w:fitText w:val="470" w:id="-663558142"/>
          <w14:textFill>
            <w14:solidFill>
              <w14:srgbClr w14:val="000000">
                <w14:alpha w14:val="100000"/>
              </w14:srgbClr>
            </w14:solidFill>
          </w14:textFill>
        </w:rPr>
        <w:t>|</w:t>
      </w:r>
      <w:r w:rsidRPr="00BA79FF">
        <w:rPr>
          <w:szCs w:val="24"/>
        </w:rPr>
        <w:t xml:space="preserve">, identical to the DPMQ of </w:t>
      </w:r>
      <w:proofErr w:type="spellStart"/>
      <w:r w:rsidRPr="00BA79FF">
        <w:t>entrectinib</w:t>
      </w:r>
      <w:proofErr w:type="spellEnd"/>
      <w:r w:rsidR="00271876" w:rsidRPr="00BA79FF">
        <w:rPr>
          <w:szCs w:val="24"/>
        </w:rPr>
        <w:t xml:space="preserve"> </w:t>
      </w:r>
      <w:r w:rsidRPr="00BA79FF">
        <w:rPr>
          <w:szCs w:val="24"/>
        </w:rPr>
        <w:t>(</w:t>
      </w:r>
      <w:r w:rsidR="00C273E8" w:rsidRPr="00BA79FF">
        <w:rPr>
          <w:szCs w:val="24"/>
        </w:rPr>
        <w:fldChar w:fldCharType="begin"/>
      </w:r>
      <w:r w:rsidR="00C273E8" w:rsidRPr="00BA79FF">
        <w:rPr>
          <w:szCs w:val="24"/>
        </w:rPr>
        <w:instrText xml:space="preserve"> REF _Ref191487339 \h </w:instrText>
      </w:r>
      <w:r w:rsidR="007A38AF" w:rsidRPr="00BA79FF">
        <w:rPr>
          <w:szCs w:val="24"/>
        </w:rPr>
        <w:instrText xml:space="preserve"> \* MERGEFORMAT </w:instrText>
      </w:r>
      <w:r w:rsidR="00C273E8" w:rsidRPr="00BA79FF">
        <w:rPr>
          <w:szCs w:val="24"/>
        </w:rPr>
      </w:r>
      <w:r w:rsidR="00C273E8" w:rsidRPr="00BA79FF">
        <w:rPr>
          <w:szCs w:val="24"/>
        </w:rPr>
        <w:fldChar w:fldCharType="separate"/>
      </w:r>
      <w:r w:rsidR="00D32E93">
        <w:t>Table</w:t>
      </w:r>
      <w:r w:rsidR="00D32E93">
        <w:rPr>
          <w:noProof/>
        </w:rPr>
        <w:t xml:space="preserve"> 7</w:t>
      </w:r>
      <w:r w:rsidR="00C273E8" w:rsidRPr="00BA79FF">
        <w:rPr>
          <w:szCs w:val="24"/>
        </w:rPr>
        <w:fldChar w:fldCharType="end"/>
      </w:r>
      <w:r w:rsidR="008D24C9" w:rsidRPr="00BA79FF">
        <w:rPr>
          <w:szCs w:val="24"/>
        </w:rPr>
        <w:t>)</w:t>
      </w:r>
      <w:r w:rsidR="00271876" w:rsidRPr="00BA79FF">
        <w:rPr>
          <w:szCs w:val="24"/>
        </w:rPr>
        <w:t>.</w:t>
      </w:r>
      <w:r w:rsidRPr="00BA79FF">
        <w:t xml:space="preserve"> The submission </w:t>
      </w:r>
      <w:r w:rsidR="0065184B" w:rsidRPr="00BA79FF">
        <w:t xml:space="preserve">proposed a flat pricing approach for the </w:t>
      </w:r>
      <w:r w:rsidR="00467236" w:rsidRPr="00BA79FF">
        <w:t>40</w:t>
      </w:r>
      <w:r w:rsidR="00467236">
        <w:t> </w:t>
      </w:r>
      <w:r w:rsidRPr="00BA79FF">
        <w:t xml:space="preserve">mg </w:t>
      </w:r>
      <w:r w:rsidR="0065184B" w:rsidRPr="00BA79FF">
        <w:t xml:space="preserve">x </w:t>
      </w:r>
      <w:r w:rsidR="002739FA" w:rsidRPr="00BA79FF">
        <w:t>120</w:t>
      </w:r>
      <w:r w:rsidR="002739FA">
        <w:t> </w:t>
      </w:r>
      <w:r w:rsidRPr="00BA79FF">
        <w:t>pack used for dose reductions.</w:t>
      </w:r>
      <w:bookmarkEnd w:id="51"/>
      <w:r w:rsidRPr="00BA79FF">
        <w:t xml:space="preserve"> </w:t>
      </w:r>
      <w:r w:rsidR="00936A7A" w:rsidRPr="00BA79FF">
        <w:t>The ESC noted the proposed flat pricing structure for the two forms of repotrectinib; 160</w:t>
      </w:r>
      <w:r w:rsidR="004D1CEB">
        <w:t> </w:t>
      </w:r>
      <w:r w:rsidR="00936A7A" w:rsidRPr="00BA79FF">
        <w:t>mg x 60</w:t>
      </w:r>
      <w:r w:rsidR="001D34A9">
        <w:t> </w:t>
      </w:r>
      <w:r w:rsidR="00936A7A" w:rsidRPr="00BA79FF">
        <w:t>capsules intended for the steady state (total of 9,600</w:t>
      </w:r>
      <w:r w:rsidR="001D34A9">
        <w:t> </w:t>
      </w:r>
      <w:r w:rsidR="00936A7A" w:rsidRPr="00BA79FF">
        <w:t>mg) and 40</w:t>
      </w:r>
      <w:r w:rsidR="004D1CEB">
        <w:t> </w:t>
      </w:r>
      <w:r w:rsidR="00936A7A" w:rsidRPr="00BA79FF">
        <w:t xml:space="preserve">mg x </w:t>
      </w:r>
      <w:r w:rsidR="002739FA" w:rsidRPr="00BA79FF">
        <w:t>120</w:t>
      </w:r>
      <w:r w:rsidR="002739FA">
        <w:t> </w:t>
      </w:r>
      <w:r w:rsidR="00936A7A" w:rsidRPr="00BA79FF">
        <w:t>pack used for the estimated 40.1% of patients requiring a dose reduction (total of 4,800</w:t>
      </w:r>
      <w:r w:rsidR="001D34A9">
        <w:t> </w:t>
      </w:r>
      <w:r w:rsidR="00936A7A" w:rsidRPr="00BA79FF">
        <w:t>mg) leads to an increased daily cost relative to entrectinib.</w:t>
      </w:r>
    </w:p>
    <w:p w14:paraId="2824001E" w14:textId="3D1D37BD" w:rsidR="007B6015" w:rsidRPr="009A1A5A" w:rsidRDefault="007B6015" w:rsidP="007B6015">
      <w:pPr>
        <w:pStyle w:val="Caption"/>
        <w:rPr>
          <w:i/>
          <w:iCs/>
        </w:rPr>
      </w:pPr>
      <w:bookmarkStart w:id="52" w:name="_Ref191487339"/>
      <w:bookmarkStart w:id="53" w:name="_Ref193190900"/>
      <w:r>
        <w:t xml:space="preserve">Table </w:t>
      </w:r>
      <w:r w:rsidR="007F7DF9">
        <w:fldChar w:fldCharType="begin"/>
      </w:r>
      <w:r w:rsidR="007F7DF9">
        <w:instrText xml:space="preserve"> SEQ Table \* ARABIC </w:instrText>
      </w:r>
      <w:r w:rsidR="007F7DF9">
        <w:fldChar w:fldCharType="separate"/>
      </w:r>
      <w:r w:rsidR="00D32E93">
        <w:rPr>
          <w:noProof/>
        </w:rPr>
        <w:t>7</w:t>
      </w:r>
      <w:r w:rsidR="007F7DF9">
        <w:rPr>
          <w:noProof/>
        </w:rPr>
        <w:fldChar w:fldCharType="end"/>
      </w:r>
      <w:bookmarkEnd w:id="46"/>
      <w:bookmarkEnd w:id="52"/>
      <w:bookmarkEnd w:id="53"/>
      <w:r>
        <w:t>: Results of the economic evaluation</w:t>
      </w:r>
      <w:r w:rsidR="00D1119B">
        <w:t xml:space="preserve"> (submission)</w:t>
      </w:r>
      <w:r w:rsidR="009A1A5A">
        <w:t xml:space="preserve"> – </w:t>
      </w:r>
      <w:r w:rsidR="00352BB1">
        <w:rPr>
          <w:i/>
          <w:iCs/>
        </w:rPr>
        <w:t>steady state</w:t>
      </w:r>
      <w:r w:rsidR="009A1A5A" w:rsidRPr="009A1A5A">
        <w:rPr>
          <w:i/>
          <w:iCs/>
        </w:rPr>
        <w:t xml:space="preserve"> regimen</w:t>
      </w:r>
    </w:p>
    <w:tbl>
      <w:tblPr>
        <w:tblStyle w:val="TableGrid"/>
        <w:tblW w:w="0" w:type="auto"/>
        <w:tblLook w:val="04A0" w:firstRow="1" w:lastRow="0" w:firstColumn="1" w:lastColumn="0" w:noHBand="0" w:noVBand="1"/>
      </w:tblPr>
      <w:tblGrid>
        <w:gridCol w:w="1183"/>
        <w:gridCol w:w="800"/>
        <w:gridCol w:w="827"/>
        <w:gridCol w:w="955"/>
        <w:gridCol w:w="748"/>
        <w:gridCol w:w="1054"/>
        <w:gridCol w:w="991"/>
        <w:gridCol w:w="1177"/>
        <w:gridCol w:w="1046"/>
      </w:tblGrid>
      <w:tr w:rsidR="007B6015" w:rsidRPr="00403575" w14:paraId="5F098026" w14:textId="77777777" w:rsidTr="00B1156A">
        <w:trPr>
          <w:trHeight w:val="175"/>
        </w:trPr>
        <w:tc>
          <w:tcPr>
            <w:tcW w:w="1183" w:type="dxa"/>
            <w:shd w:val="clear" w:color="auto" w:fill="auto"/>
            <w:noWrap/>
            <w:vAlign w:val="center"/>
            <w:hideMark/>
          </w:tcPr>
          <w:p w14:paraId="0825584B" w14:textId="77777777" w:rsidR="007B6015" w:rsidRPr="00403575" w:rsidRDefault="007B6015" w:rsidP="00EF4A25">
            <w:pPr>
              <w:keepNext/>
              <w:keepLines/>
              <w:jc w:val="left"/>
              <w:rPr>
                <w:rFonts w:ascii="Arial Narrow" w:hAnsi="Arial Narrow"/>
                <w:b/>
                <w:bCs/>
                <w:sz w:val="20"/>
                <w:szCs w:val="18"/>
              </w:rPr>
            </w:pPr>
            <w:r w:rsidRPr="00403575">
              <w:rPr>
                <w:rFonts w:ascii="Arial Narrow" w:hAnsi="Arial Narrow"/>
                <w:b/>
                <w:bCs/>
                <w:sz w:val="20"/>
                <w:szCs w:val="18"/>
              </w:rPr>
              <w:t>Treatment</w:t>
            </w:r>
          </w:p>
        </w:tc>
        <w:tc>
          <w:tcPr>
            <w:tcW w:w="800" w:type="dxa"/>
            <w:shd w:val="clear" w:color="auto" w:fill="auto"/>
            <w:vAlign w:val="center"/>
            <w:hideMark/>
          </w:tcPr>
          <w:p w14:paraId="1BB8DD1C" w14:textId="77777777" w:rsidR="007B6015" w:rsidRPr="00403575" w:rsidRDefault="007B6015" w:rsidP="00EF4A25">
            <w:pPr>
              <w:keepNext/>
              <w:keepLines/>
              <w:jc w:val="left"/>
              <w:rPr>
                <w:rFonts w:ascii="Arial Narrow" w:hAnsi="Arial Narrow"/>
                <w:b/>
                <w:bCs/>
                <w:sz w:val="20"/>
                <w:szCs w:val="18"/>
              </w:rPr>
            </w:pPr>
            <w:r>
              <w:rPr>
                <w:rFonts w:ascii="Arial Narrow" w:hAnsi="Arial Narrow"/>
                <w:b/>
                <w:bCs/>
                <w:sz w:val="20"/>
                <w:szCs w:val="18"/>
              </w:rPr>
              <w:t>Mg/u</w:t>
            </w:r>
            <w:r w:rsidRPr="00403575">
              <w:rPr>
                <w:rFonts w:ascii="Arial Narrow" w:hAnsi="Arial Narrow"/>
                <w:b/>
                <w:bCs/>
                <w:sz w:val="20"/>
                <w:szCs w:val="18"/>
              </w:rPr>
              <w:t xml:space="preserve">nit </w:t>
            </w:r>
          </w:p>
        </w:tc>
        <w:tc>
          <w:tcPr>
            <w:tcW w:w="827" w:type="dxa"/>
            <w:shd w:val="clear" w:color="auto" w:fill="auto"/>
            <w:noWrap/>
            <w:vAlign w:val="center"/>
            <w:hideMark/>
          </w:tcPr>
          <w:p w14:paraId="1E0746ED" w14:textId="77777777" w:rsidR="007B6015" w:rsidRPr="00403575" w:rsidRDefault="007B6015" w:rsidP="00EF4A25">
            <w:pPr>
              <w:keepNext/>
              <w:keepLines/>
              <w:jc w:val="left"/>
              <w:rPr>
                <w:rFonts w:ascii="Arial Narrow" w:hAnsi="Arial Narrow"/>
                <w:b/>
                <w:bCs/>
                <w:sz w:val="20"/>
                <w:szCs w:val="18"/>
              </w:rPr>
            </w:pPr>
            <w:r>
              <w:rPr>
                <w:rFonts w:ascii="Arial Narrow" w:hAnsi="Arial Narrow"/>
                <w:b/>
                <w:bCs/>
                <w:sz w:val="20"/>
                <w:szCs w:val="18"/>
              </w:rPr>
              <w:t>Mg/day</w:t>
            </w:r>
          </w:p>
        </w:tc>
        <w:tc>
          <w:tcPr>
            <w:tcW w:w="955" w:type="dxa"/>
            <w:shd w:val="clear" w:color="auto" w:fill="auto"/>
            <w:noWrap/>
            <w:vAlign w:val="center"/>
            <w:hideMark/>
          </w:tcPr>
          <w:p w14:paraId="1838BE14" w14:textId="77777777" w:rsidR="007B6015" w:rsidRPr="00403575" w:rsidRDefault="007B6015" w:rsidP="00EF4A25">
            <w:pPr>
              <w:keepNext/>
              <w:keepLines/>
              <w:jc w:val="left"/>
              <w:rPr>
                <w:rFonts w:ascii="Arial Narrow" w:hAnsi="Arial Narrow"/>
                <w:b/>
                <w:bCs/>
                <w:sz w:val="20"/>
                <w:szCs w:val="18"/>
              </w:rPr>
            </w:pPr>
            <w:r w:rsidRPr="00403575">
              <w:rPr>
                <w:rFonts w:ascii="Arial Narrow" w:hAnsi="Arial Narrow"/>
                <w:b/>
                <w:bCs/>
                <w:sz w:val="20"/>
                <w:szCs w:val="18"/>
              </w:rPr>
              <w:t>Units/day</w:t>
            </w:r>
          </w:p>
        </w:tc>
        <w:tc>
          <w:tcPr>
            <w:tcW w:w="748" w:type="dxa"/>
            <w:shd w:val="clear" w:color="auto" w:fill="auto"/>
            <w:vAlign w:val="center"/>
            <w:hideMark/>
          </w:tcPr>
          <w:p w14:paraId="53E0BFC9" w14:textId="77777777" w:rsidR="007B6015" w:rsidRPr="00403575" w:rsidRDefault="007B6015" w:rsidP="00EF4A25">
            <w:pPr>
              <w:keepNext/>
              <w:keepLines/>
              <w:jc w:val="left"/>
              <w:rPr>
                <w:rFonts w:ascii="Arial Narrow" w:hAnsi="Arial Narrow"/>
                <w:b/>
                <w:bCs/>
                <w:sz w:val="20"/>
                <w:szCs w:val="18"/>
              </w:rPr>
            </w:pPr>
            <w:r>
              <w:rPr>
                <w:rFonts w:ascii="Arial Narrow" w:hAnsi="Arial Narrow"/>
                <w:b/>
                <w:bCs/>
                <w:sz w:val="20"/>
                <w:szCs w:val="18"/>
              </w:rPr>
              <w:t>Units /script</w:t>
            </w:r>
          </w:p>
        </w:tc>
        <w:tc>
          <w:tcPr>
            <w:tcW w:w="1054" w:type="dxa"/>
            <w:shd w:val="clear" w:color="auto" w:fill="auto"/>
            <w:vAlign w:val="center"/>
            <w:hideMark/>
          </w:tcPr>
          <w:p w14:paraId="702A5689" w14:textId="77777777" w:rsidR="007B6015" w:rsidRPr="00403575" w:rsidRDefault="007B6015" w:rsidP="00EF4A25">
            <w:pPr>
              <w:keepNext/>
              <w:keepLines/>
              <w:jc w:val="left"/>
              <w:rPr>
                <w:rFonts w:ascii="Arial Narrow" w:hAnsi="Arial Narrow"/>
                <w:b/>
                <w:bCs/>
                <w:sz w:val="20"/>
                <w:szCs w:val="18"/>
              </w:rPr>
            </w:pPr>
            <w:r w:rsidRPr="00403575">
              <w:rPr>
                <w:rFonts w:ascii="Arial Narrow" w:hAnsi="Arial Narrow"/>
                <w:b/>
                <w:bCs/>
                <w:sz w:val="20"/>
                <w:szCs w:val="18"/>
              </w:rPr>
              <w:t xml:space="preserve">Days </w:t>
            </w:r>
            <w:r>
              <w:rPr>
                <w:rFonts w:ascii="Arial Narrow" w:hAnsi="Arial Narrow"/>
                <w:b/>
                <w:bCs/>
                <w:sz w:val="20"/>
                <w:szCs w:val="18"/>
              </w:rPr>
              <w:t>/script</w:t>
            </w:r>
          </w:p>
        </w:tc>
        <w:tc>
          <w:tcPr>
            <w:tcW w:w="991" w:type="dxa"/>
            <w:shd w:val="clear" w:color="auto" w:fill="auto"/>
            <w:vAlign w:val="center"/>
            <w:hideMark/>
          </w:tcPr>
          <w:p w14:paraId="2346C1C7" w14:textId="77777777" w:rsidR="007B6015" w:rsidRPr="00403575" w:rsidRDefault="007B6015" w:rsidP="00EF4A25">
            <w:pPr>
              <w:keepNext/>
              <w:keepLines/>
              <w:jc w:val="left"/>
              <w:rPr>
                <w:rFonts w:ascii="Arial Narrow" w:hAnsi="Arial Narrow"/>
                <w:b/>
                <w:bCs/>
                <w:sz w:val="20"/>
                <w:szCs w:val="18"/>
              </w:rPr>
            </w:pPr>
            <w:r w:rsidRPr="00403575">
              <w:rPr>
                <w:rFonts w:ascii="Arial Narrow" w:hAnsi="Arial Narrow"/>
                <w:b/>
                <w:bCs/>
                <w:sz w:val="20"/>
                <w:szCs w:val="18"/>
              </w:rPr>
              <w:t>AEMP (effective)</w:t>
            </w:r>
          </w:p>
        </w:tc>
        <w:tc>
          <w:tcPr>
            <w:tcW w:w="1177" w:type="dxa"/>
            <w:shd w:val="clear" w:color="auto" w:fill="auto"/>
            <w:vAlign w:val="center"/>
            <w:hideMark/>
          </w:tcPr>
          <w:p w14:paraId="6C84BA72" w14:textId="77777777" w:rsidR="007B6015" w:rsidRPr="00403575" w:rsidRDefault="007B6015" w:rsidP="00EF4A25">
            <w:pPr>
              <w:keepNext/>
              <w:keepLines/>
              <w:jc w:val="left"/>
              <w:rPr>
                <w:rFonts w:ascii="Arial Narrow" w:hAnsi="Arial Narrow"/>
                <w:b/>
                <w:bCs/>
                <w:sz w:val="20"/>
                <w:szCs w:val="18"/>
              </w:rPr>
            </w:pPr>
            <w:bookmarkStart w:id="54" w:name="_Hlk191468393"/>
            <w:r w:rsidRPr="00403575">
              <w:rPr>
                <w:rFonts w:ascii="Arial Narrow" w:hAnsi="Arial Narrow"/>
                <w:b/>
                <w:bCs/>
                <w:sz w:val="20"/>
                <w:szCs w:val="18"/>
              </w:rPr>
              <w:t xml:space="preserve">DPMQ </w:t>
            </w:r>
            <w:bookmarkEnd w:id="54"/>
            <w:r w:rsidRPr="00403575">
              <w:rPr>
                <w:rFonts w:ascii="Arial Narrow" w:hAnsi="Arial Narrow"/>
                <w:b/>
                <w:bCs/>
                <w:sz w:val="20"/>
                <w:szCs w:val="18"/>
              </w:rPr>
              <w:t>(effective)</w:t>
            </w:r>
          </w:p>
        </w:tc>
        <w:tc>
          <w:tcPr>
            <w:tcW w:w="1046" w:type="dxa"/>
            <w:shd w:val="clear" w:color="auto" w:fill="auto"/>
            <w:vAlign w:val="center"/>
            <w:hideMark/>
          </w:tcPr>
          <w:p w14:paraId="3AF1885F" w14:textId="77777777" w:rsidR="007B6015" w:rsidRPr="00403575" w:rsidRDefault="007B6015" w:rsidP="00EF4A25">
            <w:pPr>
              <w:keepNext/>
              <w:keepLines/>
              <w:jc w:val="left"/>
              <w:rPr>
                <w:rFonts w:ascii="Arial Narrow" w:hAnsi="Arial Narrow"/>
                <w:b/>
                <w:bCs/>
                <w:sz w:val="20"/>
                <w:szCs w:val="18"/>
              </w:rPr>
            </w:pPr>
            <w:r w:rsidRPr="00403575">
              <w:rPr>
                <w:rFonts w:ascii="Arial Narrow" w:hAnsi="Arial Narrow"/>
                <w:b/>
                <w:bCs/>
                <w:sz w:val="20"/>
                <w:szCs w:val="18"/>
              </w:rPr>
              <w:t xml:space="preserve">Dispensed price/day </w:t>
            </w:r>
          </w:p>
        </w:tc>
      </w:tr>
      <w:tr w:rsidR="007B6015" w:rsidRPr="00403575" w14:paraId="62B7E3E5" w14:textId="77777777" w:rsidTr="00990D39">
        <w:trPr>
          <w:trHeight w:val="342"/>
        </w:trPr>
        <w:tc>
          <w:tcPr>
            <w:tcW w:w="1183" w:type="dxa"/>
            <w:noWrap/>
            <w:vAlign w:val="center"/>
            <w:hideMark/>
          </w:tcPr>
          <w:p w14:paraId="0A861144"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Entrectinib</w:t>
            </w:r>
          </w:p>
        </w:tc>
        <w:tc>
          <w:tcPr>
            <w:tcW w:w="800" w:type="dxa"/>
            <w:noWrap/>
            <w:vAlign w:val="center"/>
            <w:hideMark/>
          </w:tcPr>
          <w:p w14:paraId="545120EA"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200</w:t>
            </w:r>
          </w:p>
        </w:tc>
        <w:tc>
          <w:tcPr>
            <w:tcW w:w="827" w:type="dxa"/>
            <w:noWrap/>
            <w:vAlign w:val="center"/>
            <w:hideMark/>
          </w:tcPr>
          <w:p w14:paraId="47688839"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600</w:t>
            </w:r>
          </w:p>
        </w:tc>
        <w:tc>
          <w:tcPr>
            <w:tcW w:w="955" w:type="dxa"/>
            <w:noWrap/>
            <w:vAlign w:val="center"/>
            <w:hideMark/>
          </w:tcPr>
          <w:p w14:paraId="103EDD09"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3</w:t>
            </w:r>
          </w:p>
        </w:tc>
        <w:tc>
          <w:tcPr>
            <w:tcW w:w="748" w:type="dxa"/>
            <w:noWrap/>
            <w:vAlign w:val="center"/>
            <w:hideMark/>
          </w:tcPr>
          <w:p w14:paraId="56B24C14"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90</w:t>
            </w:r>
          </w:p>
        </w:tc>
        <w:tc>
          <w:tcPr>
            <w:tcW w:w="1054" w:type="dxa"/>
            <w:noWrap/>
            <w:vAlign w:val="center"/>
            <w:hideMark/>
          </w:tcPr>
          <w:p w14:paraId="111D82BF"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30</w:t>
            </w:r>
          </w:p>
        </w:tc>
        <w:tc>
          <w:tcPr>
            <w:tcW w:w="991" w:type="dxa"/>
            <w:noWrap/>
            <w:vAlign w:val="center"/>
            <w:hideMark/>
          </w:tcPr>
          <w:p w14:paraId="342D86F2" w14:textId="66F71861"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w:t>
            </w:r>
            <w:r w:rsidR="0057223D" w:rsidRPr="00C42029">
              <w:rPr>
                <w:rFonts w:ascii="Arial Narrow" w:hAnsi="Arial Narrow" w:cs="Calibri"/>
                <w:color w:val="000000"/>
                <w:spacing w:val="55"/>
                <w:w w:val="96"/>
                <w:sz w:val="20"/>
                <w:shd w:val="solid" w:color="000000" w:fill="000000"/>
                <w:fitText w:val="330" w:id="-663558141"/>
                <w14:textFill>
                  <w14:solidFill>
                    <w14:srgbClr w14:val="000000">
                      <w14:alpha w14:val="100000"/>
                    </w14:srgbClr>
                  </w14:solidFill>
                </w14:textFill>
              </w:rPr>
              <w:t>|||</w:t>
            </w:r>
            <w:r w:rsidR="0057223D" w:rsidRPr="00C42029">
              <w:rPr>
                <w:rFonts w:ascii="Arial Narrow" w:hAnsi="Arial Narrow" w:cs="Calibri"/>
                <w:color w:val="000000"/>
                <w:spacing w:val="2"/>
                <w:w w:val="96"/>
                <w:sz w:val="20"/>
                <w:shd w:val="solid" w:color="000000" w:fill="000000"/>
                <w:fitText w:val="330" w:id="-663558141"/>
                <w14:textFill>
                  <w14:solidFill>
                    <w14:srgbClr w14:val="000000">
                      <w14:alpha w14:val="100000"/>
                    </w14:srgbClr>
                  </w14:solidFill>
                </w14:textFill>
              </w:rPr>
              <w:t>|</w:t>
            </w:r>
          </w:p>
        </w:tc>
        <w:tc>
          <w:tcPr>
            <w:tcW w:w="1177" w:type="dxa"/>
            <w:noWrap/>
            <w:vAlign w:val="center"/>
            <w:hideMark/>
          </w:tcPr>
          <w:p w14:paraId="519EB62C" w14:textId="6321D292" w:rsidR="007B6015" w:rsidRPr="00403575" w:rsidRDefault="007B6015" w:rsidP="00EF4A25">
            <w:pPr>
              <w:keepNext/>
              <w:keepLines/>
              <w:jc w:val="left"/>
              <w:rPr>
                <w:rFonts w:ascii="Arial Narrow" w:hAnsi="Arial Narrow"/>
                <w:sz w:val="20"/>
                <w:szCs w:val="18"/>
              </w:rPr>
            </w:pPr>
            <w:bookmarkStart w:id="55" w:name="_Hlk191471253"/>
            <w:r w:rsidRPr="00403575">
              <w:rPr>
                <w:rFonts w:ascii="Arial Narrow" w:hAnsi="Arial Narrow" w:cs="Calibri"/>
                <w:color w:val="000000"/>
                <w:sz w:val="20"/>
              </w:rPr>
              <w:t>$</w:t>
            </w:r>
            <w:bookmarkEnd w:id="55"/>
            <w:r w:rsidR="0057223D" w:rsidRPr="00C42029">
              <w:rPr>
                <w:rFonts w:ascii="Arial Narrow" w:hAnsi="Arial Narrow" w:cs="Calibri"/>
                <w:color w:val="000000"/>
                <w:spacing w:val="55"/>
                <w:w w:val="96"/>
                <w:sz w:val="20"/>
                <w:shd w:val="solid" w:color="000000" w:fill="000000"/>
                <w:fitText w:val="330" w:id="-663558140"/>
                <w14:textFill>
                  <w14:solidFill>
                    <w14:srgbClr w14:val="000000">
                      <w14:alpha w14:val="100000"/>
                    </w14:srgbClr>
                  </w14:solidFill>
                </w14:textFill>
              </w:rPr>
              <w:t>|||</w:t>
            </w:r>
            <w:r w:rsidR="0057223D" w:rsidRPr="00C42029">
              <w:rPr>
                <w:rFonts w:ascii="Arial Narrow" w:hAnsi="Arial Narrow" w:cs="Calibri"/>
                <w:color w:val="000000"/>
                <w:spacing w:val="2"/>
                <w:w w:val="96"/>
                <w:sz w:val="20"/>
                <w:shd w:val="solid" w:color="000000" w:fill="000000"/>
                <w:fitText w:val="330" w:id="-663558140"/>
                <w14:textFill>
                  <w14:solidFill>
                    <w14:srgbClr w14:val="000000">
                      <w14:alpha w14:val="100000"/>
                    </w14:srgbClr>
                  </w14:solidFill>
                </w14:textFill>
              </w:rPr>
              <w:t>|</w:t>
            </w:r>
          </w:p>
        </w:tc>
        <w:tc>
          <w:tcPr>
            <w:tcW w:w="1046" w:type="dxa"/>
            <w:noWrap/>
            <w:vAlign w:val="center"/>
            <w:hideMark/>
          </w:tcPr>
          <w:p w14:paraId="50BFA208" w14:textId="236F2AC9"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w:t>
            </w:r>
            <w:r w:rsidR="0057223D" w:rsidRPr="00C42029">
              <w:rPr>
                <w:rFonts w:ascii="Arial Narrow" w:hAnsi="Arial Narrow" w:cs="Calibri"/>
                <w:color w:val="000000"/>
                <w:spacing w:val="55"/>
                <w:w w:val="96"/>
                <w:sz w:val="20"/>
                <w:shd w:val="solid" w:color="000000" w:fill="000000"/>
                <w:fitText w:val="330" w:id="-663558139"/>
                <w14:textFill>
                  <w14:solidFill>
                    <w14:srgbClr w14:val="000000">
                      <w14:alpha w14:val="100000"/>
                    </w14:srgbClr>
                  </w14:solidFill>
                </w14:textFill>
              </w:rPr>
              <w:t>|||</w:t>
            </w:r>
            <w:r w:rsidR="0057223D" w:rsidRPr="00C42029">
              <w:rPr>
                <w:rFonts w:ascii="Arial Narrow" w:hAnsi="Arial Narrow" w:cs="Calibri"/>
                <w:color w:val="000000"/>
                <w:spacing w:val="2"/>
                <w:w w:val="96"/>
                <w:sz w:val="20"/>
                <w:shd w:val="solid" w:color="000000" w:fill="000000"/>
                <w:fitText w:val="330" w:id="-663558139"/>
                <w14:textFill>
                  <w14:solidFill>
                    <w14:srgbClr w14:val="000000">
                      <w14:alpha w14:val="100000"/>
                    </w14:srgbClr>
                  </w14:solidFill>
                </w14:textFill>
              </w:rPr>
              <w:t>|</w:t>
            </w:r>
          </w:p>
        </w:tc>
      </w:tr>
      <w:tr w:rsidR="007B6015" w:rsidRPr="00403575" w14:paraId="22E105F2" w14:textId="77777777" w:rsidTr="00990D39">
        <w:trPr>
          <w:trHeight w:val="342"/>
        </w:trPr>
        <w:tc>
          <w:tcPr>
            <w:tcW w:w="1183" w:type="dxa"/>
            <w:noWrap/>
            <w:vAlign w:val="center"/>
            <w:hideMark/>
          </w:tcPr>
          <w:p w14:paraId="43AEC3F9"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Repotrectinib</w:t>
            </w:r>
          </w:p>
        </w:tc>
        <w:tc>
          <w:tcPr>
            <w:tcW w:w="800" w:type="dxa"/>
            <w:noWrap/>
            <w:vAlign w:val="center"/>
            <w:hideMark/>
          </w:tcPr>
          <w:p w14:paraId="22A103FF"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160</w:t>
            </w:r>
          </w:p>
        </w:tc>
        <w:tc>
          <w:tcPr>
            <w:tcW w:w="827" w:type="dxa"/>
            <w:noWrap/>
            <w:vAlign w:val="center"/>
            <w:hideMark/>
          </w:tcPr>
          <w:p w14:paraId="16230DA1"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320</w:t>
            </w:r>
          </w:p>
        </w:tc>
        <w:tc>
          <w:tcPr>
            <w:tcW w:w="955" w:type="dxa"/>
            <w:noWrap/>
            <w:vAlign w:val="center"/>
            <w:hideMark/>
          </w:tcPr>
          <w:p w14:paraId="59CE919C"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2</w:t>
            </w:r>
          </w:p>
        </w:tc>
        <w:tc>
          <w:tcPr>
            <w:tcW w:w="748" w:type="dxa"/>
            <w:noWrap/>
            <w:vAlign w:val="center"/>
            <w:hideMark/>
          </w:tcPr>
          <w:p w14:paraId="64B4E962"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60</w:t>
            </w:r>
          </w:p>
        </w:tc>
        <w:tc>
          <w:tcPr>
            <w:tcW w:w="1054" w:type="dxa"/>
            <w:noWrap/>
            <w:vAlign w:val="center"/>
            <w:hideMark/>
          </w:tcPr>
          <w:p w14:paraId="0B6A3B08" w14:textId="77777777"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30</w:t>
            </w:r>
          </w:p>
        </w:tc>
        <w:tc>
          <w:tcPr>
            <w:tcW w:w="991" w:type="dxa"/>
            <w:noWrap/>
            <w:vAlign w:val="center"/>
            <w:hideMark/>
          </w:tcPr>
          <w:p w14:paraId="05676100" w14:textId="38FDB800"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w:t>
            </w:r>
            <w:r w:rsidR="0057223D" w:rsidRPr="00C42029">
              <w:rPr>
                <w:rFonts w:ascii="Arial Narrow" w:hAnsi="Arial Narrow" w:cs="Calibri"/>
                <w:color w:val="000000"/>
                <w:spacing w:val="55"/>
                <w:w w:val="96"/>
                <w:sz w:val="20"/>
                <w:shd w:val="solid" w:color="000000" w:fill="000000"/>
                <w:fitText w:val="330" w:id="-663558138"/>
                <w14:textFill>
                  <w14:solidFill>
                    <w14:srgbClr w14:val="000000">
                      <w14:alpha w14:val="100000"/>
                    </w14:srgbClr>
                  </w14:solidFill>
                </w14:textFill>
              </w:rPr>
              <w:t>|||</w:t>
            </w:r>
            <w:r w:rsidR="0057223D" w:rsidRPr="00C42029">
              <w:rPr>
                <w:rFonts w:ascii="Arial Narrow" w:hAnsi="Arial Narrow" w:cs="Calibri"/>
                <w:color w:val="000000"/>
                <w:spacing w:val="2"/>
                <w:w w:val="96"/>
                <w:sz w:val="20"/>
                <w:shd w:val="solid" w:color="000000" w:fill="000000"/>
                <w:fitText w:val="330" w:id="-663558138"/>
                <w14:textFill>
                  <w14:solidFill>
                    <w14:srgbClr w14:val="000000">
                      <w14:alpha w14:val="100000"/>
                    </w14:srgbClr>
                  </w14:solidFill>
                </w14:textFill>
              </w:rPr>
              <w:t>|</w:t>
            </w:r>
          </w:p>
        </w:tc>
        <w:tc>
          <w:tcPr>
            <w:tcW w:w="1177" w:type="dxa"/>
            <w:noWrap/>
            <w:vAlign w:val="center"/>
            <w:hideMark/>
          </w:tcPr>
          <w:p w14:paraId="6A00EE3A" w14:textId="0486618B"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w:t>
            </w:r>
            <w:r w:rsidR="0057223D" w:rsidRPr="00C42029">
              <w:rPr>
                <w:rFonts w:ascii="Arial Narrow" w:hAnsi="Arial Narrow" w:cs="Calibri"/>
                <w:color w:val="000000"/>
                <w:spacing w:val="55"/>
                <w:w w:val="96"/>
                <w:sz w:val="20"/>
                <w:shd w:val="solid" w:color="000000" w:fill="000000"/>
                <w:fitText w:val="330" w:id="-663558137"/>
                <w14:textFill>
                  <w14:solidFill>
                    <w14:srgbClr w14:val="000000">
                      <w14:alpha w14:val="100000"/>
                    </w14:srgbClr>
                  </w14:solidFill>
                </w14:textFill>
              </w:rPr>
              <w:t>|||</w:t>
            </w:r>
            <w:r w:rsidR="0057223D" w:rsidRPr="00C42029">
              <w:rPr>
                <w:rFonts w:ascii="Arial Narrow" w:hAnsi="Arial Narrow" w:cs="Calibri"/>
                <w:color w:val="000000"/>
                <w:spacing w:val="2"/>
                <w:w w:val="96"/>
                <w:sz w:val="20"/>
                <w:shd w:val="solid" w:color="000000" w:fill="000000"/>
                <w:fitText w:val="330" w:id="-663558137"/>
                <w14:textFill>
                  <w14:solidFill>
                    <w14:srgbClr w14:val="000000">
                      <w14:alpha w14:val="100000"/>
                    </w14:srgbClr>
                  </w14:solidFill>
                </w14:textFill>
              </w:rPr>
              <w:t>|</w:t>
            </w:r>
          </w:p>
        </w:tc>
        <w:tc>
          <w:tcPr>
            <w:tcW w:w="1046" w:type="dxa"/>
            <w:noWrap/>
            <w:vAlign w:val="center"/>
            <w:hideMark/>
          </w:tcPr>
          <w:p w14:paraId="40C00DDF" w14:textId="7FC54F2C" w:rsidR="007B6015" w:rsidRPr="00403575" w:rsidRDefault="007B6015" w:rsidP="00EF4A25">
            <w:pPr>
              <w:keepNext/>
              <w:keepLines/>
              <w:jc w:val="left"/>
              <w:rPr>
                <w:rFonts w:ascii="Arial Narrow" w:hAnsi="Arial Narrow"/>
                <w:sz w:val="20"/>
                <w:szCs w:val="18"/>
              </w:rPr>
            </w:pPr>
            <w:r w:rsidRPr="00403575">
              <w:rPr>
                <w:rFonts w:ascii="Arial Narrow" w:hAnsi="Arial Narrow" w:cs="Calibri"/>
                <w:color w:val="000000"/>
                <w:sz w:val="20"/>
              </w:rPr>
              <w:t>$</w:t>
            </w:r>
            <w:r w:rsidR="0057223D" w:rsidRPr="00C42029">
              <w:rPr>
                <w:rFonts w:ascii="Arial Narrow" w:hAnsi="Arial Narrow" w:cs="Calibri"/>
                <w:color w:val="000000"/>
                <w:spacing w:val="55"/>
                <w:w w:val="96"/>
                <w:sz w:val="20"/>
                <w:shd w:val="solid" w:color="000000" w:fill="000000"/>
                <w:fitText w:val="330" w:id="-663558136"/>
                <w14:textFill>
                  <w14:solidFill>
                    <w14:srgbClr w14:val="000000">
                      <w14:alpha w14:val="100000"/>
                    </w14:srgbClr>
                  </w14:solidFill>
                </w14:textFill>
              </w:rPr>
              <w:t>|||</w:t>
            </w:r>
            <w:r w:rsidR="0057223D" w:rsidRPr="00C42029">
              <w:rPr>
                <w:rFonts w:ascii="Arial Narrow" w:hAnsi="Arial Narrow" w:cs="Calibri"/>
                <w:color w:val="000000"/>
                <w:spacing w:val="2"/>
                <w:w w:val="96"/>
                <w:sz w:val="20"/>
                <w:shd w:val="solid" w:color="000000" w:fill="000000"/>
                <w:fitText w:val="330" w:id="-663558136"/>
                <w14:textFill>
                  <w14:solidFill>
                    <w14:srgbClr w14:val="000000">
                      <w14:alpha w14:val="100000"/>
                    </w14:srgbClr>
                  </w14:solidFill>
                </w14:textFill>
              </w:rPr>
              <w:t>|</w:t>
            </w:r>
          </w:p>
        </w:tc>
      </w:tr>
    </w:tbl>
    <w:p w14:paraId="54E33D01" w14:textId="77718F34" w:rsidR="003A7621" w:rsidRDefault="00990D39" w:rsidP="00F511D9">
      <w:pPr>
        <w:pStyle w:val="TableFigureFooter"/>
        <w:rPr>
          <w:rFonts w:eastAsia="Calibri"/>
        </w:rPr>
      </w:pPr>
      <w:r w:rsidRPr="004C052E">
        <w:rPr>
          <w:rFonts w:eastAsia="Calibri"/>
        </w:rPr>
        <w:t>AEMP</w:t>
      </w:r>
      <w:r w:rsidR="00DD0702" w:rsidRPr="004C052E">
        <w:rPr>
          <w:rFonts w:eastAsia="Calibri"/>
        </w:rPr>
        <w:t xml:space="preserve"> = </w:t>
      </w:r>
      <w:r w:rsidR="00EE1DBA" w:rsidRPr="004C052E">
        <w:rPr>
          <w:rFonts w:eastAsia="Calibri"/>
        </w:rPr>
        <w:t>approved ex-manufacturer price</w:t>
      </w:r>
      <w:r w:rsidRPr="004C052E">
        <w:rPr>
          <w:rFonts w:eastAsia="Calibri"/>
        </w:rPr>
        <w:t>; DPMQ</w:t>
      </w:r>
      <w:r w:rsidR="00DD0702" w:rsidRPr="004C052E">
        <w:rPr>
          <w:rFonts w:eastAsia="Calibri"/>
        </w:rPr>
        <w:t xml:space="preserve"> = </w:t>
      </w:r>
      <w:r w:rsidR="00A74C82" w:rsidRPr="004C052E">
        <w:rPr>
          <w:rFonts w:eastAsia="Calibri"/>
        </w:rPr>
        <w:t>d</w:t>
      </w:r>
      <w:r w:rsidRPr="004C052E">
        <w:rPr>
          <w:rFonts w:eastAsia="Calibri"/>
        </w:rPr>
        <w:t xml:space="preserve">ispensed </w:t>
      </w:r>
      <w:r w:rsidR="00A74C82" w:rsidRPr="004C052E">
        <w:rPr>
          <w:rFonts w:eastAsia="Calibri"/>
        </w:rPr>
        <w:t>p</w:t>
      </w:r>
      <w:r w:rsidRPr="004C052E">
        <w:rPr>
          <w:rFonts w:eastAsia="Calibri"/>
        </w:rPr>
        <w:t xml:space="preserve">rice for </w:t>
      </w:r>
      <w:r w:rsidR="00A74C82" w:rsidRPr="004C052E">
        <w:rPr>
          <w:rFonts w:eastAsia="Calibri"/>
        </w:rPr>
        <w:t>m</w:t>
      </w:r>
      <w:r w:rsidRPr="004C052E">
        <w:rPr>
          <w:rFonts w:eastAsia="Calibri"/>
        </w:rPr>
        <w:t xml:space="preserve">aximum </w:t>
      </w:r>
      <w:r w:rsidR="00A74C82" w:rsidRPr="004C052E">
        <w:rPr>
          <w:rFonts w:eastAsia="Calibri"/>
        </w:rPr>
        <w:t>q</w:t>
      </w:r>
      <w:r w:rsidRPr="004C052E">
        <w:rPr>
          <w:rFonts w:eastAsia="Calibri"/>
        </w:rPr>
        <w:t>uantity</w:t>
      </w:r>
    </w:p>
    <w:p w14:paraId="01407B3C" w14:textId="4F398225" w:rsidR="0071408F" w:rsidRPr="007A38AF" w:rsidRDefault="0071408F" w:rsidP="00903FD7">
      <w:pPr>
        <w:pStyle w:val="3-BodyText"/>
        <w:ind w:left="709" w:hanging="709"/>
      </w:pPr>
      <w:bookmarkStart w:id="56" w:name="_Ref190686111"/>
      <w:bookmarkStart w:id="57" w:name="_Ref191364156"/>
      <w:bookmarkStart w:id="58" w:name="_Toc22897648"/>
      <w:r w:rsidRPr="007A38AF">
        <w:rPr>
          <w:szCs w:val="24"/>
        </w:rPr>
        <w:t xml:space="preserve">The issues </w:t>
      </w:r>
      <w:r w:rsidRPr="008B0EC5">
        <w:rPr>
          <w:szCs w:val="24"/>
        </w:rPr>
        <w:t xml:space="preserve">in </w:t>
      </w:r>
      <w:r w:rsidRPr="008B0EC5">
        <w:rPr>
          <w:szCs w:val="24"/>
        </w:rPr>
        <w:fldChar w:fldCharType="begin"/>
      </w:r>
      <w:r w:rsidRPr="008B0EC5">
        <w:rPr>
          <w:szCs w:val="24"/>
        </w:rPr>
        <w:instrText xml:space="preserve"> REF _Ref191473402 \r \h </w:instrText>
      </w:r>
      <w:r w:rsidR="007A38AF" w:rsidRPr="008B0EC5">
        <w:rPr>
          <w:szCs w:val="24"/>
        </w:rPr>
        <w:instrText xml:space="preserve"> \* MERGEFORMAT </w:instrText>
      </w:r>
      <w:r w:rsidRPr="008B0EC5">
        <w:rPr>
          <w:szCs w:val="24"/>
        </w:rPr>
      </w:r>
      <w:r w:rsidRPr="008B0EC5">
        <w:rPr>
          <w:szCs w:val="24"/>
        </w:rPr>
        <w:fldChar w:fldCharType="separate"/>
      </w:r>
      <w:r w:rsidR="00D32E93">
        <w:rPr>
          <w:szCs w:val="24"/>
        </w:rPr>
        <w:t>6.43</w:t>
      </w:r>
      <w:r w:rsidRPr="008B0EC5">
        <w:rPr>
          <w:szCs w:val="24"/>
        </w:rPr>
        <w:fldChar w:fldCharType="end"/>
      </w:r>
      <w:r w:rsidRPr="008B0EC5">
        <w:rPr>
          <w:szCs w:val="24"/>
        </w:rPr>
        <w:t xml:space="preserve"> and </w:t>
      </w:r>
      <w:r w:rsidRPr="008B0EC5">
        <w:rPr>
          <w:szCs w:val="24"/>
        </w:rPr>
        <w:fldChar w:fldCharType="begin"/>
      </w:r>
      <w:r w:rsidRPr="008B0EC5">
        <w:rPr>
          <w:szCs w:val="24"/>
        </w:rPr>
        <w:instrText xml:space="preserve"> REF _Ref191473406 \r \h </w:instrText>
      </w:r>
      <w:r w:rsidR="007A38AF" w:rsidRPr="008B0EC5">
        <w:rPr>
          <w:szCs w:val="24"/>
        </w:rPr>
        <w:instrText xml:space="preserve"> \* MERGEFORMAT </w:instrText>
      </w:r>
      <w:r w:rsidRPr="008B0EC5">
        <w:rPr>
          <w:szCs w:val="24"/>
        </w:rPr>
      </w:r>
      <w:r w:rsidRPr="008B0EC5">
        <w:rPr>
          <w:szCs w:val="24"/>
        </w:rPr>
        <w:fldChar w:fldCharType="separate"/>
      </w:r>
      <w:r w:rsidR="00D32E93">
        <w:rPr>
          <w:szCs w:val="24"/>
        </w:rPr>
        <w:t>6.45</w:t>
      </w:r>
      <w:r w:rsidRPr="008B0EC5">
        <w:rPr>
          <w:szCs w:val="24"/>
        </w:rPr>
        <w:fldChar w:fldCharType="end"/>
      </w:r>
      <w:r w:rsidRPr="007A38AF">
        <w:rPr>
          <w:szCs w:val="24"/>
        </w:rPr>
        <w:t xml:space="preserve"> significantly underestimate the cost of repotrectinib for patients with dose reductions</w:t>
      </w:r>
      <w:r w:rsidR="00612377" w:rsidRPr="007A38AF">
        <w:rPr>
          <w:szCs w:val="24"/>
        </w:rPr>
        <w:t xml:space="preserve"> as the cost per day of entrectinib reduces in dose reduction scenarios</w:t>
      </w:r>
      <w:r w:rsidRPr="007A38AF">
        <w:rPr>
          <w:szCs w:val="24"/>
        </w:rPr>
        <w:t xml:space="preserve">, </w:t>
      </w:r>
      <w:r w:rsidR="00DF363A" w:rsidRPr="007A38AF">
        <w:rPr>
          <w:szCs w:val="24"/>
        </w:rPr>
        <w:t>as</w:t>
      </w:r>
      <w:r w:rsidRPr="007A38AF">
        <w:rPr>
          <w:szCs w:val="24"/>
        </w:rPr>
        <w:t xml:space="preserve"> illustrated in </w:t>
      </w:r>
      <w:r w:rsidRPr="007A38AF">
        <w:rPr>
          <w:szCs w:val="24"/>
        </w:rPr>
        <w:fldChar w:fldCharType="begin"/>
      </w:r>
      <w:r w:rsidRPr="007A38AF">
        <w:rPr>
          <w:szCs w:val="24"/>
        </w:rPr>
        <w:instrText xml:space="preserve"> REF _Ref190685958 \h  \* MERGEFORMAT </w:instrText>
      </w:r>
      <w:r w:rsidRPr="007A38AF">
        <w:rPr>
          <w:szCs w:val="24"/>
        </w:rPr>
      </w:r>
      <w:r w:rsidRPr="007A38AF">
        <w:rPr>
          <w:szCs w:val="24"/>
        </w:rPr>
        <w:fldChar w:fldCharType="separate"/>
      </w:r>
      <w:r w:rsidR="00D32E93" w:rsidRPr="005931F7">
        <w:rPr>
          <w:szCs w:val="20"/>
        </w:rPr>
        <w:t xml:space="preserve">Table </w:t>
      </w:r>
      <w:r w:rsidR="00D32E93">
        <w:rPr>
          <w:noProof/>
          <w:szCs w:val="20"/>
        </w:rPr>
        <w:t>8</w:t>
      </w:r>
      <w:r w:rsidRPr="007A38AF">
        <w:rPr>
          <w:szCs w:val="24"/>
        </w:rPr>
        <w:fldChar w:fldCharType="end"/>
      </w:r>
      <w:bookmarkEnd w:id="56"/>
      <w:r w:rsidRPr="007A38AF">
        <w:rPr>
          <w:szCs w:val="24"/>
        </w:rPr>
        <w:t xml:space="preserve">. </w:t>
      </w:r>
    </w:p>
    <w:p w14:paraId="21C456C2" w14:textId="259B4782" w:rsidR="0071408F" w:rsidRPr="005931F7" w:rsidRDefault="0071408F" w:rsidP="00F05011">
      <w:pPr>
        <w:pStyle w:val="Caption"/>
        <w:rPr>
          <w:szCs w:val="20"/>
        </w:rPr>
      </w:pPr>
      <w:bookmarkStart w:id="59" w:name="_Ref190685958"/>
      <w:r w:rsidRPr="005931F7">
        <w:rPr>
          <w:szCs w:val="20"/>
        </w:rPr>
        <w:t xml:space="preserve">Table </w:t>
      </w:r>
      <w:r w:rsidRPr="005931F7">
        <w:rPr>
          <w:szCs w:val="20"/>
        </w:rPr>
        <w:fldChar w:fldCharType="begin"/>
      </w:r>
      <w:r w:rsidRPr="005931F7">
        <w:rPr>
          <w:szCs w:val="20"/>
        </w:rPr>
        <w:instrText xml:space="preserve"> SEQ Table \* ARABIC </w:instrText>
      </w:r>
      <w:r w:rsidRPr="005931F7">
        <w:rPr>
          <w:szCs w:val="20"/>
        </w:rPr>
        <w:fldChar w:fldCharType="separate"/>
      </w:r>
      <w:r w:rsidR="00D32E93">
        <w:rPr>
          <w:noProof/>
          <w:szCs w:val="20"/>
        </w:rPr>
        <w:t>8</w:t>
      </w:r>
      <w:r w:rsidRPr="005931F7">
        <w:rPr>
          <w:szCs w:val="20"/>
        </w:rPr>
        <w:fldChar w:fldCharType="end"/>
      </w:r>
      <w:bookmarkEnd w:id="59"/>
      <w:r w:rsidR="00823412" w:rsidRPr="005931F7">
        <w:rPr>
          <w:szCs w:val="20"/>
        </w:rPr>
        <w:t>:</w:t>
      </w:r>
      <w:r w:rsidRPr="005931F7">
        <w:rPr>
          <w:szCs w:val="20"/>
        </w:rPr>
        <w:t xml:space="preserve"> Daily treatment costs with repotrectinib and entrectinib </w:t>
      </w:r>
      <w:r w:rsidR="00E774D7" w:rsidRPr="005931F7">
        <w:rPr>
          <w:szCs w:val="20"/>
        </w:rPr>
        <w:t xml:space="preserve">using </w:t>
      </w:r>
      <w:r w:rsidRPr="005931F7">
        <w:rPr>
          <w:szCs w:val="20"/>
        </w:rPr>
        <w:t xml:space="preserve">sponsor-proposed price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706"/>
        <w:gridCol w:w="568"/>
        <w:gridCol w:w="850"/>
        <w:gridCol w:w="993"/>
        <w:gridCol w:w="1701"/>
        <w:gridCol w:w="567"/>
        <w:gridCol w:w="850"/>
        <w:gridCol w:w="992"/>
      </w:tblGrid>
      <w:tr w:rsidR="0071408F" w:rsidRPr="005931F7" w14:paraId="2834FEF7" w14:textId="77777777" w:rsidTr="00F05011">
        <w:trPr>
          <w:cantSplit/>
          <w:trHeight w:val="283"/>
          <w:tblHeader/>
        </w:trPr>
        <w:tc>
          <w:tcPr>
            <w:tcW w:w="840" w:type="dxa"/>
            <w:vMerge w:val="restart"/>
            <w:shd w:val="clear" w:color="auto" w:fill="auto"/>
            <w:noWrap/>
            <w:tcMar>
              <w:left w:w="28" w:type="dxa"/>
              <w:right w:w="28" w:type="dxa"/>
            </w:tcMar>
            <w:vAlign w:val="center"/>
            <w:hideMark/>
          </w:tcPr>
          <w:p w14:paraId="73B2A01B" w14:textId="60B89C71"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sz w:val="20"/>
                <w:szCs w:val="20"/>
              </w:rPr>
              <w:t>Dose reduction</w:t>
            </w:r>
          </w:p>
        </w:tc>
        <w:tc>
          <w:tcPr>
            <w:tcW w:w="4117" w:type="dxa"/>
            <w:gridSpan w:val="4"/>
            <w:shd w:val="clear" w:color="auto" w:fill="auto"/>
            <w:noWrap/>
            <w:tcMar>
              <w:left w:w="28" w:type="dxa"/>
              <w:right w:w="28" w:type="dxa"/>
            </w:tcMar>
            <w:vAlign w:val="center"/>
            <w:hideMark/>
          </w:tcPr>
          <w:p w14:paraId="26B5183B" w14:textId="77777777"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sz w:val="20"/>
                <w:szCs w:val="20"/>
              </w:rPr>
              <w:t>Entrectinib</w:t>
            </w:r>
          </w:p>
        </w:tc>
        <w:tc>
          <w:tcPr>
            <w:tcW w:w="4110" w:type="dxa"/>
            <w:gridSpan w:val="4"/>
            <w:shd w:val="clear" w:color="auto" w:fill="auto"/>
            <w:tcMar>
              <w:left w:w="28" w:type="dxa"/>
              <w:right w:w="28" w:type="dxa"/>
            </w:tcMar>
            <w:vAlign w:val="center"/>
            <w:hideMark/>
          </w:tcPr>
          <w:p w14:paraId="0C6F62FB" w14:textId="77777777"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sz w:val="20"/>
                <w:szCs w:val="20"/>
              </w:rPr>
              <w:t>Repotrectinib</w:t>
            </w:r>
          </w:p>
        </w:tc>
      </w:tr>
      <w:tr w:rsidR="00BF29F4" w:rsidRPr="005931F7" w14:paraId="260F97B6" w14:textId="77777777" w:rsidTr="00F05011">
        <w:trPr>
          <w:cantSplit/>
          <w:trHeight w:val="283"/>
          <w:tblHeader/>
        </w:trPr>
        <w:tc>
          <w:tcPr>
            <w:tcW w:w="840" w:type="dxa"/>
            <w:vMerge/>
            <w:shd w:val="clear" w:color="auto" w:fill="auto"/>
            <w:tcMar>
              <w:left w:w="28" w:type="dxa"/>
              <w:right w:w="28" w:type="dxa"/>
            </w:tcMar>
            <w:vAlign w:val="center"/>
            <w:hideMark/>
          </w:tcPr>
          <w:p w14:paraId="14262406" w14:textId="77777777" w:rsidR="0071408F" w:rsidRPr="005931F7" w:rsidRDefault="0071408F" w:rsidP="00F05011">
            <w:pPr>
              <w:keepNext/>
              <w:keepLines/>
              <w:rPr>
                <w:rFonts w:ascii="Arial Narrow" w:hAnsi="Arial Narrow" w:cs="Calibri"/>
                <w:b/>
                <w:color w:val="000000"/>
                <w:sz w:val="20"/>
                <w:szCs w:val="20"/>
              </w:rPr>
            </w:pPr>
          </w:p>
        </w:tc>
        <w:tc>
          <w:tcPr>
            <w:tcW w:w="1706" w:type="dxa"/>
            <w:shd w:val="clear" w:color="auto" w:fill="auto"/>
            <w:noWrap/>
            <w:tcMar>
              <w:left w:w="28" w:type="dxa"/>
              <w:right w:w="28" w:type="dxa"/>
            </w:tcMar>
            <w:vAlign w:val="center"/>
            <w:hideMark/>
          </w:tcPr>
          <w:p w14:paraId="1640A8F0" w14:textId="77777777"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bCs/>
                <w:color w:val="000000"/>
                <w:sz w:val="20"/>
                <w:szCs w:val="20"/>
              </w:rPr>
              <w:t>Daily dose (pack)</w:t>
            </w:r>
          </w:p>
        </w:tc>
        <w:tc>
          <w:tcPr>
            <w:tcW w:w="568" w:type="dxa"/>
            <w:shd w:val="clear" w:color="auto" w:fill="auto"/>
            <w:tcMar>
              <w:left w:w="28" w:type="dxa"/>
              <w:right w:w="28" w:type="dxa"/>
            </w:tcMar>
            <w:vAlign w:val="center"/>
          </w:tcPr>
          <w:p w14:paraId="499DBFDA" w14:textId="77777777"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color w:val="000000"/>
                <w:sz w:val="20"/>
                <w:szCs w:val="20"/>
              </w:rPr>
              <w:t>Cost/mg</w:t>
            </w:r>
          </w:p>
        </w:tc>
        <w:tc>
          <w:tcPr>
            <w:tcW w:w="850" w:type="dxa"/>
            <w:shd w:val="clear" w:color="auto" w:fill="auto"/>
            <w:tcMar>
              <w:left w:w="28" w:type="dxa"/>
              <w:right w:w="28" w:type="dxa"/>
            </w:tcMar>
            <w:vAlign w:val="center"/>
          </w:tcPr>
          <w:p w14:paraId="43D5DEAB" w14:textId="5A3DD471"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color w:val="000000"/>
                <w:sz w:val="20"/>
                <w:szCs w:val="20"/>
              </w:rPr>
              <w:t xml:space="preserve">Script </w:t>
            </w:r>
            <w:r w:rsidR="00272FDA" w:rsidRPr="005931F7">
              <w:rPr>
                <w:rFonts w:ascii="Arial Narrow" w:hAnsi="Arial Narrow" w:cs="Calibri"/>
                <w:b/>
                <w:color w:val="000000"/>
                <w:sz w:val="20"/>
                <w:szCs w:val="20"/>
              </w:rPr>
              <w:t xml:space="preserve">duration </w:t>
            </w:r>
          </w:p>
        </w:tc>
        <w:tc>
          <w:tcPr>
            <w:tcW w:w="993" w:type="dxa"/>
            <w:shd w:val="clear" w:color="auto" w:fill="auto"/>
            <w:noWrap/>
            <w:tcMar>
              <w:left w:w="28" w:type="dxa"/>
              <w:right w:w="28" w:type="dxa"/>
            </w:tcMar>
            <w:vAlign w:val="center"/>
            <w:hideMark/>
          </w:tcPr>
          <w:p w14:paraId="7ECC231B" w14:textId="1ECADE2D" w:rsidR="0071408F" w:rsidRPr="005931F7" w:rsidRDefault="00B1675A" w:rsidP="00F05011">
            <w:pPr>
              <w:keepNext/>
              <w:keepLines/>
              <w:rPr>
                <w:rFonts w:ascii="Arial Narrow" w:hAnsi="Arial Narrow" w:cs="Calibri"/>
                <w:b/>
                <w:color w:val="000000"/>
                <w:sz w:val="20"/>
                <w:szCs w:val="20"/>
              </w:rPr>
            </w:pPr>
            <w:r w:rsidRPr="005931F7">
              <w:rPr>
                <w:rFonts w:ascii="Arial Narrow" w:hAnsi="Arial Narrow" w:cs="Calibri"/>
                <w:b/>
                <w:color w:val="000000"/>
                <w:sz w:val="20"/>
                <w:szCs w:val="20"/>
              </w:rPr>
              <w:t>Dispensed price</w:t>
            </w:r>
            <w:r w:rsidR="0071408F" w:rsidRPr="005931F7">
              <w:rPr>
                <w:rFonts w:ascii="Arial Narrow" w:hAnsi="Arial Narrow" w:cs="Calibri"/>
                <w:b/>
                <w:color w:val="000000"/>
                <w:sz w:val="20"/>
                <w:szCs w:val="20"/>
              </w:rPr>
              <w:t>/day</w:t>
            </w:r>
          </w:p>
        </w:tc>
        <w:tc>
          <w:tcPr>
            <w:tcW w:w="1701" w:type="dxa"/>
            <w:shd w:val="clear" w:color="auto" w:fill="auto"/>
            <w:tcMar>
              <w:left w:w="28" w:type="dxa"/>
              <w:right w:w="28" w:type="dxa"/>
            </w:tcMar>
            <w:vAlign w:val="center"/>
            <w:hideMark/>
          </w:tcPr>
          <w:p w14:paraId="786BAC9B" w14:textId="77777777"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bCs/>
                <w:color w:val="000000"/>
                <w:sz w:val="20"/>
                <w:szCs w:val="20"/>
              </w:rPr>
              <w:t>Daily dose (pack)</w:t>
            </w:r>
          </w:p>
        </w:tc>
        <w:tc>
          <w:tcPr>
            <w:tcW w:w="567" w:type="dxa"/>
            <w:shd w:val="clear" w:color="auto" w:fill="auto"/>
            <w:tcMar>
              <w:left w:w="28" w:type="dxa"/>
              <w:right w:w="28" w:type="dxa"/>
            </w:tcMar>
            <w:vAlign w:val="center"/>
            <w:hideMark/>
          </w:tcPr>
          <w:p w14:paraId="55C9A26E" w14:textId="77777777"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color w:val="000000"/>
                <w:sz w:val="20"/>
                <w:szCs w:val="20"/>
              </w:rPr>
              <w:t>Cost/mg</w:t>
            </w:r>
          </w:p>
        </w:tc>
        <w:tc>
          <w:tcPr>
            <w:tcW w:w="850" w:type="dxa"/>
            <w:shd w:val="clear" w:color="auto" w:fill="auto"/>
            <w:tcMar>
              <w:left w:w="28" w:type="dxa"/>
              <w:right w:w="28" w:type="dxa"/>
            </w:tcMar>
            <w:vAlign w:val="center"/>
            <w:hideMark/>
          </w:tcPr>
          <w:p w14:paraId="336933FF" w14:textId="110BD6DC" w:rsidR="0071408F" w:rsidRPr="005931F7" w:rsidRDefault="0071408F" w:rsidP="00F05011">
            <w:pPr>
              <w:keepNext/>
              <w:keepLines/>
              <w:rPr>
                <w:rFonts w:ascii="Arial Narrow" w:hAnsi="Arial Narrow" w:cs="Calibri"/>
                <w:b/>
                <w:color w:val="000000"/>
                <w:sz w:val="20"/>
                <w:szCs w:val="20"/>
              </w:rPr>
            </w:pPr>
            <w:r w:rsidRPr="005931F7">
              <w:rPr>
                <w:rFonts w:ascii="Arial Narrow" w:hAnsi="Arial Narrow" w:cs="Calibri"/>
                <w:b/>
                <w:color w:val="000000"/>
                <w:sz w:val="20"/>
                <w:szCs w:val="20"/>
              </w:rPr>
              <w:t xml:space="preserve">Script </w:t>
            </w:r>
            <w:r w:rsidR="00BF3127" w:rsidRPr="005931F7">
              <w:rPr>
                <w:rFonts w:ascii="Arial Narrow" w:hAnsi="Arial Narrow" w:cs="Calibri"/>
                <w:b/>
                <w:color w:val="000000"/>
                <w:sz w:val="20"/>
                <w:szCs w:val="20"/>
              </w:rPr>
              <w:t>duration</w:t>
            </w:r>
          </w:p>
        </w:tc>
        <w:tc>
          <w:tcPr>
            <w:tcW w:w="992" w:type="dxa"/>
            <w:shd w:val="clear" w:color="auto" w:fill="auto"/>
            <w:tcMar>
              <w:left w:w="28" w:type="dxa"/>
              <w:right w:w="28" w:type="dxa"/>
            </w:tcMar>
            <w:vAlign w:val="center"/>
            <w:hideMark/>
          </w:tcPr>
          <w:p w14:paraId="65FC95E6" w14:textId="387CA126" w:rsidR="0071408F" w:rsidRPr="005931F7" w:rsidRDefault="00B1675A" w:rsidP="00F05011">
            <w:pPr>
              <w:keepNext/>
              <w:keepLines/>
              <w:rPr>
                <w:rFonts w:ascii="Arial Narrow" w:hAnsi="Arial Narrow" w:cs="Calibri"/>
                <w:b/>
                <w:color w:val="000000"/>
                <w:sz w:val="20"/>
                <w:szCs w:val="20"/>
              </w:rPr>
            </w:pPr>
            <w:r w:rsidRPr="005931F7">
              <w:rPr>
                <w:rFonts w:ascii="Arial Narrow" w:hAnsi="Arial Narrow" w:cs="Calibri"/>
                <w:b/>
                <w:color w:val="000000"/>
                <w:sz w:val="20"/>
                <w:szCs w:val="20"/>
              </w:rPr>
              <w:t>Dispensed price</w:t>
            </w:r>
            <w:r w:rsidR="0071408F" w:rsidRPr="005931F7">
              <w:rPr>
                <w:rFonts w:ascii="Arial Narrow" w:hAnsi="Arial Narrow" w:cs="Calibri"/>
                <w:b/>
                <w:color w:val="000000"/>
                <w:sz w:val="20"/>
                <w:szCs w:val="20"/>
              </w:rPr>
              <w:t>/day</w:t>
            </w:r>
          </w:p>
        </w:tc>
      </w:tr>
      <w:tr w:rsidR="00BF29F4" w:rsidRPr="005931F7" w14:paraId="7993BAA0" w14:textId="77777777" w:rsidTr="00F05011">
        <w:trPr>
          <w:trHeight w:val="283"/>
        </w:trPr>
        <w:tc>
          <w:tcPr>
            <w:tcW w:w="840" w:type="dxa"/>
            <w:shd w:val="clear" w:color="auto" w:fill="auto"/>
            <w:noWrap/>
            <w:tcMar>
              <w:left w:w="28" w:type="dxa"/>
              <w:right w:w="28" w:type="dxa"/>
            </w:tcMar>
            <w:vAlign w:val="center"/>
          </w:tcPr>
          <w:p w14:paraId="3F3BDDF6" w14:textId="30BB41F0"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None</w:t>
            </w:r>
          </w:p>
        </w:tc>
        <w:tc>
          <w:tcPr>
            <w:tcW w:w="1706" w:type="dxa"/>
            <w:shd w:val="clear" w:color="auto" w:fill="auto"/>
            <w:noWrap/>
            <w:tcMar>
              <w:left w:w="28" w:type="dxa"/>
              <w:right w:w="28" w:type="dxa"/>
            </w:tcMar>
            <w:vAlign w:val="center"/>
          </w:tcPr>
          <w:p w14:paraId="76BEECB9" w14:textId="3F45750D" w:rsidR="0071408F" w:rsidRPr="005931F7" w:rsidRDefault="0071408F" w:rsidP="00F05011">
            <w:pPr>
              <w:keepNext/>
              <w:keepLines/>
              <w:jc w:val="center"/>
              <w:rPr>
                <w:rFonts w:ascii="Arial Narrow" w:hAnsi="Arial Narrow" w:cs="Calibri"/>
                <w:color w:val="000000"/>
                <w:sz w:val="20"/>
                <w:szCs w:val="20"/>
              </w:rPr>
            </w:pPr>
            <w:r w:rsidRPr="005931F7">
              <w:rPr>
                <w:rFonts w:ascii="Arial Narrow" w:hAnsi="Arial Narrow" w:cs="Calibri"/>
                <w:color w:val="000000"/>
                <w:sz w:val="20"/>
                <w:szCs w:val="20"/>
              </w:rPr>
              <w:t xml:space="preserve">600 mg (200 mg </w:t>
            </w:r>
            <w:r w:rsidR="004F0DC7" w:rsidRPr="005931F7">
              <w:rPr>
                <w:rFonts w:ascii="Arial Narrow" w:hAnsi="Arial Narrow" w:cs="Calibri"/>
                <w:color w:val="000000"/>
                <w:sz w:val="20"/>
                <w:szCs w:val="20"/>
              </w:rPr>
              <w:t>x</w:t>
            </w:r>
            <w:r w:rsidR="00BF29F4" w:rsidRPr="005931F7">
              <w:rPr>
                <w:rFonts w:ascii="Arial Narrow" w:hAnsi="Arial Narrow" w:cs="Calibri"/>
                <w:color w:val="000000"/>
                <w:sz w:val="20"/>
                <w:szCs w:val="20"/>
              </w:rPr>
              <w:t xml:space="preserve"> </w:t>
            </w:r>
            <w:r w:rsidRPr="005931F7">
              <w:rPr>
                <w:rFonts w:ascii="Arial Narrow" w:hAnsi="Arial Narrow" w:cs="Calibri"/>
                <w:color w:val="000000"/>
                <w:sz w:val="20"/>
                <w:szCs w:val="20"/>
              </w:rPr>
              <w:t>90)</w:t>
            </w:r>
          </w:p>
        </w:tc>
        <w:tc>
          <w:tcPr>
            <w:tcW w:w="568" w:type="dxa"/>
            <w:shd w:val="clear" w:color="auto" w:fill="auto"/>
            <w:tcMar>
              <w:left w:w="28" w:type="dxa"/>
              <w:right w:w="28" w:type="dxa"/>
            </w:tcMar>
            <w:vAlign w:val="center"/>
          </w:tcPr>
          <w:p w14:paraId="158C648E" w14:textId="3A8DE597" w:rsidR="0071408F" w:rsidRPr="005931F7" w:rsidRDefault="0071408F" w:rsidP="00F05011">
            <w:pPr>
              <w:keepNext/>
              <w:keepLines/>
              <w:jc w:val="center"/>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hint="eastAsia"/>
                <w:color w:val="000000"/>
                <w:spacing w:val="30"/>
                <w:w w:val="15"/>
                <w:sz w:val="20"/>
                <w:szCs w:val="20"/>
                <w:shd w:val="solid" w:color="000000" w:fill="000000"/>
                <w:fitText w:val="60" w:id="-663558135"/>
                <w14:textFill>
                  <w14:solidFill>
                    <w14:srgbClr w14:val="000000">
                      <w14:alpha w14:val="100000"/>
                    </w14:srgbClr>
                  </w14:solidFill>
                </w14:textFill>
              </w:rPr>
              <w:t xml:space="preserve">　</w:t>
            </w:r>
            <w:r w:rsidR="0057223D" w:rsidRPr="00C42029">
              <w:rPr>
                <w:rFonts w:ascii="Arial Narrow" w:hAnsi="Arial Narrow" w:cs="Calibri" w:hint="eastAsia"/>
                <w:color w:val="000000"/>
                <w:w w:val="15"/>
                <w:sz w:val="20"/>
                <w:szCs w:val="20"/>
                <w:shd w:val="solid" w:color="000000" w:fill="000000"/>
                <w:fitText w:val="30" w:id="-663558134"/>
                <w14:textFill>
                  <w14:solidFill>
                    <w14:srgbClr w14:val="000000">
                      <w14:alpha w14:val="100000"/>
                    </w14:srgbClr>
                  </w14:solidFill>
                </w14:textFill>
              </w:rPr>
              <w:t xml:space="preserve">　</w:t>
            </w:r>
            <w:r w:rsidR="0057223D" w:rsidRPr="00C42029">
              <w:rPr>
                <w:rFonts w:ascii="Arial Narrow" w:hAnsi="Arial Narrow" w:cs="Calibri"/>
                <w:color w:val="000000"/>
                <w:w w:val="15"/>
                <w:sz w:val="20"/>
                <w:szCs w:val="20"/>
                <w:shd w:val="solid" w:color="000000" w:fill="000000"/>
                <w:fitText w:val="30" w:id="-663558134"/>
                <w14:textFill>
                  <w14:solidFill>
                    <w14:srgbClr w14:val="000000">
                      <w14:alpha w14:val="100000"/>
                    </w14:srgbClr>
                  </w14:solidFill>
                </w14:textFill>
              </w:rPr>
              <w:t>|</w:t>
            </w:r>
            <w:r w:rsidR="0057223D" w:rsidRPr="00C42029">
              <w:rPr>
                <w:rFonts w:ascii="Arial Narrow" w:hAnsi="Arial Narrow" w:cs="Calibri" w:hint="eastAsia"/>
                <w:color w:val="000000"/>
                <w:spacing w:val="-35"/>
                <w:w w:val="15"/>
                <w:sz w:val="20"/>
                <w:szCs w:val="20"/>
                <w:shd w:val="solid" w:color="000000" w:fill="000000"/>
                <w:fitText w:val="30" w:id="-663558134"/>
                <w14:textFill>
                  <w14:solidFill>
                    <w14:srgbClr w14:val="000000">
                      <w14:alpha w14:val="100000"/>
                    </w14:srgbClr>
                  </w14:solidFill>
                </w14:textFill>
              </w:rPr>
              <w:t xml:space="preserve">　</w:t>
            </w:r>
          </w:p>
        </w:tc>
        <w:tc>
          <w:tcPr>
            <w:tcW w:w="850" w:type="dxa"/>
            <w:shd w:val="clear" w:color="auto" w:fill="auto"/>
            <w:tcMar>
              <w:left w:w="28" w:type="dxa"/>
              <w:right w:w="28" w:type="dxa"/>
            </w:tcMar>
            <w:vAlign w:val="center"/>
          </w:tcPr>
          <w:p w14:paraId="45FA4C11" w14:textId="77777777"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30 days</w:t>
            </w:r>
          </w:p>
        </w:tc>
        <w:tc>
          <w:tcPr>
            <w:tcW w:w="993" w:type="dxa"/>
            <w:shd w:val="clear" w:color="auto" w:fill="auto"/>
            <w:tcMar>
              <w:left w:w="28" w:type="dxa"/>
              <w:right w:w="28" w:type="dxa"/>
            </w:tcMar>
            <w:vAlign w:val="center"/>
          </w:tcPr>
          <w:p w14:paraId="2E44EFA9" w14:textId="235716F5"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spacing w:val="9"/>
                <w:sz w:val="20"/>
                <w:szCs w:val="20"/>
                <w:shd w:val="solid" w:color="000000" w:fill="000000"/>
                <w:fitText w:val="310" w:id="-663558133"/>
                <w14:textFill>
                  <w14:solidFill>
                    <w14:srgbClr w14:val="000000">
                      <w14:alpha w14:val="100000"/>
                    </w14:srgbClr>
                  </w14:solidFill>
                </w14:textFill>
              </w:rPr>
              <w:t>||  ||</w:t>
            </w:r>
          </w:p>
        </w:tc>
        <w:tc>
          <w:tcPr>
            <w:tcW w:w="1701" w:type="dxa"/>
            <w:shd w:val="clear" w:color="auto" w:fill="auto"/>
            <w:noWrap/>
            <w:tcMar>
              <w:left w:w="28" w:type="dxa"/>
              <w:right w:w="28" w:type="dxa"/>
            </w:tcMar>
            <w:vAlign w:val="center"/>
          </w:tcPr>
          <w:p w14:paraId="25AAE4D0" w14:textId="66033ED6"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 xml:space="preserve">320 mg (160 mg </w:t>
            </w:r>
            <w:r w:rsidR="004F0DC7" w:rsidRPr="005931F7">
              <w:rPr>
                <w:rFonts w:ascii="Arial Narrow" w:hAnsi="Arial Narrow" w:cs="Calibri"/>
                <w:color w:val="000000"/>
                <w:sz w:val="20"/>
                <w:szCs w:val="20"/>
              </w:rPr>
              <w:t>x</w:t>
            </w:r>
            <w:r w:rsidR="00BF29F4" w:rsidRPr="005931F7">
              <w:rPr>
                <w:rFonts w:ascii="Arial Narrow" w:hAnsi="Arial Narrow" w:cs="Calibri"/>
                <w:color w:val="000000"/>
                <w:sz w:val="20"/>
                <w:szCs w:val="20"/>
              </w:rPr>
              <w:t xml:space="preserve"> </w:t>
            </w:r>
            <w:r w:rsidRPr="005931F7">
              <w:rPr>
                <w:rFonts w:ascii="Arial Narrow" w:hAnsi="Arial Narrow" w:cs="Calibri"/>
                <w:color w:val="000000"/>
                <w:sz w:val="20"/>
                <w:szCs w:val="20"/>
              </w:rPr>
              <w:t>60)</w:t>
            </w:r>
          </w:p>
        </w:tc>
        <w:tc>
          <w:tcPr>
            <w:tcW w:w="567" w:type="dxa"/>
            <w:shd w:val="clear" w:color="auto" w:fill="auto"/>
            <w:tcMar>
              <w:left w:w="28" w:type="dxa"/>
              <w:right w:w="28" w:type="dxa"/>
            </w:tcMar>
            <w:vAlign w:val="center"/>
          </w:tcPr>
          <w:p w14:paraId="2818BECE" w14:textId="6E01B9AB"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w w:val="61"/>
                <w:sz w:val="20"/>
                <w:szCs w:val="20"/>
                <w:shd w:val="solid" w:color="000000" w:fill="000000"/>
                <w:fitText w:val="160" w:id="-663558131"/>
                <w14:textFill>
                  <w14:solidFill>
                    <w14:srgbClr w14:val="000000">
                      <w14:alpha w14:val="100000"/>
                    </w14:srgbClr>
                  </w14:solidFill>
                </w14:textFill>
              </w:rPr>
              <w:t>||  ||</w:t>
            </w:r>
          </w:p>
        </w:tc>
        <w:tc>
          <w:tcPr>
            <w:tcW w:w="850" w:type="dxa"/>
            <w:shd w:val="clear" w:color="auto" w:fill="auto"/>
            <w:tcMar>
              <w:left w:w="28" w:type="dxa"/>
              <w:right w:w="28" w:type="dxa"/>
            </w:tcMar>
            <w:vAlign w:val="center"/>
          </w:tcPr>
          <w:p w14:paraId="585CA400" w14:textId="77777777"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30 days</w:t>
            </w:r>
          </w:p>
        </w:tc>
        <w:tc>
          <w:tcPr>
            <w:tcW w:w="992" w:type="dxa"/>
            <w:shd w:val="clear" w:color="auto" w:fill="auto"/>
            <w:tcMar>
              <w:left w:w="28" w:type="dxa"/>
              <w:right w:w="28" w:type="dxa"/>
            </w:tcMar>
            <w:vAlign w:val="center"/>
          </w:tcPr>
          <w:p w14:paraId="750C728E" w14:textId="5466F58D"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spacing w:val="9"/>
                <w:sz w:val="20"/>
                <w:szCs w:val="20"/>
                <w:shd w:val="solid" w:color="000000" w:fill="000000"/>
                <w:fitText w:val="310" w:id="-663558130"/>
                <w14:textFill>
                  <w14:solidFill>
                    <w14:srgbClr w14:val="000000">
                      <w14:alpha w14:val="100000"/>
                    </w14:srgbClr>
                  </w14:solidFill>
                </w14:textFill>
              </w:rPr>
              <w:t>||  ||</w:t>
            </w:r>
          </w:p>
        </w:tc>
      </w:tr>
      <w:tr w:rsidR="00BF29F4" w:rsidRPr="005931F7" w14:paraId="21607EC9" w14:textId="77777777" w:rsidTr="00F05011">
        <w:trPr>
          <w:trHeight w:val="283"/>
        </w:trPr>
        <w:tc>
          <w:tcPr>
            <w:tcW w:w="840" w:type="dxa"/>
            <w:shd w:val="clear" w:color="auto" w:fill="auto"/>
            <w:noWrap/>
            <w:tcMar>
              <w:left w:w="28" w:type="dxa"/>
              <w:right w:w="28" w:type="dxa"/>
            </w:tcMar>
            <w:vAlign w:val="center"/>
            <w:hideMark/>
          </w:tcPr>
          <w:p w14:paraId="336B94DF" w14:textId="77777777" w:rsidR="0071408F" w:rsidRPr="005931F7" w:rsidRDefault="0071408F" w:rsidP="00F05011">
            <w:pPr>
              <w:keepNext/>
              <w:keepLines/>
              <w:rPr>
                <w:rFonts w:ascii="Arial Narrow" w:hAnsi="Arial Narrow" w:cs="Calibri"/>
                <w:color w:val="000000"/>
                <w:sz w:val="20"/>
                <w:szCs w:val="20"/>
              </w:rPr>
            </w:pPr>
            <w:bookmarkStart w:id="60" w:name="_Hlk191474353"/>
            <w:r w:rsidRPr="005931F7">
              <w:rPr>
                <w:rFonts w:ascii="Arial Narrow" w:hAnsi="Arial Narrow" w:cs="Calibri"/>
                <w:color w:val="000000"/>
                <w:sz w:val="20"/>
                <w:szCs w:val="20"/>
              </w:rPr>
              <w:t>First</w:t>
            </w:r>
          </w:p>
        </w:tc>
        <w:tc>
          <w:tcPr>
            <w:tcW w:w="1706" w:type="dxa"/>
            <w:shd w:val="clear" w:color="auto" w:fill="auto"/>
            <w:noWrap/>
            <w:tcMar>
              <w:left w:w="28" w:type="dxa"/>
              <w:right w:w="28" w:type="dxa"/>
            </w:tcMar>
            <w:vAlign w:val="center"/>
            <w:hideMark/>
          </w:tcPr>
          <w:p w14:paraId="413AF585" w14:textId="61CE3DD2" w:rsidR="0071408F" w:rsidRPr="005931F7" w:rsidRDefault="0071408F" w:rsidP="00F05011">
            <w:pPr>
              <w:keepNext/>
              <w:keepLines/>
              <w:jc w:val="center"/>
              <w:rPr>
                <w:rFonts w:ascii="Arial Narrow" w:hAnsi="Arial Narrow" w:cs="Calibri"/>
                <w:color w:val="000000"/>
                <w:sz w:val="20"/>
                <w:szCs w:val="20"/>
              </w:rPr>
            </w:pPr>
            <w:r w:rsidRPr="005931F7">
              <w:rPr>
                <w:rFonts w:ascii="Arial Narrow" w:hAnsi="Arial Narrow" w:cs="Calibri"/>
                <w:color w:val="000000"/>
                <w:sz w:val="20"/>
                <w:szCs w:val="20"/>
              </w:rPr>
              <w:t xml:space="preserve">400 mg (200 mg </w:t>
            </w:r>
            <w:r w:rsidR="004F0DC7" w:rsidRPr="005931F7">
              <w:rPr>
                <w:rFonts w:ascii="Arial Narrow" w:hAnsi="Arial Narrow" w:cs="Calibri"/>
                <w:color w:val="000000"/>
                <w:sz w:val="20"/>
                <w:szCs w:val="20"/>
              </w:rPr>
              <w:t>x</w:t>
            </w:r>
            <w:r w:rsidR="00BF29F4" w:rsidRPr="005931F7">
              <w:rPr>
                <w:rFonts w:ascii="Arial Narrow" w:hAnsi="Arial Narrow" w:cs="Calibri"/>
                <w:color w:val="000000"/>
                <w:sz w:val="20"/>
                <w:szCs w:val="20"/>
              </w:rPr>
              <w:t xml:space="preserve"> </w:t>
            </w:r>
            <w:r w:rsidRPr="005931F7">
              <w:rPr>
                <w:rFonts w:ascii="Arial Narrow" w:hAnsi="Arial Narrow" w:cs="Calibri"/>
                <w:color w:val="000000"/>
                <w:sz w:val="20"/>
                <w:szCs w:val="20"/>
              </w:rPr>
              <w:t>90</w:t>
            </w:r>
            <w:r w:rsidR="00BF29F4" w:rsidRPr="005931F7">
              <w:rPr>
                <w:rFonts w:ascii="Arial Narrow" w:hAnsi="Arial Narrow" w:cs="Calibri"/>
                <w:color w:val="000000"/>
                <w:sz w:val="20"/>
                <w:szCs w:val="20"/>
              </w:rPr>
              <w:t>)</w:t>
            </w:r>
          </w:p>
        </w:tc>
        <w:tc>
          <w:tcPr>
            <w:tcW w:w="568" w:type="dxa"/>
            <w:shd w:val="clear" w:color="auto" w:fill="auto"/>
            <w:tcMar>
              <w:left w:w="28" w:type="dxa"/>
              <w:right w:w="28" w:type="dxa"/>
            </w:tcMar>
            <w:vAlign w:val="center"/>
            <w:hideMark/>
          </w:tcPr>
          <w:p w14:paraId="0DE9C63D" w14:textId="38247CE4" w:rsidR="0071408F" w:rsidRPr="005931F7" w:rsidRDefault="0071408F" w:rsidP="00F05011">
            <w:pPr>
              <w:keepNext/>
              <w:keepLines/>
              <w:jc w:val="center"/>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hint="eastAsia"/>
                <w:color w:val="000000"/>
                <w:spacing w:val="30"/>
                <w:w w:val="15"/>
                <w:sz w:val="20"/>
                <w:szCs w:val="20"/>
                <w:shd w:val="solid" w:color="000000" w:fill="000000"/>
                <w:fitText w:val="60" w:id="-663558129"/>
                <w14:textFill>
                  <w14:solidFill>
                    <w14:srgbClr w14:val="000000">
                      <w14:alpha w14:val="100000"/>
                    </w14:srgbClr>
                  </w14:solidFill>
                </w14:textFill>
              </w:rPr>
              <w:t xml:space="preserve">　</w:t>
            </w:r>
            <w:r w:rsidR="0057223D" w:rsidRPr="00C42029">
              <w:rPr>
                <w:rFonts w:ascii="Arial Narrow" w:hAnsi="Arial Narrow" w:cs="Calibri" w:hint="eastAsia"/>
                <w:color w:val="000000"/>
                <w:w w:val="15"/>
                <w:sz w:val="20"/>
                <w:szCs w:val="20"/>
                <w:shd w:val="solid" w:color="000000" w:fill="000000"/>
                <w:fitText w:val="30" w:id="-663558128"/>
                <w14:textFill>
                  <w14:solidFill>
                    <w14:srgbClr w14:val="000000">
                      <w14:alpha w14:val="100000"/>
                    </w14:srgbClr>
                  </w14:solidFill>
                </w14:textFill>
              </w:rPr>
              <w:t xml:space="preserve">　</w:t>
            </w:r>
            <w:r w:rsidR="0057223D" w:rsidRPr="00C42029">
              <w:rPr>
                <w:rFonts w:ascii="Arial Narrow" w:hAnsi="Arial Narrow" w:cs="Calibri"/>
                <w:color w:val="000000"/>
                <w:w w:val="15"/>
                <w:sz w:val="20"/>
                <w:szCs w:val="20"/>
                <w:shd w:val="solid" w:color="000000" w:fill="000000"/>
                <w:fitText w:val="30" w:id="-663558128"/>
                <w14:textFill>
                  <w14:solidFill>
                    <w14:srgbClr w14:val="000000">
                      <w14:alpha w14:val="100000"/>
                    </w14:srgbClr>
                  </w14:solidFill>
                </w14:textFill>
              </w:rPr>
              <w:t>|</w:t>
            </w:r>
            <w:r w:rsidR="0057223D" w:rsidRPr="00C42029">
              <w:rPr>
                <w:rFonts w:ascii="Arial Narrow" w:hAnsi="Arial Narrow" w:cs="Calibri" w:hint="eastAsia"/>
                <w:color w:val="000000"/>
                <w:spacing w:val="-35"/>
                <w:w w:val="15"/>
                <w:sz w:val="20"/>
                <w:szCs w:val="20"/>
                <w:shd w:val="solid" w:color="000000" w:fill="000000"/>
                <w:fitText w:val="30" w:id="-663558128"/>
                <w14:textFill>
                  <w14:solidFill>
                    <w14:srgbClr w14:val="000000">
                      <w14:alpha w14:val="100000"/>
                    </w14:srgbClr>
                  </w14:solidFill>
                </w14:textFill>
              </w:rPr>
              <w:t xml:space="preserve">　</w:t>
            </w:r>
          </w:p>
        </w:tc>
        <w:tc>
          <w:tcPr>
            <w:tcW w:w="850" w:type="dxa"/>
            <w:shd w:val="clear" w:color="auto" w:fill="auto"/>
            <w:tcMar>
              <w:left w:w="28" w:type="dxa"/>
              <w:right w:w="28" w:type="dxa"/>
            </w:tcMar>
            <w:vAlign w:val="center"/>
          </w:tcPr>
          <w:p w14:paraId="5C66BA3F" w14:textId="77777777"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45 days</w:t>
            </w:r>
          </w:p>
        </w:tc>
        <w:tc>
          <w:tcPr>
            <w:tcW w:w="993" w:type="dxa"/>
            <w:shd w:val="clear" w:color="auto" w:fill="auto"/>
            <w:tcMar>
              <w:left w:w="28" w:type="dxa"/>
              <w:right w:w="28" w:type="dxa"/>
            </w:tcMar>
            <w:vAlign w:val="center"/>
            <w:hideMark/>
          </w:tcPr>
          <w:p w14:paraId="6C03E38B" w14:textId="38815355"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spacing w:val="9"/>
                <w:sz w:val="20"/>
                <w:szCs w:val="20"/>
                <w:shd w:val="solid" w:color="000000" w:fill="000000"/>
                <w:fitText w:val="310" w:id="-663558144"/>
                <w14:textFill>
                  <w14:solidFill>
                    <w14:srgbClr w14:val="000000">
                      <w14:alpha w14:val="100000"/>
                    </w14:srgbClr>
                  </w14:solidFill>
                </w14:textFill>
              </w:rPr>
              <w:t>||  ||</w:t>
            </w:r>
          </w:p>
        </w:tc>
        <w:tc>
          <w:tcPr>
            <w:tcW w:w="1701" w:type="dxa"/>
            <w:shd w:val="clear" w:color="auto" w:fill="auto"/>
            <w:noWrap/>
            <w:tcMar>
              <w:left w:w="28" w:type="dxa"/>
              <w:right w:w="28" w:type="dxa"/>
            </w:tcMar>
            <w:vAlign w:val="center"/>
            <w:hideMark/>
          </w:tcPr>
          <w:p w14:paraId="6C3D3179" w14:textId="258E7781"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 xml:space="preserve">240 mg (40 mg </w:t>
            </w:r>
            <w:r w:rsidR="004F0DC7" w:rsidRPr="005931F7">
              <w:rPr>
                <w:rFonts w:ascii="Arial Narrow" w:hAnsi="Arial Narrow" w:cs="Calibri"/>
                <w:color w:val="000000"/>
                <w:sz w:val="20"/>
                <w:szCs w:val="20"/>
              </w:rPr>
              <w:t>x</w:t>
            </w:r>
            <w:r w:rsidR="00BF29F4" w:rsidRPr="005931F7">
              <w:rPr>
                <w:rFonts w:ascii="Arial Narrow" w:hAnsi="Arial Narrow" w:cs="Calibri"/>
                <w:color w:val="000000"/>
                <w:sz w:val="20"/>
                <w:szCs w:val="20"/>
              </w:rPr>
              <w:t xml:space="preserve"> </w:t>
            </w:r>
            <w:r w:rsidRPr="005931F7">
              <w:rPr>
                <w:rFonts w:ascii="Arial Narrow" w:hAnsi="Arial Narrow" w:cs="Calibri"/>
                <w:color w:val="000000"/>
                <w:sz w:val="20"/>
                <w:szCs w:val="20"/>
              </w:rPr>
              <w:t>120)</w:t>
            </w:r>
          </w:p>
        </w:tc>
        <w:tc>
          <w:tcPr>
            <w:tcW w:w="567" w:type="dxa"/>
            <w:shd w:val="clear" w:color="auto" w:fill="auto"/>
            <w:tcMar>
              <w:left w:w="28" w:type="dxa"/>
              <w:right w:w="28" w:type="dxa"/>
            </w:tcMar>
            <w:vAlign w:val="center"/>
          </w:tcPr>
          <w:p w14:paraId="029FD10B" w14:textId="09BF1ED5"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w w:val="61"/>
                <w:sz w:val="20"/>
                <w:szCs w:val="20"/>
                <w:shd w:val="solid" w:color="000000" w:fill="000000"/>
                <w:fitText w:val="160" w:id="-663558142"/>
                <w14:textFill>
                  <w14:solidFill>
                    <w14:srgbClr w14:val="000000">
                      <w14:alpha w14:val="100000"/>
                    </w14:srgbClr>
                  </w14:solidFill>
                </w14:textFill>
              </w:rPr>
              <w:t>||  ||</w:t>
            </w:r>
          </w:p>
        </w:tc>
        <w:tc>
          <w:tcPr>
            <w:tcW w:w="850" w:type="dxa"/>
            <w:shd w:val="clear" w:color="auto" w:fill="auto"/>
            <w:tcMar>
              <w:left w:w="28" w:type="dxa"/>
              <w:right w:w="28" w:type="dxa"/>
            </w:tcMar>
            <w:vAlign w:val="center"/>
            <w:hideMark/>
          </w:tcPr>
          <w:p w14:paraId="48233DA1" w14:textId="77777777"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20 days</w:t>
            </w:r>
          </w:p>
        </w:tc>
        <w:tc>
          <w:tcPr>
            <w:tcW w:w="992" w:type="dxa"/>
            <w:shd w:val="clear" w:color="auto" w:fill="auto"/>
            <w:tcMar>
              <w:left w:w="28" w:type="dxa"/>
              <w:right w:w="28" w:type="dxa"/>
            </w:tcMar>
            <w:vAlign w:val="center"/>
            <w:hideMark/>
          </w:tcPr>
          <w:p w14:paraId="0B0030E5" w14:textId="1502EAA2"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spacing w:val="9"/>
                <w:sz w:val="20"/>
                <w:szCs w:val="20"/>
                <w:shd w:val="solid" w:color="000000" w:fill="000000"/>
                <w:fitText w:val="310" w:id="-663558141"/>
                <w14:textFill>
                  <w14:solidFill>
                    <w14:srgbClr w14:val="000000">
                      <w14:alpha w14:val="100000"/>
                    </w14:srgbClr>
                  </w14:solidFill>
                </w14:textFill>
              </w:rPr>
              <w:t>||  ||</w:t>
            </w:r>
          </w:p>
        </w:tc>
      </w:tr>
      <w:bookmarkEnd w:id="60"/>
      <w:tr w:rsidR="00BF29F4" w:rsidRPr="005931F7" w14:paraId="4A8D65E1" w14:textId="77777777" w:rsidTr="00F05011">
        <w:trPr>
          <w:trHeight w:val="283"/>
        </w:trPr>
        <w:tc>
          <w:tcPr>
            <w:tcW w:w="840" w:type="dxa"/>
            <w:shd w:val="clear" w:color="auto" w:fill="auto"/>
            <w:noWrap/>
            <w:tcMar>
              <w:left w:w="28" w:type="dxa"/>
              <w:right w:w="28" w:type="dxa"/>
            </w:tcMar>
            <w:vAlign w:val="center"/>
            <w:hideMark/>
          </w:tcPr>
          <w:p w14:paraId="0DECA456" w14:textId="77777777"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Second</w:t>
            </w:r>
          </w:p>
        </w:tc>
        <w:tc>
          <w:tcPr>
            <w:tcW w:w="1706" w:type="dxa"/>
            <w:shd w:val="clear" w:color="auto" w:fill="auto"/>
            <w:noWrap/>
            <w:tcMar>
              <w:left w:w="28" w:type="dxa"/>
              <w:right w:w="28" w:type="dxa"/>
            </w:tcMar>
            <w:vAlign w:val="center"/>
            <w:hideMark/>
          </w:tcPr>
          <w:p w14:paraId="4A693D60" w14:textId="1F6E113D" w:rsidR="0071408F" w:rsidRPr="005931F7" w:rsidRDefault="0071408F" w:rsidP="00F05011">
            <w:pPr>
              <w:keepNext/>
              <w:keepLines/>
              <w:jc w:val="center"/>
              <w:rPr>
                <w:rFonts w:ascii="Arial Narrow" w:hAnsi="Arial Narrow" w:cs="Calibri"/>
                <w:color w:val="000000"/>
                <w:sz w:val="20"/>
                <w:szCs w:val="20"/>
              </w:rPr>
            </w:pPr>
            <w:r w:rsidRPr="005931F7">
              <w:rPr>
                <w:rFonts w:ascii="Arial Narrow" w:hAnsi="Arial Narrow" w:cs="Calibri"/>
                <w:color w:val="000000"/>
                <w:sz w:val="20"/>
                <w:szCs w:val="20"/>
              </w:rPr>
              <w:t xml:space="preserve">200 mg (200 mg </w:t>
            </w:r>
            <w:r w:rsidR="00BF29F4" w:rsidRPr="005931F7">
              <w:rPr>
                <w:rFonts w:ascii="Arial Narrow" w:hAnsi="Arial Narrow" w:cs="Calibri"/>
                <w:color w:val="000000"/>
                <w:sz w:val="20"/>
                <w:szCs w:val="20"/>
              </w:rPr>
              <w:t xml:space="preserve">x </w:t>
            </w:r>
            <w:r w:rsidRPr="005931F7">
              <w:rPr>
                <w:rFonts w:ascii="Arial Narrow" w:hAnsi="Arial Narrow" w:cs="Calibri"/>
                <w:color w:val="000000"/>
                <w:sz w:val="20"/>
                <w:szCs w:val="20"/>
              </w:rPr>
              <w:t>90)</w:t>
            </w:r>
          </w:p>
        </w:tc>
        <w:tc>
          <w:tcPr>
            <w:tcW w:w="568" w:type="dxa"/>
            <w:shd w:val="clear" w:color="auto" w:fill="auto"/>
            <w:tcMar>
              <w:left w:w="28" w:type="dxa"/>
              <w:right w:w="28" w:type="dxa"/>
            </w:tcMar>
            <w:vAlign w:val="center"/>
          </w:tcPr>
          <w:p w14:paraId="42646650" w14:textId="5D70FD5B" w:rsidR="0071408F" w:rsidRPr="005931F7" w:rsidRDefault="0071408F" w:rsidP="00F05011">
            <w:pPr>
              <w:keepNext/>
              <w:keepLines/>
              <w:jc w:val="center"/>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hint="eastAsia"/>
                <w:color w:val="000000"/>
                <w:spacing w:val="30"/>
                <w:w w:val="15"/>
                <w:sz w:val="20"/>
                <w:szCs w:val="20"/>
                <w:shd w:val="solid" w:color="000000" w:fill="000000"/>
                <w:fitText w:val="60" w:id="-663558140"/>
                <w14:textFill>
                  <w14:solidFill>
                    <w14:srgbClr w14:val="000000">
                      <w14:alpha w14:val="100000"/>
                    </w14:srgbClr>
                  </w14:solidFill>
                </w14:textFill>
              </w:rPr>
              <w:t xml:space="preserve">　</w:t>
            </w:r>
            <w:r w:rsidR="0057223D" w:rsidRPr="00C42029">
              <w:rPr>
                <w:rFonts w:ascii="Arial Narrow" w:hAnsi="Arial Narrow" w:cs="Calibri" w:hint="eastAsia"/>
                <w:color w:val="000000"/>
                <w:w w:val="15"/>
                <w:sz w:val="20"/>
                <w:szCs w:val="20"/>
                <w:shd w:val="solid" w:color="000000" w:fill="000000"/>
                <w:fitText w:val="30" w:id="-663558139"/>
                <w14:textFill>
                  <w14:solidFill>
                    <w14:srgbClr w14:val="000000">
                      <w14:alpha w14:val="100000"/>
                    </w14:srgbClr>
                  </w14:solidFill>
                </w14:textFill>
              </w:rPr>
              <w:t xml:space="preserve">　</w:t>
            </w:r>
            <w:r w:rsidR="0057223D" w:rsidRPr="00C42029">
              <w:rPr>
                <w:rFonts w:ascii="Arial Narrow" w:hAnsi="Arial Narrow" w:cs="Calibri"/>
                <w:color w:val="000000"/>
                <w:w w:val="15"/>
                <w:sz w:val="20"/>
                <w:szCs w:val="20"/>
                <w:shd w:val="solid" w:color="000000" w:fill="000000"/>
                <w:fitText w:val="30" w:id="-663558139"/>
                <w14:textFill>
                  <w14:solidFill>
                    <w14:srgbClr w14:val="000000">
                      <w14:alpha w14:val="100000"/>
                    </w14:srgbClr>
                  </w14:solidFill>
                </w14:textFill>
              </w:rPr>
              <w:t>|</w:t>
            </w:r>
            <w:r w:rsidR="0057223D" w:rsidRPr="00C42029">
              <w:rPr>
                <w:rFonts w:ascii="Arial Narrow" w:hAnsi="Arial Narrow" w:cs="Calibri" w:hint="eastAsia"/>
                <w:color w:val="000000"/>
                <w:spacing w:val="-35"/>
                <w:w w:val="15"/>
                <w:sz w:val="20"/>
                <w:szCs w:val="20"/>
                <w:shd w:val="solid" w:color="000000" w:fill="000000"/>
                <w:fitText w:val="30" w:id="-663558139"/>
                <w14:textFill>
                  <w14:solidFill>
                    <w14:srgbClr w14:val="000000">
                      <w14:alpha w14:val="100000"/>
                    </w14:srgbClr>
                  </w14:solidFill>
                </w14:textFill>
              </w:rPr>
              <w:t xml:space="preserve">　</w:t>
            </w:r>
          </w:p>
        </w:tc>
        <w:tc>
          <w:tcPr>
            <w:tcW w:w="850" w:type="dxa"/>
            <w:shd w:val="clear" w:color="auto" w:fill="auto"/>
            <w:tcMar>
              <w:left w:w="28" w:type="dxa"/>
              <w:right w:w="28" w:type="dxa"/>
            </w:tcMar>
            <w:vAlign w:val="center"/>
          </w:tcPr>
          <w:p w14:paraId="20B5EE1F" w14:textId="4E4B634E"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90</w:t>
            </w:r>
            <w:r w:rsidR="005F4E70" w:rsidRPr="005931F7">
              <w:rPr>
                <w:rFonts w:ascii="Arial Narrow" w:hAnsi="Arial Narrow" w:cs="Calibri"/>
                <w:color w:val="000000"/>
                <w:sz w:val="20"/>
                <w:szCs w:val="20"/>
              </w:rPr>
              <w:t xml:space="preserve"> days</w:t>
            </w:r>
          </w:p>
        </w:tc>
        <w:tc>
          <w:tcPr>
            <w:tcW w:w="993" w:type="dxa"/>
            <w:shd w:val="clear" w:color="auto" w:fill="auto"/>
            <w:tcMar>
              <w:left w:w="28" w:type="dxa"/>
              <w:right w:w="28" w:type="dxa"/>
            </w:tcMar>
            <w:vAlign w:val="center"/>
            <w:hideMark/>
          </w:tcPr>
          <w:p w14:paraId="7E7CD3AE" w14:textId="11E3E3C4"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spacing w:val="9"/>
                <w:sz w:val="20"/>
                <w:szCs w:val="20"/>
                <w:shd w:val="solid" w:color="000000" w:fill="000000"/>
                <w:fitText w:val="310" w:id="-663557888"/>
                <w14:textFill>
                  <w14:solidFill>
                    <w14:srgbClr w14:val="000000">
                      <w14:alpha w14:val="100000"/>
                    </w14:srgbClr>
                  </w14:solidFill>
                </w14:textFill>
              </w:rPr>
              <w:t>||  ||</w:t>
            </w:r>
          </w:p>
        </w:tc>
        <w:tc>
          <w:tcPr>
            <w:tcW w:w="1701" w:type="dxa"/>
            <w:shd w:val="clear" w:color="auto" w:fill="auto"/>
            <w:noWrap/>
            <w:tcMar>
              <w:left w:w="28" w:type="dxa"/>
              <w:right w:w="28" w:type="dxa"/>
            </w:tcMar>
            <w:vAlign w:val="center"/>
            <w:hideMark/>
          </w:tcPr>
          <w:p w14:paraId="15D1B1CD" w14:textId="2B6C693A"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 xml:space="preserve">160 mg (40 mg </w:t>
            </w:r>
            <w:r w:rsidR="00BF29F4" w:rsidRPr="005931F7">
              <w:rPr>
                <w:rFonts w:ascii="Arial Narrow" w:hAnsi="Arial Narrow" w:cs="Calibri"/>
                <w:color w:val="000000"/>
                <w:sz w:val="20"/>
                <w:szCs w:val="20"/>
              </w:rPr>
              <w:t xml:space="preserve">x </w:t>
            </w:r>
            <w:r w:rsidRPr="005931F7">
              <w:rPr>
                <w:rFonts w:ascii="Arial Narrow" w:hAnsi="Arial Narrow" w:cs="Calibri"/>
                <w:color w:val="000000"/>
                <w:sz w:val="20"/>
                <w:szCs w:val="20"/>
              </w:rPr>
              <w:t>120)</w:t>
            </w:r>
          </w:p>
        </w:tc>
        <w:tc>
          <w:tcPr>
            <w:tcW w:w="567" w:type="dxa"/>
            <w:shd w:val="clear" w:color="auto" w:fill="auto"/>
            <w:tcMar>
              <w:left w:w="28" w:type="dxa"/>
              <w:right w:w="28" w:type="dxa"/>
            </w:tcMar>
            <w:vAlign w:val="center"/>
            <w:hideMark/>
          </w:tcPr>
          <w:p w14:paraId="289EB50E" w14:textId="0FDA828B"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w w:val="61"/>
                <w:sz w:val="20"/>
                <w:szCs w:val="20"/>
                <w:shd w:val="solid" w:color="000000" w:fill="000000"/>
                <w:fitText w:val="160" w:id="-663557886"/>
                <w14:textFill>
                  <w14:solidFill>
                    <w14:srgbClr w14:val="000000">
                      <w14:alpha w14:val="100000"/>
                    </w14:srgbClr>
                  </w14:solidFill>
                </w14:textFill>
              </w:rPr>
              <w:t>||  ||</w:t>
            </w:r>
          </w:p>
        </w:tc>
        <w:tc>
          <w:tcPr>
            <w:tcW w:w="850" w:type="dxa"/>
            <w:shd w:val="clear" w:color="auto" w:fill="auto"/>
            <w:tcMar>
              <w:left w:w="28" w:type="dxa"/>
              <w:right w:w="28" w:type="dxa"/>
            </w:tcMar>
            <w:vAlign w:val="center"/>
            <w:hideMark/>
          </w:tcPr>
          <w:p w14:paraId="6B949AAC" w14:textId="77777777"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30 days</w:t>
            </w:r>
          </w:p>
        </w:tc>
        <w:tc>
          <w:tcPr>
            <w:tcW w:w="992" w:type="dxa"/>
            <w:shd w:val="clear" w:color="auto" w:fill="auto"/>
            <w:tcMar>
              <w:left w:w="28" w:type="dxa"/>
              <w:right w:w="28" w:type="dxa"/>
            </w:tcMar>
            <w:vAlign w:val="center"/>
            <w:hideMark/>
          </w:tcPr>
          <w:p w14:paraId="3EFEA85A" w14:textId="3F817C02" w:rsidR="0071408F" w:rsidRPr="005931F7" w:rsidRDefault="0071408F" w:rsidP="00F05011">
            <w:pPr>
              <w:keepNext/>
              <w:keepLines/>
              <w:rPr>
                <w:rFonts w:ascii="Arial Narrow" w:hAnsi="Arial Narrow" w:cs="Calibri"/>
                <w:color w:val="000000"/>
                <w:sz w:val="20"/>
                <w:szCs w:val="20"/>
              </w:rPr>
            </w:pPr>
            <w:r w:rsidRPr="005931F7">
              <w:rPr>
                <w:rFonts w:ascii="Arial Narrow" w:hAnsi="Arial Narrow" w:cs="Calibri"/>
                <w:color w:val="000000"/>
                <w:sz w:val="20"/>
                <w:szCs w:val="20"/>
              </w:rPr>
              <w:t>$</w:t>
            </w:r>
            <w:r w:rsidR="0057223D" w:rsidRPr="0057223D">
              <w:rPr>
                <w:rFonts w:ascii="Arial Narrow" w:hAnsi="Arial Narrow" w:cs="Calibri"/>
                <w:color w:val="000000"/>
                <w:spacing w:val="9"/>
                <w:sz w:val="20"/>
                <w:szCs w:val="20"/>
                <w:shd w:val="solid" w:color="000000" w:fill="000000"/>
                <w:fitText w:val="310" w:id="-663557885"/>
                <w14:textFill>
                  <w14:solidFill>
                    <w14:srgbClr w14:val="000000">
                      <w14:alpha w14:val="100000"/>
                    </w14:srgbClr>
                  </w14:solidFill>
                </w14:textFill>
              </w:rPr>
              <w:t>||  ||</w:t>
            </w:r>
          </w:p>
        </w:tc>
      </w:tr>
    </w:tbl>
    <w:p w14:paraId="67BF8C4D" w14:textId="25567916" w:rsidR="00C5155F" w:rsidRDefault="0076319A">
      <w:pPr>
        <w:pStyle w:val="3-BodyText"/>
      </w:pPr>
      <w:bookmarkStart w:id="61" w:name="_Ref190689603"/>
      <w:bookmarkEnd w:id="57"/>
      <w:r w:rsidRPr="00CD6B63">
        <w:t xml:space="preserve">During the evaluation, two </w:t>
      </w:r>
      <w:r w:rsidR="00F45876" w:rsidRPr="00CD6B63">
        <w:t xml:space="preserve">alternative approaches to the CMA were considered; (1) to consider the standard </w:t>
      </w:r>
      <w:r w:rsidR="00944FD5" w:rsidRPr="00CD6B63">
        <w:t>and dose reduction scenarios separately</w:t>
      </w:r>
      <w:r w:rsidR="00875459" w:rsidRPr="00CD6B63">
        <w:t>, with a weighted price for the 40</w:t>
      </w:r>
      <w:r w:rsidR="00282410">
        <w:t> </w:t>
      </w:r>
      <w:r w:rsidR="00875459" w:rsidRPr="00CD6B63">
        <w:t xml:space="preserve">mg form of repotrectinib that is weighted between both dose </w:t>
      </w:r>
      <w:r w:rsidR="00875459" w:rsidRPr="00CD6B63">
        <w:lastRenderedPageBreak/>
        <w:t>reduction regimens</w:t>
      </w:r>
      <w:r w:rsidR="00944FD5" w:rsidRPr="00CD6B63">
        <w:t xml:space="preserve">; or (2) </w:t>
      </w:r>
      <w:r w:rsidR="00623B53" w:rsidRPr="00CD6B63">
        <w:t xml:space="preserve">to consider a single weighted cost per day scenario that accounts for dose reductions and weight the prices </w:t>
      </w:r>
      <w:r w:rsidR="00875459" w:rsidRPr="00CD6B63">
        <w:t xml:space="preserve">of </w:t>
      </w:r>
      <w:r w:rsidR="00E84451" w:rsidRPr="00CD6B63">
        <w:t xml:space="preserve">both forms accordingly to achieve an average cost per day consistent with entrectinib across all </w:t>
      </w:r>
      <w:r w:rsidR="001F4D04" w:rsidRPr="00CD6B63">
        <w:t>dosage options.</w:t>
      </w:r>
    </w:p>
    <w:p w14:paraId="19D8E353" w14:textId="13D507E4" w:rsidR="00497397" w:rsidRPr="00CD6B63" w:rsidRDefault="00497397">
      <w:pPr>
        <w:pStyle w:val="3-BodyText"/>
      </w:pPr>
      <w:r w:rsidRPr="00CD6B63">
        <w:t xml:space="preserve">The PSCR argued the CMA scenario analyses (Scenarios 1 and 2) undertaken during the evaluation were unreasonable, as repotrectinib and entrectinib are unique molecules with different dosing and adverse event profiles. Furthermore, the PSCR also argued the approaches presented in the evaluation are at high risk of confounding as they assume that dose reductions are applicable from Day 1 of a patient treatment course, and that important data to inform any such comparisons including distribution of dose reduction levels and mean duration of entrectinib treatment were not available. </w:t>
      </w:r>
    </w:p>
    <w:p w14:paraId="76E71336" w14:textId="6E9C6ACD" w:rsidR="00497397" w:rsidRPr="00CD6B63" w:rsidRDefault="00497397" w:rsidP="00C5155F">
      <w:pPr>
        <w:pStyle w:val="3-BodyText"/>
      </w:pPr>
      <w:r w:rsidRPr="00CD6B63">
        <w:t xml:space="preserve">The ESC considered the proposed flat pricing approach for the standard and dose reduction packs of repotrectinib was unlikely to be reasonable, as the cost per patient per day was substantially higher across the dose reduction scenarios than for the standard dose pack and that a substantial proportion of the population (~40%) was likely to require dose reduction, as observed in the pivotal trial. The ESC acknowledged the arguments in the PSCR that information to establish </w:t>
      </w:r>
      <w:proofErr w:type="spellStart"/>
      <w:r w:rsidRPr="00CD6B63">
        <w:t>equi</w:t>
      </w:r>
      <w:proofErr w:type="spellEnd"/>
      <w:r w:rsidRPr="00CD6B63">
        <w:t xml:space="preserve">-effective doses to </w:t>
      </w:r>
      <w:proofErr w:type="spellStart"/>
      <w:r w:rsidRPr="00CD6B63">
        <w:t>entrectinib</w:t>
      </w:r>
      <w:proofErr w:type="spellEnd"/>
      <w:r w:rsidRPr="00CD6B63">
        <w:t xml:space="preserve"> in multiple dose reduction scenarios is not available. However, the ESC considered it may be reasonable to consider alternative approaches to link the price of the dose reduction pack of repotrectinib to the standard pack, such as on a cost per milligram basis or to maintain the same cost per day weighted across </w:t>
      </w:r>
      <w:r w:rsidRPr="00C5155F">
        <w:t xml:space="preserve">the two dose reduction options. These are explored further in </w:t>
      </w:r>
      <w:r w:rsidR="00E61423" w:rsidRPr="00C5155F">
        <w:t xml:space="preserve">ESC </w:t>
      </w:r>
      <w:r w:rsidRPr="00C5155F">
        <w:t xml:space="preserve">Scenarios </w:t>
      </w:r>
      <w:r w:rsidR="00E61423" w:rsidRPr="00C5155F">
        <w:t>1</w:t>
      </w:r>
      <w:r w:rsidRPr="00C5155F">
        <w:t xml:space="preserve"> and </w:t>
      </w:r>
      <w:r w:rsidR="00E61423" w:rsidRPr="00C5155F">
        <w:t>2</w:t>
      </w:r>
      <w:r w:rsidRPr="00C5155F">
        <w:t xml:space="preserve"> below.</w:t>
      </w:r>
      <w:r w:rsidR="008260D0" w:rsidRPr="00C5155F">
        <w:t xml:space="preserve"> The</w:t>
      </w:r>
      <w:r w:rsidR="008260D0">
        <w:t xml:space="preserve"> scenarios proposed by the ESC, which </w:t>
      </w:r>
      <w:r w:rsidR="004A5E3F">
        <w:t>do not rely on assumptions about dose reductions for entrectinib,</w:t>
      </w:r>
      <w:r w:rsidR="008260D0">
        <w:t xml:space="preserve"> are presented below</w:t>
      </w:r>
      <w:r w:rsidR="004A5E3F">
        <w:t>.</w:t>
      </w:r>
      <w:r w:rsidRPr="00CD6B63">
        <w:t xml:space="preserve"> </w:t>
      </w:r>
    </w:p>
    <w:p w14:paraId="5F4F6241" w14:textId="6AA71384" w:rsidR="00892264" w:rsidRPr="001D7D1C" w:rsidRDefault="004A5E3F" w:rsidP="004A0791">
      <w:pPr>
        <w:pStyle w:val="5-SubsectionSubheading"/>
        <w:rPr>
          <w:b w:val="0"/>
          <w:bCs/>
          <w:iCs/>
        </w:rPr>
      </w:pPr>
      <w:r>
        <w:rPr>
          <w:iCs/>
        </w:rPr>
        <w:t xml:space="preserve">ESC </w:t>
      </w:r>
      <w:r w:rsidR="00892264" w:rsidRPr="001D7D1C">
        <w:rPr>
          <w:iCs/>
        </w:rPr>
        <w:t xml:space="preserve">Scenario </w:t>
      </w:r>
      <w:r>
        <w:rPr>
          <w:iCs/>
        </w:rPr>
        <w:t>1</w:t>
      </w:r>
      <w:r w:rsidR="00892264" w:rsidRPr="001D7D1C">
        <w:rPr>
          <w:iCs/>
        </w:rPr>
        <w:t xml:space="preserve">: CMA prices </w:t>
      </w:r>
      <w:r w:rsidR="00FD32AE" w:rsidRPr="001D7D1C">
        <w:rPr>
          <w:b w:val="0"/>
          <w:bCs/>
          <w:iCs/>
        </w:rPr>
        <w:t xml:space="preserve">based on a </w:t>
      </w:r>
      <w:r w:rsidR="00047BC9" w:rsidRPr="001D7D1C">
        <w:rPr>
          <w:b w:val="0"/>
          <w:bCs/>
          <w:iCs/>
        </w:rPr>
        <w:t xml:space="preserve">weighted </w:t>
      </w:r>
      <w:r w:rsidR="00FD32AE" w:rsidRPr="001D7D1C">
        <w:rPr>
          <w:b w:val="0"/>
          <w:bCs/>
          <w:iCs/>
        </w:rPr>
        <w:t xml:space="preserve">cost per day, maintain </w:t>
      </w:r>
      <w:r w:rsidR="007265D4" w:rsidRPr="001D7D1C">
        <w:rPr>
          <w:b w:val="0"/>
          <w:bCs/>
          <w:iCs/>
        </w:rPr>
        <w:t>price parity with the standard dose</w:t>
      </w:r>
      <w:r w:rsidR="00FD32AE" w:rsidRPr="001D7D1C">
        <w:rPr>
          <w:b w:val="0"/>
          <w:bCs/>
          <w:iCs/>
        </w:rPr>
        <w:t xml:space="preserve"> </w:t>
      </w:r>
      <w:r w:rsidR="00892264" w:rsidRPr="001D7D1C">
        <w:rPr>
          <w:b w:val="0"/>
          <w:bCs/>
          <w:iCs/>
        </w:rPr>
        <w:t xml:space="preserve"> </w:t>
      </w:r>
    </w:p>
    <w:p w14:paraId="0F207953" w14:textId="55882142" w:rsidR="00F95128" w:rsidRPr="00675E60" w:rsidRDefault="001771F9" w:rsidP="00F95128">
      <w:pPr>
        <w:pStyle w:val="3-BodyText"/>
        <w:rPr>
          <w:iCs/>
        </w:rPr>
      </w:pPr>
      <w:bookmarkStart w:id="62" w:name="_Ref198038105"/>
      <w:r w:rsidRPr="00675E60">
        <w:rPr>
          <w:iCs/>
        </w:rPr>
        <w:t xml:space="preserve">Based on the sponsored </w:t>
      </w:r>
      <w:r w:rsidR="00940947" w:rsidRPr="00675E60">
        <w:rPr>
          <w:iCs/>
        </w:rPr>
        <w:t xml:space="preserve">calculated </w:t>
      </w:r>
      <w:r w:rsidRPr="00675E60">
        <w:rPr>
          <w:iCs/>
        </w:rPr>
        <w:t>cost per day of $</w:t>
      </w:r>
      <w:r w:rsidR="0057223D" w:rsidRPr="0057223D">
        <w:rPr>
          <w:iCs/>
          <w:color w:val="000000"/>
          <w:w w:val="60"/>
          <w:shd w:val="solid" w:color="000000" w:fill="000000"/>
          <w:fitText w:val="470" w:id="-663557884"/>
          <w14:textFill>
            <w14:solidFill>
              <w14:srgbClr w14:val="000000">
                <w14:alpha w14:val="100000"/>
              </w14:srgbClr>
            </w14:solidFill>
          </w14:textFill>
        </w:rPr>
        <w:t>|||  ||</w:t>
      </w:r>
      <w:r w:rsidR="0057223D" w:rsidRPr="0057223D">
        <w:rPr>
          <w:iCs/>
          <w:color w:val="000000"/>
          <w:spacing w:val="6"/>
          <w:w w:val="60"/>
          <w:shd w:val="solid" w:color="000000" w:fill="000000"/>
          <w:fitText w:val="470" w:id="-663557884"/>
          <w14:textFill>
            <w14:solidFill>
              <w14:srgbClr w14:val="000000">
                <w14:alpha w14:val="100000"/>
              </w14:srgbClr>
            </w14:solidFill>
          </w14:textFill>
        </w:rPr>
        <w:t>|</w:t>
      </w:r>
      <w:r w:rsidR="00756E74" w:rsidRPr="00675E60">
        <w:rPr>
          <w:iCs/>
        </w:rPr>
        <w:t xml:space="preserve"> (</w:t>
      </w:r>
      <w:r w:rsidR="00C958AC" w:rsidRPr="00675E60">
        <w:rPr>
          <w:iCs/>
        </w:rPr>
        <w:fldChar w:fldCharType="begin"/>
      </w:r>
      <w:r w:rsidR="00C958AC" w:rsidRPr="00675E60">
        <w:rPr>
          <w:iCs/>
        </w:rPr>
        <w:instrText xml:space="preserve"> REF _Ref193190900 \h  \* MERGEFORMAT </w:instrText>
      </w:r>
      <w:r w:rsidR="00C958AC" w:rsidRPr="00675E60">
        <w:rPr>
          <w:iCs/>
        </w:rPr>
      </w:r>
      <w:r w:rsidR="00C958AC" w:rsidRPr="00675E60">
        <w:rPr>
          <w:iCs/>
        </w:rPr>
        <w:fldChar w:fldCharType="separate"/>
      </w:r>
      <w:r w:rsidR="00D32E93" w:rsidRPr="00D32E93">
        <w:rPr>
          <w:iCs/>
        </w:rPr>
        <w:t xml:space="preserve">Table </w:t>
      </w:r>
      <w:r w:rsidR="00D32E93" w:rsidRPr="00D32E93">
        <w:rPr>
          <w:iCs/>
          <w:noProof/>
        </w:rPr>
        <w:t>7</w:t>
      </w:r>
      <w:r w:rsidR="00C958AC" w:rsidRPr="00675E60">
        <w:rPr>
          <w:iCs/>
        </w:rPr>
        <w:fldChar w:fldCharType="end"/>
      </w:r>
      <w:r w:rsidR="00756E74" w:rsidRPr="00675E60">
        <w:rPr>
          <w:iCs/>
        </w:rPr>
        <w:t>)</w:t>
      </w:r>
      <w:r w:rsidRPr="00675E60">
        <w:rPr>
          <w:iCs/>
        </w:rPr>
        <w:t xml:space="preserve"> </w:t>
      </w:r>
      <w:r w:rsidR="00292264" w:rsidRPr="00675E60">
        <w:rPr>
          <w:iCs/>
        </w:rPr>
        <w:t>and a weighted</w:t>
      </w:r>
      <w:r w:rsidR="00EB0416" w:rsidRPr="00675E60">
        <w:rPr>
          <w:iCs/>
        </w:rPr>
        <w:t xml:space="preserve"> </w:t>
      </w:r>
      <w:proofErr w:type="spellStart"/>
      <w:r w:rsidR="00533C8C" w:rsidRPr="00675E60">
        <w:rPr>
          <w:iCs/>
        </w:rPr>
        <w:t>e</w:t>
      </w:r>
      <w:r w:rsidR="00EB0416" w:rsidRPr="00675E60">
        <w:rPr>
          <w:iCs/>
        </w:rPr>
        <w:t>qui</w:t>
      </w:r>
      <w:proofErr w:type="spellEnd"/>
      <w:r w:rsidR="00EB0416" w:rsidRPr="00675E60">
        <w:rPr>
          <w:iCs/>
        </w:rPr>
        <w:t>-effective dose</w:t>
      </w:r>
      <w:r w:rsidR="00533C8C" w:rsidRPr="00675E60">
        <w:rPr>
          <w:iCs/>
        </w:rPr>
        <w:t xml:space="preserve"> for the dose reductions </w:t>
      </w:r>
      <w:r w:rsidR="008A678C" w:rsidRPr="00675E60">
        <w:rPr>
          <w:iCs/>
        </w:rPr>
        <w:t>of 200</w:t>
      </w:r>
      <w:r w:rsidR="009B6332">
        <w:rPr>
          <w:iCs/>
        </w:rPr>
        <w:t> </w:t>
      </w:r>
      <w:r w:rsidR="008A678C" w:rsidRPr="00675E60">
        <w:rPr>
          <w:iCs/>
        </w:rPr>
        <w:t xml:space="preserve">mg </w:t>
      </w:r>
      <w:r w:rsidR="00533C8C" w:rsidRPr="00675E60">
        <w:rPr>
          <w:iCs/>
        </w:rPr>
        <w:t>(</w:t>
      </w:r>
      <w:r w:rsidR="00122CDC">
        <w:rPr>
          <w:iCs/>
        </w:rPr>
        <w:fldChar w:fldCharType="begin"/>
      </w:r>
      <w:r w:rsidR="00122CDC">
        <w:rPr>
          <w:iCs/>
        </w:rPr>
        <w:instrText xml:space="preserve"> REF _Ref207654034 \h </w:instrText>
      </w:r>
      <w:r w:rsidR="00122CDC">
        <w:rPr>
          <w:iCs/>
        </w:rPr>
      </w:r>
      <w:r w:rsidR="00122CDC">
        <w:rPr>
          <w:iCs/>
        </w:rPr>
        <w:fldChar w:fldCharType="separate"/>
      </w:r>
      <w:r w:rsidR="00D32E93" w:rsidRPr="00675E60">
        <w:rPr>
          <w:iCs/>
        </w:rPr>
        <w:t xml:space="preserve">Table </w:t>
      </w:r>
      <w:r w:rsidR="00D32E93">
        <w:rPr>
          <w:iCs/>
          <w:noProof/>
        </w:rPr>
        <w:t>9</w:t>
      </w:r>
      <w:r w:rsidR="00122CDC">
        <w:rPr>
          <w:iCs/>
        </w:rPr>
        <w:fldChar w:fldCharType="end"/>
      </w:r>
      <w:r w:rsidR="007A3918" w:rsidRPr="00675E60">
        <w:rPr>
          <w:iCs/>
        </w:rPr>
        <w:t>)</w:t>
      </w:r>
      <w:r w:rsidR="00531569" w:rsidRPr="00675E60">
        <w:rPr>
          <w:iCs/>
        </w:rPr>
        <w:t xml:space="preserve">, a </w:t>
      </w:r>
      <w:r w:rsidR="00925EE7" w:rsidRPr="00675E60">
        <w:rPr>
          <w:iCs/>
        </w:rPr>
        <w:t>revised AEMP</w:t>
      </w:r>
      <w:r w:rsidR="00692A18" w:rsidRPr="00675E60">
        <w:rPr>
          <w:iCs/>
        </w:rPr>
        <w:t xml:space="preserve"> is calculated </w:t>
      </w:r>
      <w:r w:rsidR="00331C9B" w:rsidRPr="00675E60">
        <w:rPr>
          <w:iCs/>
        </w:rPr>
        <w:t xml:space="preserve">to </w:t>
      </w:r>
      <w:r w:rsidR="00934EB7" w:rsidRPr="00675E60">
        <w:rPr>
          <w:iCs/>
        </w:rPr>
        <w:t>be</w:t>
      </w:r>
      <w:r w:rsidR="00692A18" w:rsidRPr="00675E60">
        <w:rPr>
          <w:iCs/>
        </w:rPr>
        <w:t xml:space="preserve"> $</w:t>
      </w:r>
      <w:r w:rsidR="0057223D" w:rsidRPr="0057223D">
        <w:rPr>
          <w:iCs/>
          <w:color w:val="000000"/>
          <w:w w:val="60"/>
          <w:shd w:val="solid" w:color="000000" w:fill="000000"/>
          <w:fitText w:val="470" w:id="-663557883"/>
          <w14:textFill>
            <w14:solidFill>
              <w14:srgbClr w14:val="000000">
                <w14:alpha w14:val="100000"/>
              </w14:srgbClr>
            </w14:solidFill>
          </w14:textFill>
        </w:rPr>
        <w:t>|||  ||</w:t>
      </w:r>
      <w:r w:rsidR="0057223D" w:rsidRPr="0057223D">
        <w:rPr>
          <w:iCs/>
          <w:color w:val="000000"/>
          <w:spacing w:val="6"/>
          <w:w w:val="60"/>
          <w:shd w:val="solid" w:color="000000" w:fill="000000"/>
          <w:fitText w:val="470" w:id="-663557883"/>
          <w14:textFill>
            <w14:solidFill>
              <w14:srgbClr w14:val="000000">
                <w14:alpha w14:val="100000"/>
              </w14:srgbClr>
            </w14:solidFill>
          </w14:textFill>
        </w:rPr>
        <w:t>|</w:t>
      </w:r>
      <w:r w:rsidR="00692A18" w:rsidRPr="00675E60">
        <w:rPr>
          <w:iCs/>
        </w:rPr>
        <w:t xml:space="preserve"> and DPMQ </w:t>
      </w:r>
      <w:r w:rsidR="00934EB7" w:rsidRPr="00675E60">
        <w:rPr>
          <w:iCs/>
        </w:rPr>
        <w:t xml:space="preserve">to be </w:t>
      </w:r>
      <w:r w:rsidR="00692A18" w:rsidRPr="00675E60">
        <w:rPr>
          <w:iCs/>
        </w:rPr>
        <w:t>$</w:t>
      </w:r>
      <w:r w:rsidR="0057223D" w:rsidRPr="0057223D">
        <w:rPr>
          <w:iCs/>
          <w:color w:val="000000"/>
          <w:w w:val="60"/>
          <w:shd w:val="solid" w:color="000000" w:fill="000000"/>
          <w:fitText w:val="470" w:id="-663557882"/>
          <w14:textFill>
            <w14:solidFill>
              <w14:srgbClr w14:val="000000">
                <w14:alpha w14:val="100000"/>
              </w14:srgbClr>
            </w14:solidFill>
          </w14:textFill>
        </w:rPr>
        <w:t>|||  ||</w:t>
      </w:r>
      <w:r w:rsidR="0057223D" w:rsidRPr="0057223D">
        <w:rPr>
          <w:iCs/>
          <w:color w:val="000000"/>
          <w:spacing w:val="6"/>
          <w:w w:val="60"/>
          <w:shd w:val="solid" w:color="000000" w:fill="000000"/>
          <w:fitText w:val="470" w:id="-663557882"/>
          <w14:textFill>
            <w14:solidFill>
              <w14:srgbClr w14:val="000000">
                <w14:alpha w14:val="100000"/>
              </w14:srgbClr>
            </w14:solidFill>
          </w14:textFill>
        </w:rPr>
        <w:t>|</w:t>
      </w:r>
      <w:r w:rsidR="00692A18" w:rsidRPr="00675E60">
        <w:rPr>
          <w:iCs/>
        </w:rPr>
        <w:t>.</w:t>
      </w:r>
      <w:bookmarkEnd w:id="62"/>
    </w:p>
    <w:p w14:paraId="3BC81C93" w14:textId="25A391E3" w:rsidR="00DE0FB7" w:rsidRPr="00675E60" w:rsidRDefault="005A61D5" w:rsidP="00F95128">
      <w:pPr>
        <w:pStyle w:val="3-BodyText"/>
        <w:rPr>
          <w:iCs/>
        </w:rPr>
      </w:pPr>
      <w:r w:rsidRPr="00675E60">
        <w:rPr>
          <w:iCs/>
        </w:rPr>
        <w:t xml:space="preserve">The </w:t>
      </w:r>
      <w:r w:rsidR="00EB0416" w:rsidRPr="00675E60">
        <w:rPr>
          <w:iCs/>
        </w:rPr>
        <w:t>cost per day calculations for the dose reduction scenarios were calculated as outlined in the table below:</w:t>
      </w:r>
      <w:r w:rsidR="00292264" w:rsidRPr="00675E60">
        <w:rPr>
          <w:iCs/>
        </w:rPr>
        <w:t xml:space="preserve"> </w:t>
      </w:r>
    </w:p>
    <w:p w14:paraId="35C66B3D" w14:textId="15B609A7" w:rsidR="00C72CC6" w:rsidRPr="001D7D1C" w:rsidRDefault="00C72CC6" w:rsidP="00C72CC6">
      <w:pPr>
        <w:pStyle w:val="Caption"/>
        <w:rPr>
          <w:iCs/>
        </w:rPr>
      </w:pPr>
      <w:bookmarkStart w:id="63" w:name="_Ref207654034"/>
      <w:r w:rsidRPr="00675E60">
        <w:rPr>
          <w:iCs/>
        </w:rPr>
        <w:t xml:space="preserve">Table </w:t>
      </w:r>
      <w:r w:rsidRPr="00675E60">
        <w:rPr>
          <w:iCs/>
        </w:rPr>
        <w:fldChar w:fldCharType="begin"/>
      </w:r>
      <w:r w:rsidRPr="00675E60">
        <w:rPr>
          <w:iCs/>
        </w:rPr>
        <w:instrText xml:space="preserve"> SEQ Table \* ARABIC </w:instrText>
      </w:r>
      <w:r w:rsidRPr="00675E60">
        <w:rPr>
          <w:iCs/>
        </w:rPr>
        <w:fldChar w:fldCharType="separate"/>
      </w:r>
      <w:r w:rsidR="00D32E93">
        <w:rPr>
          <w:iCs/>
          <w:noProof/>
        </w:rPr>
        <w:t>9</w:t>
      </w:r>
      <w:r w:rsidRPr="00675E60">
        <w:rPr>
          <w:iCs/>
        </w:rPr>
        <w:fldChar w:fldCharType="end"/>
      </w:r>
      <w:bookmarkEnd w:id="63"/>
      <w:r w:rsidRPr="00675E60">
        <w:rPr>
          <w:iCs/>
        </w:rPr>
        <w:t>: Repotrectinib dose reduction pack to maintain cost per day with standard pack</w:t>
      </w:r>
      <w:r w:rsidR="00E61423" w:rsidRPr="00675E60">
        <w:rPr>
          <w:iCs/>
        </w:rPr>
        <w:t xml:space="preserve"> (published prices</w:t>
      </w:r>
      <w:r w:rsidR="00E61423">
        <w:rPr>
          <w:iCs/>
        </w:rPr>
        <w:t>)</w:t>
      </w:r>
    </w:p>
    <w:tbl>
      <w:tblPr>
        <w:tblW w:w="9067" w:type="dxa"/>
        <w:tblLook w:val="04A0" w:firstRow="1" w:lastRow="0" w:firstColumn="1" w:lastColumn="0" w:noHBand="0" w:noVBand="1"/>
      </w:tblPr>
      <w:tblGrid>
        <w:gridCol w:w="2340"/>
        <w:gridCol w:w="2540"/>
        <w:gridCol w:w="1720"/>
        <w:gridCol w:w="2467"/>
      </w:tblGrid>
      <w:tr w:rsidR="00C974FE" w:rsidRPr="001D7D1C" w14:paraId="60893B3F" w14:textId="77777777" w:rsidTr="00CD4E81">
        <w:trPr>
          <w:trHeight w:val="2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11301" w14:textId="128CCC52" w:rsidR="00C974FE" w:rsidRPr="001D7D1C" w:rsidRDefault="00C974FE" w:rsidP="00C974FE">
            <w:pPr>
              <w:jc w:val="left"/>
              <w:rPr>
                <w:rFonts w:ascii="Arial Narrow" w:hAnsi="Arial Narrow" w:cs="Times New Roman"/>
                <w:b/>
                <w:bCs/>
                <w:iCs/>
                <w:color w:val="000000"/>
                <w:sz w:val="20"/>
                <w:szCs w:val="20"/>
              </w:rPr>
            </w:pPr>
            <w:r w:rsidRPr="001D7D1C">
              <w:rPr>
                <w:rFonts w:ascii="Arial Narrow" w:hAnsi="Arial Narrow"/>
                <w:b/>
                <w:bCs/>
                <w:iCs/>
                <w:color w:val="000000"/>
                <w:sz w:val="20"/>
                <w:szCs w:val="20"/>
              </w:rPr>
              <w:t>Scenario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4B230326" w14:textId="6FFACF54" w:rsidR="00C974FE" w:rsidRPr="001D7D1C" w:rsidRDefault="00C974FE" w:rsidP="00CD4E81">
            <w:pPr>
              <w:jc w:val="center"/>
              <w:rPr>
                <w:rFonts w:ascii="Arial Narrow" w:hAnsi="Arial Narrow" w:cs="Times New Roman"/>
                <w:b/>
                <w:bCs/>
                <w:iCs/>
                <w:color w:val="000000"/>
                <w:sz w:val="20"/>
                <w:szCs w:val="20"/>
              </w:rPr>
            </w:pPr>
            <w:r w:rsidRPr="001D7D1C">
              <w:rPr>
                <w:rFonts w:ascii="Arial Narrow" w:hAnsi="Arial Narrow"/>
                <w:b/>
                <w:bCs/>
                <w:iCs/>
                <w:color w:val="000000"/>
                <w:sz w:val="20"/>
                <w:szCs w:val="20"/>
              </w:rPr>
              <w:t>Percentage of REPO dose reduction use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93CB754" w14:textId="77777777" w:rsidR="00C974FE" w:rsidRPr="001D7D1C" w:rsidRDefault="00C974FE" w:rsidP="00CD4E81">
            <w:pPr>
              <w:jc w:val="center"/>
              <w:rPr>
                <w:rFonts w:ascii="Arial Narrow" w:hAnsi="Arial Narrow" w:cs="Times New Roman"/>
                <w:b/>
                <w:bCs/>
                <w:iCs/>
                <w:color w:val="000000"/>
                <w:sz w:val="20"/>
                <w:szCs w:val="20"/>
              </w:rPr>
            </w:pPr>
            <w:r w:rsidRPr="001D7D1C">
              <w:rPr>
                <w:rFonts w:ascii="Arial Narrow" w:hAnsi="Arial Narrow" w:cs="Times New Roman"/>
                <w:b/>
                <w:bCs/>
                <w:iCs/>
                <w:color w:val="000000"/>
                <w:sz w:val="20"/>
                <w:szCs w:val="20"/>
              </w:rPr>
              <w:t>REPO dose (mg)</w:t>
            </w:r>
          </w:p>
        </w:tc>
        <w:tc>
          <w:tcPr>
            <w:tcW w:w="2467" w:type="dxa"/>
            <w:tcBorders>
              <w:top w:val="single" w:sz="4" w:space="0" w:color="auto"/>
              <w:left w:val="nil"/>
              <w:bottom w:val="single" w:sz="4" w:space="0" w:color="auto"/>
              <w:right w:val="single" w:sz="4" w:space="0" w:color="auto"/>
            </w:tcBorders>
            <w:shd w:val="clear" w:color="auto" w:fill="auto"/>
            <w:noWrap/>
            <w:vAlign w:val="bottom"/>
            <w:hideMark/>
          </w:tcPr>
          <w:p w14:paraId="4951C1EB" w14:textId="77777777" w:rsidR="00C974FE" w:rsidRPr="001D7D1C" w:rsidRDefault="00C974FE" w:rsidP="00CD4E81">
            <w:pPr>
              <w:jc w:val="center"/>
              <w:rPr>
                <w:rFonts w:ascii="Arial Narrow" w:hAnsi="Arial Narrow" w:cs="Times New Roman"/>
                <w:b/>
                <w:bCs/>
                <w:iCs/>
                <w:color w:val="000000"/>
                <w:sz w:val="20"/>
                <w:szCs w:val="20"/>
              </w:rPr>
            </w:pPr>
            <w:r w:rsidRPr="001D7D1C">
              <w:rPr>
                <w:rFonts w:ascii="Arial Narrow" w:hAnsi="Arial Narrow" w:cs="Times New Roman"/>
                <w:b/>
                <w:bCs/>
                <w:iCs/>
                <w:color w:val="000000"/>
                <w:sz w:val="20"/>
                <w:szCs w:val="20"/>
              </w:rPr>
              <w:t>DPMQ price/day</w:t>
            </w:r>
          </w:p>
        </w:tc>
      </w:tr>
      <w:tr w:rsidR="00C974FE" w:rsidRPr="001D7D1C" w14:paraId="4E80DEB8" w14:textId="77777777" w:rsidTr="00CD4E81">
        <w:trPr>
          <w:trHeight w:val="2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BB2C8CA" w14:textId="1BDDEA6C" w:rsidR="00C974FE" w:rsidRPr="001D7D1C" w:rsidRDefault="00C974FE" w:rsidP="00C974FE">
            <w:pPr>
              <w:rPr>
                <w:rFonts w:ascii="Arial Narrow" w:hAnsi="Arial Narrow" w:cs="Times New Roman"/>
                <w:iCs/>
                <w:color w:val="000000"/>
                <w:sz w:val="20"/>
                <w:szCs w:val="20"/>
              </w:rPr>
            </w:pPr>
            <w:r w:rsidRPr="001D7D1C">
              <w:rPr>
                <w:rFonts w:ascii="Arial Narrow" w:hAnsi="Arial Narrow"/>
                <w:iCs/>
                <w:color w:val="000000"/>
                <w:sz w:val="20"/>
                <w:szCs w:val="20"/>
              </w:rPr>
              <w:t>1</w:t>
            </w:r>
            <w:r w:rsidRPr="001D7D1C">
              <w:rPr>
                <w:rFonts w:ascii="Arial Narrow" w:hAnsi="Arial Narrow"/>
                <w:iCs/>
                <w:color w:val="000000"/>
                <w:sz w:val="20"/>
                <w:szCs w:val="20"/>
                <w:vertAlign w:val="superscript"/>
              </w:rPr>
              <w:t>st</w:t>
            </w:r>
            <w:r w:rsidRPr="001D7D1C">
              <w:rPr>
                <w:rFonts w:ascii="Arial Narrow" w:hAnsi="Arial Narrow"/>
                <w:iCs/>
                <w:color w:val="000000"/>
                <w:sz w:val="20"/>
                <w:szCs w:val="20"/>
              </w:rPr>
              <w:t xml:space="preserve"> dose reduction</w:t>
            </w:r>
          </w:p>
        </w:tc>
        <w:tc>
          <w:tcPr>
            <w:tcW w:w="2540" w:type="dxa"/>
            <w:tcBorders>
              <w:top w:val="nil"/>
              <w:left w:val="nil"/>
              <w:bottom w:val="single" w:sz="4" w:space="0" w:color="auto"/>
              <w:right w:val="single" w:sz="4" w:space="0" w:color="auto"/>
            </w:tcBorders>
            <w:shd w:val="clear" w:color="auto" w:fill="auto"/>
            <w:noWrap/>
            <w:vAlign w:val="center"/>
            <w:hideMark/>
          </w:tcPr>
          <w:p w14:paraId="64CDAC3F" w14:textId="5610C65B" w:rsidR="00C974FE" w:rsidRPr="001D7D1C" w:rsidRDefault="00C974FE" w:rsidP="00C974FE">
            <w:pPr>
              <w:jc w:val="right"/>
              <w:rPr>
                <w:rFonts w:ascii="Arial Narrow" w:hAnsi="Arial Narrow" w:cs="Times New Roman"/>
                <w:iCs/>
                <w:color w:val="000000"/>
                <w:sz w:val="20"/>
                <w:szCs w:val="20"/>
              </w:rPr>
            </w:pPr>
            <w:r w:rsidRPr="001D7D1C">
              <w:rPr>
                <w:rFonts w:ascii="Arial Narrow" w:hAnsi="Arial Narrow"/>
                <w:iCs/>
                <w:color w:val="000000"/>
                <w:sz w:val="20"/>
                <w:szCs w:val="20"/>
              </w:rPr>
              <w:t>50.00%</w:t>
            </w:r>
          </w:p>
        </w:tc>
        <w:tc>
          <w:tcPr>
            <w:tcW w:w="1720" w:type="dxa"/>
            <w:tcBorders>
              <w:top w:val="nil"/>
              <w:left w:val="nil"/>
              <w:bottom w:val="single" w:sz="4" w:space="0" w:color="auto"/>
              <w:right w:val="single" w:sz="4" w:space="0" w:color="auto"/>
            </w:tcBorders>
            <w:shd w:val="clear" w:color="auto" w:fill="auto"/>
            <w:noWrap/>
            <w:vAlign w:val="center"/>
            <w:hideMark/>
          </w:tcPr>
          <w:p w14:paraId="4155D5F0" w14:textId="77777777" w:rsidR="00C974FE" w:rsidRPr="00CD4E81" w:rsidRDefault="00C974FE" w:rsidP="00C974FE">
            <w:pPr>
              <w:jc w:val="right"/>
              <w:rPr>
                <w:rFonts w:ascii="Arial Narrow" w:hAnsi="Arial Narrow" w:cs="Times New Roman"/>
                <w:iCs/>
                <w:color w:val="000000"/>
                <w:sz w:val="20"/>
                <w:szCs w:val="20"/>
              </w:rPr>
            </w:pPr>
            <w:r w:rsidRPr="00CD4E81">
              <w:rPr>
                <w:rFonts w:ascii="Arial Narrow" w:hAnsi="Arial Narrow" w:cs="Times New Roman"/>
                <w:iCs/>
                <w:color w:val="000000"/>
                <w:sz w:val="20"/>
                <w:szCs w:val="20"/>
              </w:rPr>
              <w:t>240</w:t>
            </w:r>
          </w:p>
        </w:tc>
        <w:tc>
          <w:tcPr>
            <w:tcW w:w="2467" w:type="dxa"/>
            <w:tcBorders>
              <w:top w:val="nil"/>
              <w:left w:val="nil"/>
              <w:bottom w:val="single" w:sz="4" w:space="0" w:color="auto"/>
              <w:right w:val="single" w:sz="4" w:space="0" w:color="auto"/>
            </w:tcBorders>
            <w:shd w:val="clear" w:color="auto" w:fill="auto"/>
            <w:noWrap/>
            <w:vAlign w:val="center"/>
            <w:hideMark/>
          </w:tcPr>
          <w:p w14:paraId="14FD24FE" w14:textId="155E99C4" w:rsidR="00C974FE" w:rsidRPr="001D7D1C" w:rsidRDefault="00C974FE" w:rsidP="00C974FE">
            <w:pPr>
              <w:jc w:val="right"/>
              <w:rPr>
                <w:rFonts w:ascii="Arial Narrow" w:hAnsi="Arial Narrow" w:cs="Times New Roman"/>
                <w:iCs/>
                <w:color w:val="000000"/>
                <w:sz w:val="20"/>
                <w:szCs w:val="20"/>
              </w:rPr>
            </w:pPr>
            <w:r w:rsidRPr="001D7D1C">
              <w:rPr>
                <w:rFonts w:ascii="Arial Narrow" w:hAnsi="Arial Narrow" w:cs="Times New Roman"/>
                <w:iCs/>
                <w:color w:val="000000"/>
                <w:sz w:val="20"/>
                <w:szCs w:val="20"/>
              </w:rPr>
              <w:t>$</w:t>
            </w:r>
            <w:r w:rsidR="0057223D" w:rsidRPr="0057223D">
              <w:rPr>
                <w:rFonts w:ascii="Arial Narrow" w:hAnsi="Arial Narrow" w:cs="Times New Roman"/>
                <w:iCs/>
                <w:color w:val="000000"/>
                <w:spacing w:val="53"/>
                <w:sz w:val="20"/>
                <w:szCs w:val="20"/>
                <w:shd w:val="solid" w:color="000000" w:fill="000000"/>
                <w:fitText w:val="330" w:id="-663557881"/>
                <w14:textFill>
                  <w14:solidFill>
                    <w14:srgbClr w14:val="000000">
                      <w14:alpha w14:val="100000"/>
                    </w14:srgbClr>
                  </w14:solidFill>
                </w14:textFill>
              </w:rPr>
              <w:t>|||</w:t>
            </w:r>
            <w:r w:rsidR="0057223D" w:rsidRPr="0057223D">
              <w:rPr>
                <w:rFonts w:ascii="Arial Narrow" w:hAnsi="Arial Narrow" w:cs="Times New Roman"/>
                <w:iCs/>
                <w:color w:val="000000"/>
                <w:spacing w:val="1"/>
                <w:sz w:val="20"/>
                <w:szCs w:val="20"/>
                <w:shd w:val="solid" w:color="000000" w:fill="000000"/>
                <w:fitText w:val="330" w:id="-663557881"/>
                <w14:textFill>
                  <w14:solidFill>
                    <w14:srgbClr w14:val="000000">
                      <w14:alpha w14:val="100000"/>
                    </w14:srgbClr>
                  </w14:solidFill>
                </w14:textFill>
              </w:rPr>
              <w:t>|</w:t>
            </w:r>
          </w:p>
        </w:tc>
      </w:tr>
      <w:tr w:rsidR="00C974FE" w:rsidRPr="001D7D1C" w14:paraId="5ABB000D" w14:textId="77777777" w:rsidTr="00CD4E81">
        <w:trPr>
          <w:trHeight w:val="2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40ED0665" w14:textId="73B4BB2F" w:rsidR="00C974FE" w:rsidRPr="001D7D1C" w:rsidRDefault="00C974FE" w:rsidP="00C974FE">
            <w:pPr>
              <w:rPr>
                <w:rFonts w:ascii="Arial Narrow" w:hAnsi="Arial Narrow" w:cs="Times New Roman"/>
                <w:iCs/>
                <w:color w:val="000000"/>
                <w:sz w:val="20"/>
                <w:szCs w:val="20"/>
              </w:rPr>
            </w:pPr>
            <w:r w:rsidRPr="001D7D1C">
              <w:rPr>
                <w:rFonts w:ascii="Arial Narrow" w:hAnsi="Arial Narrow"/>
                <w:iCs/>
                <w:color w:val="000000"/>
                <w:sz w:val="20"/>
                <w:szCs w:val="20"/>
              </w:rPr>
              <w:t>2</w:t>
            </w:r>
            <w:r w:rsidRPr="001D7D1C">
              <w:rPr>
                <w:rFonts w:ascii="Arial Narrow" w:hAnsi="Arial Narrow"/>
                <w:iCs/>
                <w:color w:val="000000"/>
                <w:sz w:val="20"/>
                <w:szCs w:val="20"/>
                <w:vertAlign w:val="superscript"/>
              </w:rPr>
              <w:t>nd</w:t>
            </w:r>
            <w:r w:rsidRPr="001D7D1C">
              <w:rPr>
                <w:rFonts w:ascii="Arial Narrow" w:hAnsi="Arial Narrow"/>
                <w:iCs/>
                <w:color w:val="000000"/>
                <w:sz w:val="20"/>
                <w:szCs w:val="20"/>
              </w:rPr>
              <w:t xml:space="preserve"> dose reduction</w:t>
            </w:r>
          </w:p>
        </w:tc>
        <w:tc>
          <w:tcPr>
            <w:tcW w:w="2540" w:type="dxa"/>
            <w:tcBorders>
              <w:top w:val="nil"/>
              <w:left w:val="nil"/>
              <w:bottom w:val="single" w:sz="4" w:space="0" w:color="auto"/>
              <w:right w:val="single" w:sz="4" w:space="0" w:color="auto"/>
            </w:tcBorders>
            <w:shd w:val="clear" w:color="auto" w:fill="auto"/>
            <w:noWrap/>
            <w:vAlign w:val="center"/>
            <w:hideMark/>
          </w:tcPr>
          <w:p w14:paraId="601B2A74" w14:textId="0A708043" w:rsidR="00C974FE" w:rsidRPr="001D7D1C" w:rsidRDefault="00C974FE" w:rsidP="00C974FE">
            <w:pPr>
              <w:jc w:val="right"/>
              <w:rPr>
                <w:rFonts w:ascii="Arial Narrow" w:hAnsi="Arial Narrow" w:cs="Times New Roman"/>
                <w:iCs/>
                <w:color w:val="000000"/>
                <w:sz w:val="20"/>
                <w:szCs w:val="20"/>
              </w:rPr>
            </w:pPr>
            <w:r w:rsidRPr="001D7D1C">
              <w:rPr>
                <w:rFonts w:ascii="Arial Narrow" w:hAnsi="Arial Narrow"/>
                <w:iCs/>
                <w:color w:val="000000"/>
                <w:sz w:val="20"/>
                <w:szCs w:val="20"/>
              </w:rPr>
              <w:t>50.00%</w:t>
            </w:r>
          </w:p>
        </w:tc>
        <w:tc>
          <w:tcPr>
            <w:tcW w:w="1720" w:type="dxa"/>
            <w:tcBorders>
              <w:top w:val="nil"/>
              <w:left w:val="nil"/>
              <w:bottom w:val="single" w:sz="4" w:space="0" w:color="auto"/>
              <w:right w:val="single" w:sz="4" w:space="0" w:color="auto"/>
            </w:tcBorders>
            <w:shd w:val="clear" w:color="auto" w:fill="auto"/>
            <w:noWrap/>
            <w:vAlign w:val="center"/>
            <w:hideMark/>
          </w:tcPr>
          <w:p w14:paraId="0D389536" w14:textId="77777777" w:rsidR="00C974FE" w:rsidRPr="00CD4E81" w:rsidRDefault="00C974FE" w:rsidP="00C974FE">
            <w:pPr>
              <w:jc w:val="right"/>
              <w:rPr>
                <w:rFonts w:ascii="Arial Narrow" w:hAnsi="Arial Narrow" w:cs="Times New Roman"/>
                <w:iCs/>
                <w:color w:val="000000"/>
                <w:sz w:val="20"/>
                <w:szCs w:val="20"/>
              </w:rPr>
            </w:pPr>
            <w:r w:rsidRPr="00CD4E81">
              <w:rPr>
                <w:rFonts w:ascii="Arial Narrow" w:hAnsi="Arial Narrow" w:cs="Times New Roman"/>
                <w:iCs/>
                <w:color w:val="000000"/>
                <w:sz w:val="20"/>
                <w:szCs w:val="20"/>
              </w:rPr>
              <w:t>160</w:t>
            </w:r>
          </w:p>
        </w:tc>
        <w:tc>
          <w:tcPr>
            <w:tcW w:w="2467" w:type="dxa"/>
            <w:tcBorders>
              <w:top w:val="nil"/>
              <w:left w:val="nil"/>
              <w:bottom w:val="single" w:sz="4" w:space="0" w:color="auto"/>
              <w:right w:val="single" w:sz="4" w:space="0" w:color="auto"/>
            </w:tcBorders>
            <w:shd w:val="clear" w:color="auto" w:fill="auto"/>
            <w:noWrap/>
            <w:vAlign w:val="center"/>
            <w:hideMark/>
          </w:tcPr>
          <w:p w14:paraId="4EC0EFC4" w14:textId="5599B476" w:rsidR="00C974FE" w:rsidRPr="001D7D1C" w:rsidRDefault="00C974FE" w:rsidP="00C974FE">
            <w:pPr>
              <w:jc w:val="right"/>
              <w:rPr>
                <w:rFonts w:ascii="Arial Narrow" w:hAnsi="Arial Narrow" w:cs="Times New Roman"/>
                <w:iCs/>
                <w:color w:val="000000"/>
                <w:sz w:val="20"/>
                <w:szCs w:val="20"/>
              </w:rPr>
            </w:pPr>
            <w:r w:rsidRPr="001D7D1C">
              <w:rPr>
                <w:rFonts w:ascii="Arial Narrow" w:hAnsi="Arial Narrow" w:cs="Times New Roman"/>
                <w:iCs/>
                <w:color w:val="000000"/>
                <w:sz w:val="20"/>
                <w:szCs w:val="20"/>
              </w:rPr>
              <w:t>$</w:t>
            </w:r>
            <w:r w:rsidR="0057223D" w:rsidRPr="0057223D">
              <w:rPr>
                <w:rFonts w:ascii="Arial Narrow" w:hAnsi="Arial Narrow" w:cs="Times New Roman"/>
                <w:iCs/>
                <w:color w:val="000000"/>
                <w:spacing w:val="53"/>
                <w:sz w:val="20"/>
                <w:szCs w:val="20"/>
                <w:shd w:val="solid" w:color="000000" w:fill="000000"/>
                <w:fitText w:val="330" w:id="-663557880"/>
                <w14:textFill>
                  <w14:solidFill>
                    <w14:srgbClr w14:val="000000">
                      <w14:alpha w14:val="100000"/>
                    </w14:srgbClr>
                  </w14:solidFill>
                </w14:textFill>
              </w:rPr>
              <w:t>|||</w:t>
            </w:r>
            <w:r w:rsidR="0057223D" w:rsidRPr="0057223D">
              <w:rPr>
                <w:rFonts w:ascii="Arial Narrow" w:hAnsi="Arial Narrow" w:cs="Times New Roman"/>
                <w:iCs/>
                <w:color w:val="000000"/>
                <w:spacing w:val="1"/>
                <w:sz w:val="20"/>
                <w:szCs w:val="20"/>
                <w:shd w:val="solid" w:color="000000" w:fill="000000"/>
                <w:fitText w:val="330" w:id="-663557880"/>
                <w14:textFill>
                  <w14:solidFill>
                    <w14:srgbClr w14:val="000000">
                      <w14:alpha w14:val="100000"/>
                    </w14:srgbClr>
                  </w14:solidFill>
                </w14:textFill>
              </w:rPr>
              <w:t>|</w:t>
            </w:r>
          </w:p>
        </w:tc>
      </w:tr>
      <w:tr w:rsidR="00C974FE" w:rsidRPr="001D7D1C" w14:paraId="73EE5E28" w14:textId="77777777" w:rsidTr="00CD4E81">
        <w:trPr>
          <w:trHeight w:val="2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2FDE85C" w14:textId="2A562CA0" w:rsidR="00C974FE" w:rsidRPr="001D7D1C" w:rsidRDefault="00C974FE" w:rsidP="00C974FE">
            <w:pPr>
              <w:rPr>
                <w:rFonts w:ascii="Arial Narrow" w:hAnsi="Arial Narrow" w:cs="Times New Roman"/>
                <w:iCs/>
                <w:color w:val="000000"/>
                <w:sz w:val="20"/>
                <w:szCs w:val="20"/>
              </w:rPr>
            </w:pPr>
            <w:r w:rsidRPr="001D7D1C">
              <w:rPr>
                <w:rFonts w:ascii="Arial Narrow" w:hAnsi="Arial Narrow"/>
                <w:iCs/>
                <w:color w:val="000000"/>
                <w:sz w:val="20"/>
                <w:szCs w:val="20"/>
              </w:rPr>
              <w:t>Weighted dose</w:t>
            </w:r>
          </w:p>
        </w:tc>
        <w:tc>
          <w:tcPr>
            <w:tcW w:w="2540" w:type="dxa"/>
            <w:tcBorders>
              <w:top w:val="nil"/>
              <w:left w:val="nil"/>
              <w:bottom w:val="single" w:sz="4" w:space="0" w:color="auto"/>
              <w:right w:val="single" w:sz="4" w:space="0" w:color="auto"/>
            </w:tcBorders>
            <w:shd w:val="clear" w:color="auto" w:fill="auto"/>
            <w:noWrap/>
            <w:vAlign w:val="center"/>
            <w:hideMark/>
          </w:tcPr>
          <w:p w14:paraId="71C7F200" w14:textId="1D4B631B" w:rsidR="00C974FE" w:rsidRPr="001D7D1C" w:rsidRDefault="00C974FE" w:rsidP="00C974FE">
            <w:pPr>
              <w:jc w:val="right"/>
              <w:rPr>
                <w:rFonts w:ascii="Arial Narrow" w:hAnsi="Arial Narrow" w:cs="Times New Roman"/>
                <w:iCs/>
                <w:color w:val="000000"/>
                <w:sz w:val="20"/>
                <w:szCs w:val="20"/>
              </w:rPr>
            </w:pPr>
            <w:r w:rsidRPr="001D7D1C">
              <w:rPr>
                <w:rFonts w:ascii="Arial Narrow" w:hAnsi="Arial Narrow"/>
                <w:iCs/>
                <w:color w:val="000000"/>
                <w:sz w:val="20"/>
                <w:szCs w:val="20"/>
              </w:rPr>
              <w:t>50:50 split</w:t>
            </w:r>
          </w:p>
        </w:tc>
        <w:tc>
          <w:tcPr>
            <w:tcW w:w="1720" w:type="dxa"/>
            <w:tcBorders>
              <w:top w:val="nil"/>
              <w:left w:val="nil"/>
              <w:bottom w:val="single" w:sz="4" w:space="0" w:color="auto"/>
              <w:right w:val="single" w:sz="4" w:space="0" w:color="auto"/>
            </w:tcBorders>
            <w:shd w:val="clear" w:color="auto" w:fill="auto"/>
            <w:noWrap/>
            <w:vAlign w:val="center"/>
            <w:hideMark/>
          </w:tcPr>
          <w:p w14:paraId="1E9BEF60" w14:textId="77777777" w:rsidR="00C974FE" w:rsidRPr="00CD4E81" w:rsidRDefault="00C974FE" w:rsidP="00C974FE">
            <w:pPr>
              <w:jc w:val="right"/>
              <w:rPr>
                <w:rFonts w:ascii="Arial Narrow" w:hAnsi="Arial Narrow" w:cs="Times New Roman"/>
                <w:iCs/>
                <w:color w:val="000000"/>
                <w:sz w:val="20"/>
                <w:szCs w:val="20"/>
              </w:rPr>
            </w:pPr>
            <w:r w:rsidRPr="00CD4E81">
              <w:rPr>
                <w:rFonts w:ascii="Arial Narrow" w:hAnsi="Arial Narrow" w:cs="Times New Roman"/>
                <w:iCs/>
                <w:color w:val="000000"/>
                <w:sz w:val="20"/>
                <w:szCs w:val="20"/>
              </w:rPr>
              <w:t>200</w:t>
            </w:r>
          </w:p>
        </w:tc>
        <w:tc>
          <w:tcPr>
            <w:tcW w:w="2467" w:type="dxa"/>
            <w:tcBorders>
              <w:top w:val="nil"/>
              <w:left w:val="nil"/>
              <w:bottom w:val="single" w:sz="4" w:space="0" w:color="auto"/>
              <w:right w:val="single" w:sz="4" w:space="0" w:color="auto"/>
            </w:tcBorders>
            <w:shd w:val="clear" w:color="auto" w:fill="auto"/>
            <w:noWrap/>
            <w:vAlign w:val="center"/>
            <w:hideMark/>
          </w:tcPr>
          <w:p w14:paraId="5F3AF5A3" w14:textId="126D6EB3" w:rsidR="00C974FE" w:rsidRPr="001D7D1C" w:rsidRDefault="00C974FE" w:rsidP="00C974FE">
            <w:pPr>
              <w:jc w:val="right"/>
              <w:rPr>
                <w:rFonts w:ascii="Arial Narrow" w:hAnsi="Arial Narrow" w:cs="Times New Roman"/>
                <w:b/>
                <w:bCs/>
                <w:iCs/>
                <w:color w:val="000000"/>
                <w:sz w:val="20"/>
                <w:szCs w:val="20"/>
              </w:rPr>
            </w:pPr>
            <w:r w:rsidRPr="001D7D1C">
              <w:rPr>
                <w:rFonts w:ascii="Arial Narrow" w:hAnsi="Arial Narrow" w:cs="Times New Roman"/>
                <w:b/>
                <w:bCs/>
                <w:iCs/>
                <w:color w:val="000000"/>
                <w:sz w:val="20"/>
                <w:szCs w:val="20"/>
              </w:rPr>
              <w:t>$</w:t>
            </w:r>
            <w:r w:rsidR="0057223D" w:rsidRPr="0057223D">
              <w:rPr>
                <w:rFonts w:ascii="Arial Narrow" w:hAnsi="Arial Narrow" w:cs="Times New Roman"/>
                <w:b/>
                <w:bCs/>
                <w:iCs/>
                <w:color w:val="000000"/>
                <w:spacing w:val="55"/>
                <w:sz w:val="20"/>
                <w:szCs w:val="20"/>
                <w:shd w:val="solid" w:color="000000" w:fill="000000"/>
                <w:fitText w:val="350" w:id="-663557879"/>
                <w14:textFill>
                  <w14:solidFill>
                    <w14:srgbClr w14:val="000000">
                      <w14:alpha w14:val="100000"/>
                    </w14:srgbClr>
                  </w14:solidFill>
                </w14:textFill>
              </w:rPr>
              <w:t>|||</w:t>
            </w:r>
            <w:r w:rsidR="0057223D" w:rsidRPr="0057223D">
              <w:rPr>
                <w:rFonts w:ascii="Arial Narrow" w:hAnsi="Arial Narrow" w:cs="Times New Roman"/>
                <w:b/>
                <w:bCs/>
                <w:iCs/>
                <w:color w:val="000000"/>
                <w:spacing w:val="2"/>
                <w:sz w:val="20"/>
                <w:szCs w:val="20"/>
                <w:shd w:val="solid" w:color="000000" w:fill="000000"/>
                <w:fitText w:val="350" w:id="-663557879"/>
                <w14:textFill>
                  <w14:solidFill>
                    <w14:srgbClr w14:val="000000">
                      <w14:alpha w14:val="100000"/>
                    </w14:srgbClr>
                  </w14:solidFill>
                </w14:textFill>
              </w:rPr>
              <w:t>|</w:t>
            </w:r>
          </w:p>
        </w:tc>
      </w:tr>
      <w:tr w:rsidR="00BF43D5" w:rsidRPr="001D7D1C" w14:paraId="1A9CDF90" w14:textId="77777777" w:rsidTr="00CD4E81">
        <w:trPr>
          <w:trHeight w:val="20"/>
        </w:trPr>
        <w:tc>
          <w:tcPr>
            <w:tcW w:w="6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F0C9C" w14:textId="77777777" w:rsidR="00BF43D5" w:rsidRPr="001D7D1C" w:rsidRDefault="00BF43D5" w:rsidP="00CD4E81">
            <w:pPr>
              <w:jc w:val="right"/>
              <w:rPr>
                <w:rFonts w:ascii="Arial Narrow" w:hAnsi="Arial Narrow" w:cs="Times New Roman"/>
                <w:iCs/>
                <w:color w:val="000000"/>
                <w:sz w:val="20"/>
                <w:szCs w:val="20"/>
              </w:rPr>
            </w:pPr>
            <w:r w:rsidRPr="001D7D1C">
              <w:rPr>
                <w:rFonts w:ascii="Arial Narrow" w:hAnsi="Arial Narrow" w:cs="Times New Roman"/>
                <w:iCs/>
                <w:color w:val="000000"/>
                <w:sz w:val="20"/>
                <w:szCs w:val="20"/>
              </w:rPr>
              <w:t>Dispensed price/DPMQ</w:t>
            </w:r>
          </w:p>
        </w:tc>
        <w:tc>
          <w:tcPr>
            <w:tcW w:w="2467" w:type="dxa"/>
            <w:tcBorders>
              <w:top w:val="nil"/>
              <w:left w:val="nil"/>
              <w:bottom w:val="single" w:sz="4" w:space="0" w:color="auto"/>
              <w:right w:val="single" w:sz="4" w:space="0" w:color="auto"/>
            </w:tcBorders>
            <w:shd w:val="clear" w:color="auto" w:fill="auto"/>
            <w:noWrap/>
            <w:vAlign w:val="bottom"/>
            <w:hideMark/>
          </w:tcPr>
          <w:p w14:paraId="62B37BAF" w14:textId="134C1A64" w:rsidR="00BF43D5" w:rsidRPr="001D7D1C" w:rsidRDefault="00BF43D5" w:rsidP="00BF43D5">
            <w:pPr>
              <w:jc w:val="right"/>
              <w:rPr>
                <w:rFonts w:ascii="Arial Narrow" w:hAnsi="Arial Narrow" w:cs="Times New Roman"/>
                <w:iCs/>
                <w:color w:val="000000"/>
                <w:sz w:val="20"/>
                <w:szCs w:val="20"/>
              </w:rPr>
            </w:pPr>
            <w:r w:rsidRPr="001D7D1C">
              <w:rPr>
                <w:rFonts w:ascii="Arial Narrow" w:hAnsi="Arial Narrow" w:cs="Times New Roman"/>
                <w:iCs/>
                <w:color w:val="000000"/>
                <w:sz w:val="20"/>
                <w:szCs w:val="20"/>
              </w:rPr>
              <w:t>$</w:t>
            </w:r>
            <w:r w:rsidR="0057223D" w:rsidRPr="0057223D">
              <w:rPr>
                <w:rFonts w:ascii="Arial Narrow" w:hAnsi="Arial Narrow" w:cs="Times New Roman"/>
                <w:iCs/>
                <w:color w:val="000000"/>
                <w:spacing w:val="53"/>
                <w:sz w:val="20"/>
                <w:szCs w:val="20"/>
                <w:shd w:val="solid" w:color="000000" w:fill="000000"/>
                <w:fitText w:val="330" w:id="-663557878"/>
                <w14:textFill>
                  <w14:solidFill>
                    <w14:srgbClr w14:val="000000">
                      <w14:alpha w14:val="100000"/>
                    </w14:srgbClr>
                  </w14:solidFill>
                </w14:textFill>
              </w:rPr>
              <w:t>|||</w:t>
            </w:r>
            <w:r w:rsidR="0057223D" w:rsidRPr="0057223D">
              <w:rPr>
                <w:rFonts w:ascii="Arial Narrow" w:hAnsi="Arial Narrow" w:cs="Times New Roman"/>
                <w:iCs/>
                <w:color w:val="000000"/>
                <w:spacing w:val="1"/>
                <w:sz w:val="20"/>
                <w:szCs w:val="20"/>
                <w:shd w:val="solid" w:color="000000" w:fill="000000"/>
                <w:fitText w:val="330" w:id="-663557878"/>
                <w14:textFill>
                  <w14:solidFill>
                    <w14:srgbClr w14:val="000000">
                      <w14:alpha w14:val="100000"/>
                    </w14:srgbClr>
                  </w14:solidFill>
                </w14:textFill>
              </w:rPr>
              <w:t>|</w:t>
            </w:r>
          </w:p>
        </w:tc>
      </w:tr>
      <w:tr w:rsidR="00BF43D5" w:rsidRPr="001D7D1C" w14:paraId="0B73B68D" w14:textId="77777777" w:rsidTr="00CD4E81">
        <w:trPr>
          <w:trHeight w:val="20"/>
        </w:trPr>
        <w:tc>
          <w:tcPr>
            <w:tcW w:w="6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95BE0" w14:textId="150249D8" w:rsidR="00BF43D5" w:rsidRPr="001D7D1C" w:rsidRDefault="00BF43D5" w:rsidP="00CD4E81">
            <w:pPr>
              <w:jc w:val="right"/>
              <w:rPr>
                <w:rFonts w:ascii="Arial Narrow" w:hAnsi="Arial Narrow" w:cs="Times New Roman"/>
                <w:iCs/>
                <w:color w:val="000000"/>
                <w:sz w:val="20"/>
                <w:szCs w:val="20"/>
              </w:rPr>
            </w:pPr>
            <w:r w:rsidRPr="001D7D1C">
              <w:rPr>
                <w:rFonts w:ascii="Arial Narrow" w:hAnsi="Arial Narrow" w:cs="Times New Roman"/>
                <w:iCs/>
                <w:color w:val="000000"/>
                <w:sz w:val="20"/>
                <w:szCs w:val="20"/>
              </w:rPr>
              <w:t>App</w:t>
            </w:r>
            <w:r w:rsidR="00A93356" w:rsidRPr="001D7D1C">
              <w:rPr>
                <w:rFonts w:ascii="Arial Narrow" w:hAnsi="Arial Narrow" w:cs="Times New Roman"/>
                <w:iCs/>
                <w:color w:val="000000"/>
                <w:sz w:val="20"/>
                <w:szCs w:val="20"/>
              </w:rPr>
              <w:t>r</w:t>
            </w:r>
            <w:r w:rsidRPr="001D7D1C">
              <w:rPr>
                <w:rFonts w:ascii="Arial Narrow" w:hAnsi="Arial Narrow" w:cs="Times New Roman"/>
                <w:iCs/>
                <w:color w:val="000000"/>
                <w:sz w:val="20"/>
                <w:szCs w:val="20"/>
              </w:rPr>
              <w:t>oved Ex-manufacturer price (back-calculated)</w:t>
            </w:r>
          </w:p>
        </w:tc>
        <w:tc>
          <w:tcPr>
            <w:tcW w:w="2467" w:type="dxa"/>
            <w:tcBorders>
              <w:top w:val="nil"/>
              <w:left w:val="nil"/>
              <w:bottom w:val="single" w:sz="4" w:space="0" w:color="auto"/>
              <w:right w:val="single" w:sz="4" w:space="0" w:color="auto"/>
            </w:tcBorders>
            <w:shd w:val="clear" w:color="auto" w:fill="auto"/>
            <w:noWrap/>
            <w:vAlign w:val="bottom"/>
            <w:hideMark/>
          </w:tcPr>
          <w:p w14:paraId="26865B92" w14:textId="12813F2F" w:rsidR="00BF43D5" w:rsidRPr="001D7D1C" w:rsidRDefault="00BF43D5" w:rsidP="00BF43D5">
            <w:pPr>
              <w:jc w:val="right"/>
              <w:rPr>
                <w:rFonts w:ascii="Arial Narrow" w:hAnsi="Arial Narrow" w:cs="Times New Roman"/>
                <w:iCs/>
                <w:color w:val="000000"/>
                <w:sz w:val="20"/>
                <w:szCs w:val="20"/>
              </w:rPr>
            </w:pPr>
            <w:r w:rsidRPr="001D7D1C">
              <w:rPr>
                <w:rFonts w:ascii="Arial Narrow" w:hAnsi="Arial Narrow" w:cs="Times New Roman"/>
                <w:iCs/>
                <w:color w:val="000000"/>
                <w:sz w:val="20"/>
                <w:szCs w:val="20"/>
              </w:rPr>
              <w:t>$</w:t>
            </w:r>
            <w:r w:rsidR="0057223D" w:rsidRPr="0057223D">
              <w:rPr>
                <w:rFonts w:ascii="Arial Narrow" w:hAnsi="Arial Narrow" w:cs="Times New Roman"/>
                <w:iCs/>
                <w:color w:val="000000"/>
                <w:spacing w:val="53"/>
                <w:sz w:val="20"/>
                <w:szCs w:val="20"/>
                <w:shd w:val="solid" w:color="000000" w:fill="000000"/>
                <w:fitText w:val="330" w:id="-663557877"/>
                <w14:textFill>
                  <w14:solidFill>
                    <w14:srgbClr w14:val="000000">
                      <w14:alpha w14:val="100000"/>
                    </w14:srgbClr>
                  </w14:solidFill>
                </w14:textFill>
              </w:rPr>
              <w:t>|||</w:t>
            </w:r>
            <w:r w:rsidR="0057223D" w:rsidRPr="0057223D">
              <w:rPr>
                <w:rFonts w:ascii="Arial Narrow" w:hAnsi="Arial Narrow" w:cs="Times New Roman"/>
                <w:iCs/>
                <w:color w:val="000000"/>
                <w:spacing w:val="1"/>
                <w:sz w:val="20"/>
                <w:szCs w:val="20"/>
                <w:shd w:val="solid" w:color="000000" w:fill="000000"/>
                <w:fitText w:val="330" w:id="-663557877"/>
                <w14:textFill>
                  <w14:solidFill>
                    <w14:srgbClr w14:val="000000">
                      <w14:alpha w14:val="100000"/>
                    </w14:srgbClr>
                  </w14:solidFill>
                </w14:textFill>
              </w:rPr>
              <w:t>|</w:t>
            </w:r>
          </w:p>
        </w:tc>
      </w:tr>
    </w:tbl>
    <w:p w14:paraId="45D56F18" w14:textId="02ED8A01" w:rsidR="00C974FE" w:rsidRPr="001D7D1C" w:rsidRDefault="00457A99" w:rsidP="00F511D9">
      <w:pPr>
        <w:pStyle w:val="TableFigureFooter"/>
        <w:rPr>
          <w:szCs w:val="18"/>
        </w:rPr>
      </w:pPr>
      <w:r w:rsidRPr="00903FD7">
        <w:rPr>
          <w:rFonts w:eastAsia="Calibri"/>
        </w:rPr>
        <w:t xml:space="preserve">Footnotes: Ex-manufacturer price </w:t>
      </w:r>
      <w:proofErr w:type="gramStart"/>
      <w:r w:rsidRPr="00903FD7">
        <w:rPr>
          <w:rFonts w:eastAsia="Calibri"/>
        </w:rPr>
        <w:t>back-calculated</w:t>
      </w:r>
      <w:proofErr w:type="gramEnd"/>
      <w:r w:rsidRPr="00903FD7">
        <w:rPr>
          <w:rFonts w:eastAsia="Calibri"/>
        </w:rPr>
        <w:t xml:space="preserve"> based on 1 July 2024 markups, valid </w:t>
      </w:r>
      <w:proofErr w:type="gramStart"/>
      <w:r w:rsidRPr="00903FD7">
        <w:rPr>
          <w:rFonts w:eastAsia="Calibri"/>
        </w:rPr>
        <w:t>at</w:t>
      </w:r>
      <w:proofErr w:type="gramEnd"/>
      <w:r w:rsidRPr="00903FD7">
        <w:rPr>
          <w:rFonts w:eastAsia="Calibri"/>
        </w:rPr>
        <w:t xml:space="preserve"> </w:t>
      </w:r>
      <w:r w:rsidR="00C974FE" w:rsidRPr="001D7D1C">
        <w:rPr>
          <w:szCs w:val="18"/>
        </w:rPr>
        <w:t>1</w:t>
      </w:r>
      <w:r w:rsidRPr="001D7D1C">
        <w:rPr>
          <w:szCs w:val="18"/>
        </w:rPr>
        <w:t xml:space="preserve"> April 2025. </w:t>
      </w:r>
    </w:p>
    <w:p w14:paraId="7D8E0C87" w14:textId="39712EE1" w:rsidR="00104309" w:rsidRPr="001D7D1C" w:rsidRDefault="00457A99" w:rsidP="00F511D9">
      <w:pPr>
        <w:pStyle w:val="TableFigureFooter"/>
      </w:pPr>
      <w:r w:rsidRPr="00903FD7">
        <w:rPr>
          <w:rFonts w:eastAsia="Calibri"/>
        </w:rPr>
        <w:t>Abbreviations: REPO =</w:t>
      </w:r>
      <w:r w:rsidR="00F95128" w:rsidRPr="001D7D1C">
        <w:t xml:space="preserve"> </w:t>
      </w:r>
      <w:r w:rsidRPr="001D7D1C">
        <w:t>repotrectinib; mg = milligram; DPMQ = dispensed price for maximum quantity</w:t>
      </w:r>
    </w:p>
    <w:p w14:paraId="6AD04161" w14:textId="46A0A0F7" w:rsidR="00C033BE" w:rsidRPr="00CD4E81" w:rsidRDefault="00846B83" w:rsidP="00CD4E81">
      <w:pPr>
        <w:pStyle w:val="3-BodyText"/>
        <w:rPr>
          <w:b/>
          <w:bCs/>
          <w:lang w:eastAsia="en-US"/>
        </w:rPr>
      </w:pPr>
      <w:r>
        <w:rPr>
          <w:iCs/>
        </w:rPr>
        <w:t xml:space="preserve">The Pre-PBAC response considered this scenario may be reasonable as it ensures the cost per day in the dose reduction scenarios is equivalent to the standard dose. </w:t>
      </w:r>
    </w:p>
    <w:p w14:paraId="5B78E0F9" w14:textId="1A6A4844" w:rsidR="00BB71BF" w:rsidRDefault="00C16992" w:rsidP="004A0791">
      <w:pPr>
        <w:pStyle w:val="5-SubsectionSubheading"/>
        <w:rPr>
          <w:b w:val="0"/>
          <w:bCs/>
          <w:lang w:eastAsia="en-US"/>
        </w:rPr>
      </w:pPr>
      <w:r>
        <w:rPr>
          <w:lang w:eastAsia="en-US"/>
        </w:rPr>
        <w:lastRenderedPageBreak/>
        <w:t xml:space="preserve">ESC </w:t>
      </w:r>
      <w:r w:rsidR="00BB71BF" w:rsidRPr="00AF7ACC">
        <w:rPr>
          <w:lang w:eastAsia="en-US"/>
        </w:rPr>
        <w:t xml:space="preserve">Scenario </w:t>
      </w:r>
      <w:r>
        <w:rPr>
          <w:lang w:eastAsia="en-US"/>
        </w:rPr>
        <w:t>2</w:t>
      </w:r>
      <w:r w:rsidR="00BB71BF" w:rsidRPr="00AF7ACC">
        <w:rPr>
          <w:lang w:eastAsia="en-US"/>
        </w:rPr>
        <w:t xml:space="preserve">: </w:t>
      </w:r>
      <w:r w:rsidR="00CB439B">
        <w:rPr>
          <w:b w:val="0"/>
          <w:bCs/>
          <w:lang w:eastAsia="en-US"/>
        </w:rPr>
        <w:t>Price</w:t>
      </w:r>
      <w:r w:rsidR="00BB71BF" w:rsidRPr="00AF7ACC">
        <w:rPr>
          <w:b w:val="0"/>
          <w:bCs/>
          <w:lang w:eastAsia="en-US"/>
        </w:rPr>
        <w:t xml:space="preserve"> per </w:t>
      </w:r>
      <w:r w:rsidR="00AD791C">
        <w:rPr>
          <w:b w:val="0"/>
          <w:bCs/>
          <w:lang w:eastAsia="en-US"/>
        </w:rPr>
        <w:t>milligram (mg)</w:t>
      </w:r>
    </w:p>
    <w:p w14:paraId="1D365812" w14:textId="16423B39" w:rsidR="004976AC" w:rsidRPr="001D470A" w:rsidRDefault="00564890" w:rsidP="003A7FAD">
      <w:pPr>
        <w:pStyle w:val="3-BodyText"/>
      </w:pPr>
      <w:r w:rsidRPr="001D470A">
        <w:t xml:space="preserve">The </w:t>
      </w:r>
      <w:r w:rsidR="004976AC" w:rsidRPr="001D470A">
        <w:t xml:space="preserve">sponsored calculated </w:t>
      </w:r>
      <w:r w:rsidRPr="001D470A">
        <w:t xml:space="preserve">the </w:t>
      </w:r>
      <w:r w:rsidR="004976AC" w:rsidRPr="001D470A">
        <w:t>cost per day of $</w:t>
      </w:r>
      <w:r w:rsidR="0057223D" w:rsidRPr="0057223D">
        <w:rPr>
          <w:color w:val="000000"/>
          <w:w w:val="60"/>
          <w:shd w:val="solid" w:color="000000" w:fill="000000"/>
          <w:fitText w:val="470" w:id="-663557876"/>
          <w14:textFill>
            <w14:solidFill>
              <w14:srgbClr w14:val="000000">
                <w14:alpha w14:val="100000"/>
              </w14:srgbClr>
            </w14:solidFill>
          </w14:textFill>
        </w:rPr>
        <w:t>||</w:t>
      </w:r>
      <w:proofErr w:type="gramStart"/>
      <w:r w:rsidR="0057223D" w:rsidRPr="0057223D">
        <w:rPr>
          <w:color w:val="000000"/>
          <w:w w:val="60"/>
          <w:shd w:val="solid" w:color="000000" w:fill="000000"/>
          <w:fitText w:val="470" w:id="-663557876"/>
          <w14:textFill>
            <w14:solidFill>
              <w14:srgbClr w14:val="000000">
                <w14:alpha w14:val="100000"/>
              </w14:srgbClr>
            </w14:solidFill>
          </w14:textFill>
        </w:rPr>
        <w:t>|  |</w:t>
      </w:r>
      <w:proofErr w:type="gramEnd"/>
      <w:r w:rsidR="0057223D" w:rsidRPr="0057223D">
        <w:rPr>
          <w:color w:val="000000"/>
          <w:w w:val="60"/>
          <w:shd w:val="solid" w:color="000000" w:fill="000000"/>
          <w:fitText w:val="470" w:id="-663557876"/>
          <w14:textFill>
            <w14:solidFill>
              <w14:srgbClr w14:val="000000">
                <w14:alpha w14:val="100000"/>
              </w14:srgbClr>
            </w14:solidFill>
          </w14:textFill>
        </w:rPr>
        <w:t>|</w:t>
      </w:r>
      <w:r w:rsidR="0057223D" w:rsidRPr="0057223D">
        <w:rPr>
          <w:color w:val="000000"/>
          <w:spacing w:val="6"/>
          <w:w w:val="60"/>
          <w:shd w:val="solid" w:color="000000" w:fill="000000"/>
          <w:fitText w:val="470" w:id="-663557876"/>
          <w14:textFill>
            <w14:solidFill>
              <w14:srgbClr w14:val="000000">
                <w14:alpha w14:val="100000"/>
              </w14:srgbClr>
            </w14:solidFill>
          </w14:textFill>
        </w:rPr>
        <w:t>|</w:t>
      </w:r>
      <w:r w:rsidR="004976AC" w:rsidRPr="001D470A">
        <w:t xml:space="preserve"> </w:t>
      </w:r>
      <w:r w:rsidR="00DF121C" w:rsidRPr="001D470A">
        <w:t xml:space="preserve">and </w:t>
      </w:r>
      <w:r w:rsidR="00194AE1" w:rsidRPr="001D470A">
        <w:t xml:space="preserve">an AEMP for the </w:t>
      </w:r>
      <w:r w:rsidR="004D2150" w:rsidRPr="001D470A">
        <w:t>160</w:t>
      </w:r>
      <w:r w:rsidR="00CD4E81">
        <w:t> </w:t>
      </w:r>
      <w:r w:rsidR="004D2150" w:rsidRPr="001D470A">
        <w:t xml:space="preserve">mg x </w:t>
      </w:r>
      <w:r w:rsidR="00CD4E81" w:rsidRPr="001D470A">
        <w:t>60</w:t>
      </w:r>
      <w:r w:rsidR="00CD4E81">
        <w:t> </w:t>
      </w:r>
      <w:r w:rsidR="004D2150" w:rsidRPr="001D470A">
        <w:t>pack of $</w:t>
      </w:r>
      <w:r w:rsidR="0057223D" w:rsidRPr="0057223D">
        <w:rPr>
          <w:color w:val="000000"/>
          <w:w w:val="60"/>
          <w:shd w:val="solid" w:color="000000" w:fill="000000"/>
          <w:fitText w:val="470" w:id="-663557875"/>
          <w14:textFill>
            <w14:solidFill>
              <w14:srgbClr w14:val="000000">
                <w14:alpha w14:val="100000"/>
              </w14:srgbClr>
            </w14:solidFill>
          </w14:textFill>
        </w:rPr>
        <w:t>||</w:t>
      </w:r>
      <w:proofErr w:type="gramStart"/>
      <w:r w:rsidR="0057223D" w:rsidRPr="0057223D">
        <w:rPr>
          <w:color w:val="000000"/>
          <w:w w:val="60"/>
          <w:shd w:val="solid" w:color="000000" w:fill="000000"/>
          <w:fitText w:val="470" w:id="-663557875"/>
          <w14:textFill>
            <w14:solidFill>
              <w14:srgbClr w14:val="000000">
                <w14:alpha w14:val="100000"/>
              </w14:srgbClr>
            </w14:solidFill>
          </w14:textFill>
        </w:rPr>
        <w:t>|  |</w:t>
      </w:r>
      <w:proofErr w:type="gramEnd"/>
      <w:r w:rsidR="0057223D" w:rsidRPr="0057223D">
        <w:rPr>
          <w:color w:val="000000"/>
          <w:w w:val="60"/>
          <w:shd w:val="solid" w:color="000000" w:fill="000000"/>
          <w:fitText w:val="470" w:id="-663557875"/>
          <w14:textFill>
            <w14:solidFill>
              <w14:srgbClr w14:val="000000">
                <w14:alpha w14:val="100000"/>
              </w14:srgbClr>
            </w14:solidFill>
          </w14:textFill>
        </w:rPr>
        <w:t>|</w:t>
      </w:r>
      <w:r w:rsidR="0057223D" w:rsidRPr="0057223D">
        <w:rPr>
          <w:color w:val="000000"/>
          <w:spacing w:val="6"/>
          <w:w w:val="60"/>
          <w:shd w:val="solid" w:color="000000" w:fill="000000"/>
          <w:fitText w:val="470" w:id="-663557875"/>
          <w14:textFill>
            <w14:solidFill>
              <w14:srgbClr w14:val="000000">
                <w14:alpha w14:val="100000"/>
              </w14:srgbClr>
            </w14:solidFill>
          </w14:textFill>
        </w:rPr>
        <w:t>|</w:t>
      </w:r>
      <w:r w:rsidR="00DF121C" w:rsidRPr="001D470A">
        <w:t xml:space="preserve"> (</w:t>
      </w:r>
      <w:r w:rsidR="00C958AC" w:rsidRPr="001D470A">
        <w:rPr>
          <w:highlight w:val="yellow"/>
        </w:rPr>
        <w:fldChar w:fldCharType="begin"/>
      </w:r>
      <w:r w:rsidR="00C958AC" w:rsidRPr="001D470A">
        <w:instrText xml:space="preserve"> REF _Ref193190900 \h </w:instrText>
      </w:r>
      <w:r w:rsidR="00C958AC" w:rsidRPr="001D470A">
        <w:rPr>
          <w:highlight w:val="yellow"/>
        </w:rPr>
        <w:instrText xml:space="preserve"> \* MERGEFORMAT </w:instrText>
      </w:r>
      <w:r w:rsidR="00C958AC" w:rsidRPr="001D470A">
        <w:rPr>
          <w:highlight w:val="yellow"/>
        </w:rPr>
      </w:r>
      <w:r w:rsidR="00C958AC" w:rsidRPr="001D470A">
        <w:rPr>
          <w:highlight w:val="yellow"/>
        </w:rPr>
        <w:fldChar w:fldCharType="separate"/>
      </w:r>
      <w:r w:rsidR="00D32E93">
        <w:t xml:space="preserve">Table </w:t>
      </w:r>
      <w:r w:rsidR="00D32E93">
        <w:rPr>
          <w:noProof/>
        </w:rPr>
        <w:t>7</w:t>
      </w:r>
      <w:r w:rsidR="00C958AC" w:rsidRPr="001D470A">
        <w:rPr>
          <w:highlight w:val="yellow"/>
        </w:rPr>
        <w:fldChar w:fldCharType="end"/>
      </w:r>
      <w:r w:rsidR="00DF121C" w:rsidRPr="001D470A">
        <w:t>)</w:t>
      </w:r>
      <w:r w:rsidR="00951EF1" w:rsidRPr="001D470A">
        <w:t xml:space="preserve">. This equates to </w:t>
      </w:r>
      <w:r w:rsidR="002013A9" w:rsidRPr="001D470A">
        <w:t>a pr</w:t>
      </w:r>
      <w:r w:rsidRPr="001D470A">
        <w:t>ice per mg $</w:t>
      </w:r>
      <w:r w:rsidR="0057223D" w:rsidRPr="0057223D">
        <w:rPr>
          <w:color w:val="000000"/>
          <w:w w:val="60"/>
          <w:shd w:val="solid" w:color="000000" w:fill="000000"/>
          <w:fitText w:val="470" w:id="-663557874"/>
          <w14:textFill>
            <w14:solidFill>
              <w14:srgbClr w14:val="000000">
                <w14:alpha w14:val="100000"/>
              </w14:srgbClr>
            </w14:solidFill>
          </w14:textFill>
        </w:rPr>
        <w:t>|||  ||</w:t>
      </w:r>
      <w:r w:rsidR="0057223D" w:rsidRPr="0057223D">
        <w:rPr>
          <w:color w:val="000000"/>
          <w:spacing w:val="6"/>
          <w:w w:val="60"/>
          <w:shd w:val="solid" w:color="000000" w:fill="000000"/>
          <w:fitText w:val="470" w:id="-663557874"/>
          <w14:textFill>
            <w14:solidFill>
              <w14:srgbClr w14:val="000000">
                <w14:alpha w14:val="100000"/>
              </w14:srgbClr>
            </w14:solidFill>
          </w14:textFill>
        </w:rPr>
        <w:t>|</w:t>
      </w:r>
      <w:r w:rsidR="002013A9" w:rsidRPr="001D470A">
        <w:t xml:space="preserve">. </w:t>
      </w:r>
      <w:r w:rsidR="00AD791C" w:rsidRPr="001D470A">
        <w:t>Applying the cost per mg to the smaller pack size of 40</w:t>
      </w:r>
      <w:r w:rsidR="00CD4E81">
        <w:t> </w:t>
      </w:r>
      <w:r w:rsidR="00AD791C" w:rsidRPr="001D470A">
        <w:t>mg x 120</w:t>
      </w:r>
      <w:r w:rsidR="00CD4E81">
        <w:t> </w:t>
      </w:r>
      <w:r w:rsidR="00AD791C" w:rsidRPr="001D470A">
        <w:t>capsules</w:t>
      </w:r>
      <w:r w:rsidR="007E1AD2" w:rsidRPr="001D470A">
        <w:t xml:space="preserve"> </w:t>
      </w:r>
      <w:r w:rsidR="00CB439B" w:rsidRPr="001D470A">
        <w:t>calculates</w:t>
      </w:r>
      <w:r w:rsidR="007E1AD2" w:rsidRPr="001D470A">
        <w:t xml:space="preserve"> </w:t>
      </w:r>
      <w:r w:rsidR="00342BEA" w:rsidRPr="001D470A">
        <w:t>an</w:t>
      </w:r>
      <w:r w:rsidR="005C3A51" w:rsidRPr="001D470A">
        <w:t xml:space="preserve"> AEMP of $</w:t>
      </w:r>
      <w:r w:rsidR="0057223D" w:rsidRPr="0057223D">
        <w:rPr>
          <w:color w:val="000000"/>
          <w:w w:val="60"/>
          <w:shd w:val="solid" w:color="000000" w:fill="000000"/>
          <w:fitText w:val="470" w:id="-663557873"/>
          <w14:textFill>
            <w14:solidFill>
              <w14:srgbClr w14:val="000000">
                <w14:alpha w14:val="100000"/>
              </w14:srgbClr>
            </w14:solidFill>
          </w14:textFill>
        </w:rPr>
        <w:t>|||  ||</w:t>
      </w:r>
      <w:r w:rsidR="0057223D" w:rsidRPr="0057223D">
        <w:rPr>
          <w:color w:val="000000"/>
          <w:spacing w:val="6"/>
          <w:w w:val="60"/>
          <w:shd w:val="solid" w:color="000000" w:fill="000000"/>
          <w:fitText w:val="470" w:id="-663557873"/>
          <w14:textFill>
            <w14:solidFill>
              <w14:srgbClr w14:val="000000">
                <w14:alpha w14:val="100000"/>
              </w14:srgbClr>
            </w14:solidFill>
          </w14:textFill>
        </w:rPr>
        <w:t>|</w:t>
      </w:r>
      <w:r w:rsidR="005C3A51" w:rsidRPr="001D470A">
        <w:t xml:space="preserve"> and DPMQ</w:t>
      </w:r>
      <w:r w:rsidR="00342BEA" w:rsidRPr="001D470A">
        <w:t xml:space="preserve"> of</w:t>
      </w:r>
      <w:r w:rsidR="005C3A51" w:rsidRPr="001D470A">
        <w:t xml:space="preserve"> $</w:t>
      </w:r>
      <w:r w:rsidR="0057223D" w:rsidRPr="0057223D">
        <w:rPr>
          <w:color w:val="000000"/>
          <w:w w:val="60"/>
          <w:shd w:val="solid" w:color="000000" w:fill="000000"/>
          <w:fitText w:val="470" w:id="-663557872"/>
          <w14:textFill>
            <w14:solidFill>
              <w14:srgbClr w14:val="000000">
                <w14:alpha w14:val="100000"/>
              </w14:srgbClr>
            </w14:solidFill>
          </w14:textFill>
        </w:rPr>
        <w:t>|||  ||</w:t>
      </w:r>
      <w:r w:rsidR="0057223D" w:rsidRPr="0057223D">
        <w:rPr>
          <w:color w:val="000000"/>
          <w:spacing w:val="6"/>
          <w:w w:val="60"/>
          <w:shd w:val="solid" w:color="000000" w:fill="000000"/>
          <w:fitText w:val="470" w:id="-663557872"/>
          <w14:textFill>
            <w14:solidFill>
              <w14:srgbClr w14:val="000000">
                <w14:alpha w14:val="100000"/>
              </w14:srgbClr>
            </w14:solidFill>
          </w14:textFill>
        </w:rPr>
        <w:t>|</w:t>
      </w:r>
      <w:r w:rsidR="005C3A51" w:rsidRPr="001D470A">
        <w:t xml:space="preserve">. </w:t>
      </w:r>
    </w:p>
    <w:p w14:paraId="1857B979" w14:textId="77777777" w:rsidR="00CB439B" w:rsidRPr="001D470A" w:rsidRDefault="004976AC" w:rsidP="003A7FAD">
      <w:pPr>
        <w:pStyle w:val="3-BodyText"/>
      </w:pPr>
      <w:r w:rsidRPr="001D470A">
        <w:t xml:space="preserve">The cost per day calculations for the dose reduction scenarios were calculated as outlined in the table below: </w:t>
      </w:r>
    </w:p>
    <w:p w14:paraId="0ED69103" w14:textId="35AF2EBD" w:rsidR="00C72CC6" w:rsidRPr="001D470A" w:rsidRDefault="00C72CC6" w:rsidP="00C72CC6">
      <w:pPr>
        <w:pStyle w:val="Caption"/>
      </w:pPr>
      <w:r w:rsidRPr="001D470A">
        <w:t xml:space="preserve">Table </w:t>
      </w:r>
      <w:r w:rsidRPr="001D470A">
        <w:fldChar w:fldCharType="begin"/>
      </w:r>
      <w:r w:rsidRPr="001D470A">
        <w:instrText xml:space="preserve"> SEQ Table \* ARABIC </w:instrText>
      </w:r>
      <w:r w:rsidRPr="001D470A">
        <w:fldChar w:fldCharType="separate"/>
      </w:r>
      <w:r w:rsidR="00D32E93">
        <w:rPr>
          <w:noProof/>
        </w:rPr>
        <w:t>10</w:t>
      </w:r>
      <w:r w:rsidRPr="001D470A">
        <w:fldChar w:fldCharType="end"/>
      </w:r>
      <w:r w:rsidRPr="001D470A">
        <w:t>: Repotrectinib price per milligram approach</w:t>
      </w:r>
      <w:r w:rsidR="00267DEA">
        <w:t xml:space="preserve"> (published price)</w:t>
      </w:r>
    </w:p>
    <w:tbl>
      <w:tblPr>
        <w:tblW w:w="9067" w:type="dxa"/>
        <w:tblLook w:val="04A0" w:firstRow="1" w:lastRow="0" w:firstColumn="1" w:lastColumn="0" w:noHBand="0" w:noVBand="1"/>
      </w:tblPr>
      <w:tblGrid>
        <w:gridCol w:w="1965"/>
        <w:gridCol w:w="3133"/>
        <w:gridCol w:w="3969"/>
      </w:tblGrid>
      <w:tr w:rsidR="00AF7ACC" w:rsidRPr="001D470A" w14:paraId="20DEB4F1" w14:textId="77777777" w:rsidTr="00CD4E81">
        <w:trPr>
          <w:trHeight w:val="227"/>
        </w:trPr>
        <w:tc>
          <w:tcPr>
            <w:tcW w:w="50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A5CD3" w14:textId="77777777" w:rsidR="00AF7ACC" w:rsidRPr="001D470A" w:rsidRDefault="00AF7ACC" w:rsidP="00AF7ACC">
            <w:pPr>
              <w:jc w:val="left"/>
              <w:rPr>
                <w:rFonts w:ascii="Arial Narrow" w:hAnsi="Arial Narrow" w:cs="Times New Roman"/>
                <w:b/>
                <w:bCs/>
                <w:color w:val="000000"/>
                <w:sz w:val="20"/>
                <w:szCs w:val="20"/>
              </w:rPr>
            </w:pPr>
            <w:r w:rsidRPr="001D470A">
              <w:rPr>
                <w:rFonts w:ascii="Arial Narrow" w:hAnsi="Arial Narrow" w:cs="Times New Roman"/>
                <w:b/>
                <w:bCs/>
                <w:color w:val="000000"/>
                <w:sz w:val="20"/>
                <w:szCs w:val="20"/>
              </w:rPr>
              <w:t>Standard pack</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47E7C0DD" w14:textId="77777777" w:rsidR="00AF7ACC" w:rsidRPr="001D470A" w:rsidRDefault="00AF7ACC" w:rsidP="00AF7ACC">
            <w:pPr>
              <w:jc w:val="center"/>
              <w:rPr>
                <w:rFonts w:ascii="Arial Narrow" w:hAnsi="Arial Narrow" w:cs="Times New Roman"/>
                <w:b/>
                <w:bCs/>
                <w:color w:val="000000"/>
                <w:sz w:val="20"/>
                <w:szCs w:val="20"/>
              </w:rPr>
            </w:pPr>
            <w:r w:rsidRPr="001D470A">
              <w:rPr>
                <w:rFonts w:ascii="Arial Narrow" w:hAnsi="Arial Narrow" w:cs="Times New Roman"/>
                <w:b/>
                <w:bCs/>
                <w:color w:val="000000"/>
                <w:sz w:val="20"/>
                <w:szCs w:val="20"/>
              </w:rPr>
              <w:t> </w:t>
            </w:r>
          </w:p>
        </w:tc>
      </w:tr>
      <w:tr w:rsidR="00AF7ACC" w:rsidRPr="001D470A" w14:paraId="4E2FE7BE" w14:textId="77777777" w:rsidTr="00CD4E81">
        <w:trPr>
          <w:trHeight w:val="22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1AD04AD5" w14:textId="77777777" w:rsidR="00AF7ACC" w:rsidRPr="001D470A" w:rsidRDefault="00AF7ACC" w:rsidP="00AF7ACC">
            <w:pPr>
              <w:jc w:val="left"/>
              <w:rPr>
                <w:rFonts w:ascii="Arial Narrow" w:hAnsi="Arial Narrow" w:cs="Times New Roman"/>
                <w:color w:val="000000"/>
                <w:sz w:val="20"/>
                <w:szCs w:val="20"/>
              </w:rPr>
            </w:pPr>
            <w:r w:rsidRPr="001D470A">
              <w:rPr>
                <w:rFonts w:ascii="Arial Narrow" w:hAnsi="Arial Narrow" w:cs="Times New Roman"/>
                <w:color w:val="000000"/>
                <w:sz w:val="20"/>
                <w:szCs w:val="20"/>
              </w:rPr>
              <w:t>Pack size</w:t>
            </w:r>
          </w:p>
        </w:tc>
        <w:tc>
          <w:tcPr>
            <w:tcW w:w="3133" w:type="dxa"/>
            <w:tcBorders>
              <w:top w:val="nil"/>
              <w:left w:val="nil"/>
              <w:bottom w:val="single" w:sz="4" w:space="0" w:color="auto"/>
              <w:right w:val="single" w:sz="4" w:space="0" w:color="auto"/>
            </w:tcBorders>
            <w:shd w:val="clear" w:color="auto" w:fill="auto"/>
            <w:noWrap/>
            <w:vAlign w:val="bottom"/>
            <w:hideMark/>
          </w:tcPr>
          <w:p w14:paraId="43D39995" w14:textId="77777777" w:rsidR="00AF7ACC" w:rsidRPr="001D470A" w:rsidRDefault="00AF7ACC" w:rsidP="00AF7ACC">
            <w:pPr>
              <w:jc w:val="right"/>
              <w:rPr>
                <w:rFonts w:ascii="Arial Narrow" w:hAnsi="Arial Narrow" w:cs="Times New Roman"/>
                <w:color w:val="000000"/>
                <w:sz w:val="20"/>
                <w:szCs w:val="20"/>
              </w:rPr>
            </w:pPr>
            <w:r w:rsidRPr="001D470A">
              <w:rPr>
                <w:rFonts w:ascii="Arial Narrow" w:hAnsi="Arial Narrow" w:cs="Times New Roman"/>
                <w:color w:val="000000"/>
                <w:sz w:val="20"/>
                <w:szCs w:val="20"/>
              </w:rPr>
              <w:t>9,600 mg</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7B88E" w14:textId="4760A137" w:rsidR="00AF7ACC" w:rsidRPr="001D470A" w:rsidRDefault="00AF7ACC" w:rsidP="00AF7ACC">
            <w:pPr>
              <w:jc w:val="center"/>
              <w:rPr>
                <w:rFonts w:ascii="Arial Narrow" w:hAnsi="Arial Narrow" w:cs="Times New Roman"/>
                <w:color w:val="000000"/>
                <w:sz w:val="20"/>
                <w:szCs w:val="20"/>
              </w:rPr>
            </w:pPr>
            <w:r w:rsidRPr="001D470A">
              <w:rPr>
                <w:rFonts w:ascii="Arial Narrow" w:hAnsi="Arial Narrow" w:cs="Times New Roman"/>
                <w:color w:val="000000"/>
                <w:sz w:val="20"/>
                <w:szCs w:val="20"/>
              </w:rPr>
              <w:t>Cost per mg: $</w:t>
            </w:r>
            <w:r w:rsidR="0057223D" w:rsidRPr="0057223D">
              <w:rPr>
                <w:rFonts w:ascii="Arial Narrow" w:hAnsi="Arial Narrow" w:cs="Times New Roman"/>
                <w:color w:val="000000"/>
                <w:spacing w:val="53"/>
                <w:sz w:val="20"/>
                <w:szCs w:val="20"/>
                <w:shd w:val="solid" w:color="000000" w:fill="000000"/>
                <w:fitText w:val="330" w:id="-663557888"/>
                <w14:textFill>
                  <w14:solidFill>
                    <w14:srgbClr w14:val="000000">
                      <w14:alpha w14:val="100000"/>
                    </w14:srgbClr>
                  </w14:solidFill>
                </w14:textFill>
              </w:rPr>
              <w:t>|||</w:t>
            </w:r>
            <w:r w:rsidR="0057223D" w:rsidRPr="0057223D">
              <w:rPr>
                <w:rFonts w:ascii="Arial Narrow" w:hAnsi="Arial Narrow" w:cs="Times New Roman"/>
                <w:color w:val="000000"/>
                <w:spacing w:val="1"/>
                <w:sz w:val="20"/>
                <w:szCs w:val="20"/>
                <w:shd w:val="solid" w:color="000000" w:fill="000000"/>
                <w:fitText w:val="330" w:id="-663557888"/>
                <w14:textFill>
                  <w14:solidFill>
                    <w14:srgbClr w14:val="000000">
                      <w14:alpha w14:val="100000"/>
                    </w14:srgbClr>
                  </w14:solidFill>
                </w14:textFill>
              </w:rPr>
              <w:t>|</w:t>
            </w:r>
          </w:p>
        </w:tc>
      </w:tr>
      <w:tr w:rsidR="00AF7ACC" w:rsidRPr="001D470A" w14:paraId="42B3409A" w14:textId="77777777" w:rsidTr="00CD4E81">
        <w:trPr>
          <w:trHeight w:val="22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1EDA3ACB" w14:textId="77777777" w:rsidR="00AF7ACC" w:rsidRPr="001D470A" w:rsidRDefault="00AF7ACC" w:rsidP="00AF7ACC">
            <w:pPr>
              <w:jc w:val="left"/>
              <w:rPr>
                <w:rFonts w:ascii="Arial Narrow" w:hAnsi="Arial Narrow" w:cs="Times New Roman"/>
                <w:color w:val="000000"/>
                <w:sz w:val="20"/>
                <w:szCs w:val="20"/>
              </w:rPr>
            </w:pPr>
            <w:r w:rsidRPr="001D470A">
              <w:rPr>
                <w:rFonts w:ascii="Arial Narrow" w:hAnsi="Arial Narrow" w:cs="Times New Roman"/>
                <w:color w:val="000000"/>
                <w:sz w:val="20"/>
                <w:szCs w:val="20"/>
              </w:rPr>
              <w:t>AEMP</w:t>
            </w:r>
          </w:p>
        </w:tc>
        <w:tc>
          <w:tcPr>
            <w:tcW w:w="3133" w:type="dxa"/>
            <w:tcBorders>
              <w:top w:val="nil"/>
              <w:left w:val="nil"/>
              <w:bottom w:val="single" w:sz="4" w:space="0" w:color="auto"/>
              <w:right w:val="single" w:sz="4" w:space="0" w:color="auto"/>
            </w:tcBorders>
            <w:shd w:val="clear" w:color="auto" w:fill="auto"/>
            <w:noWrap/>
            <w:vAlign w:val="bottom"/>
            <w:hideMark/>
          </w:tcPr>
          <w:p w14:paraId="350E3E43" w14:textId="590AF8B9" w:rsidR="00AF7ACC" w:rsidRPr="001D470A" w:rsidRDefault="00AF7ACC" w:rsidP="00AF7ACC">
            <w:pPr>
              <w:jc w:val="right"/>
              <w:rPr>
                <w:rFonts w:ascii="Arial Narrow" w:hAnsi="Arial Narrow" w:cs="Times New Roman"/>
                <w:color w:val="000000"/>
                <w:sz w:val="20"/>
                <w:szCs w:val="20"/>
              </w:rPr>
            </w:pPr>
            <w:r w:rsidRPr="001D470A">
              <w:rPr>
                <w:rFonts w:ascii="Arial Narrow" w:hAnsi="Arial Narrow" w:cs="Times New Roman"/>
                <w:color w:val="000000"/>
                <w:sz w:val="20"/>
                <w:szCs w:val="20"/>
              </w:rPr>
              <w:t>$</w:t>
            </w:r>
            <w:r w:rsidR="0057223D" w:rsidRPr="0057223D">
              <w:rPr>
                <w:rFonts w:ascii="Arial Narrow" w:hAnsi="Arial Narrow" w:cs="Times New Roman"/>
                <w:color w:val="000000"/>
                <w:spacing w:val="53"/>
                <w:sz w:val="20"/>
                <w:szCs w:val="20"/>
                <w:shd w:val="solid" w:color="000000" w:fill="000000"/>
                <w:fitText w:val="330" w:id="-663557887"/>
                <w14:textFill>
                  <w14:solidFill>
                    <w14:srgbClr w14:val="000000">
                      <w14:alpha w14:val="100000"/>
                    </w14:srgbClr>
                  </w14:solidFill>
                </w14:textFill>
              </w:rPr>
              <w:t>|||</w:t>
            </w:r>
            <w:r w:rsidR="0057223D" w:rsidRPr="0057223D">
              <w:rPr>
                <w:rFonts w:ascii="Arial Narrow" w:hAnsi="Arial Narrow" w:cs="Times New Roman"/>
                <w:color w:val="000000"/>
                <w:spacing w:val="1"/>
                <w:sz w:val="20"/>
                <w:szCs w:val="20"/>
                <w:shd w:val="solid" w:color="000000" w:fill="000000"/>
                <w:fitText w:val="330" w:id="-663557887"/>
                <w14:textFill>
                  <w14:solidFill>
                    <w14:srgbClr w14:val="000000">
                      <w14:alpha w14:val="100000"/>
                    </w14:srgbClr>
                  </w14:solidFill>
                </w14:textFill>
              </w:rPr>
              <w:t>|</w:t>
            </w:r>
          </w:p>
        </w:tc>
        <w:tc>
          <w:tcPr>
            <w:tcW w:w="3969" w:type="dxa"/>
            <w:vMerge/>
            <w:tcBorders>
              <w:top w:val="nil"/>
              <w:left w:val="nil"/>
              <w:bottom w:val="single" w:sz="4" w:space="0" w:color="auto"/>
              <w:right w:val="single" w:sz="4" w:space="0" w:color="auto"/>
            </w:tcBorders>
            <w:vAlign w:val="center"/>
            <w:hideMark/>
          </w:tcPr>
          <w:p w14:paraId="7E7752DF" w14:textId="77777777" w:rsidR="00AF7ACC" w:rsidRPr="001D470A" w:rsidRDefault="00AF7ACC" w:rsidP="00AF7ACC">
            <w:pPr>
              <w:jc w:val="left"/>
              <w:rPr>
                <w:rFonts w:ascii="Arial Narrow" w:hAnsi="Arial Narrow" w:cs="Times New Roman"/>
                <w:color w:val="000000"/>
                <w:sz w:val="20"/>
                <w:szCs w:val="20"/>
              </w:rPr>
            </w:pPr>
          </w:p>
        </w:tc>
      </w:tr>
      <w:tr w:rsidR="00AF7ACC" w:rsidRPr="001D470A" w14:paraId="792B4688" w14:textId="77777777" w:rsidTr="00CD4E81">
        <w:trPr>
          <w:trHeight w:val="227"/>
        </w:trPr>
        <w:tc>
          <w:tcPr>
            <w:tcW w:w="50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23D11" w14:textId="77777777" w:rsidR="00AF7ACC" w:rsidRPr="001D470A" w:rsidRDefault="00AF7ACC" w:rsidP="00AF7ACC">
            <w:pPr>
              <w:jc w:val="left"/>
              <w:rPr>
                <w:rFonts w:ascii="Arial Narrow" w:hAnsi="Arial Narrow" w:cs="Times New Roman"/>
                <w:b/>
                <w:bCs/>
                <w:color w:val="000000"/>
                <w:sz w:val="20"/>
                <w:szCs w:val="20"/>
              </w:rPr>
            </w:pPr>
            <w:r w:rsidRPr="001D470A">
              <w:rPr>
                <w:rFonts w:ascii="Arial Narrow" w:hAnsi="Arial Narrow" w:cs="Times New Roman"/>
                <w:b/>
                <w:bCs/>
                <w:color w:val="000000"/>
                <w:sz w:val="20"/>
                <w:szCs w:val="20"/>
              </w:rPr>
              <w:t>Dose reduction pack</w:t>
            </w:r>
          </w:p>
        </w:tc>
        <w:tc>
          <w:tcPr>
            <w:tcW w:w="3969" w:type="dxa"/>
            <w:tcBorders>
              <w:top w:val="single" w:sz="4" w:space="0" w:color="auto"/>
              <w:left w:val="nil"/>
              <w:bottom w:val="single" w:sz="4" w:space="0" w:color="auto"/>
              <w:right w:val="single" w:sz="4" w:space="0" w:color="000000"/>
            </w:tcBorders>
            <w:shd w:val="clear" w:color="auto" w:fill="auto"/>
            <w:noWrap/>
            <w:vAlign w:val="bottom"/>
            <w:hideMark/>
          </w:tcPr>
          <w:p w14:paraId="43ADAF4F" w14:textId="77777777" w:rsidR="00AF7ACC" w:rsidRPr="001D470A" w:rsidRDefault="00AF7ACC" w:rsidP="00AF7ACC">
            <w:pPr>
              <w:jc w:val="center"/>
              <w:rPr>
                <w:rFonts w:ascii="Arial Narrow" w:hAnsi="Arial Narrow" w:cs="Times New Roman"/>
                <w:color w:val="000000"/>
                <w:sz w:val="20"/>
                <w:szCs w:val="20"/>
              </w:rPr>
            </w:pPr>
            <w:r w:rsidRPr="001D470A">
              <w:rPr>
                <w:rFonts w:ascii="Arial Narrow" w:hAnsi="Arial Narrow" w:cs="Times New Roman"/>
                <w:color w:val="000000"/>
                <w:sz w:val="20"/>
                <w:szCs w:val="20"/>
              </w:rPr>
              <w:t> </w:t>
            </w:r>
          </w:p>
        </w:tc>
      </w:tr>
      <w:tr w:rsidR="00AF7ACC" w:rsidRPr="001D470A" w14:paraId="00C172E8" w14:textId="77777777" w:rsidTr="00CD4E81">
        <w:trPr>
          <w:trHeight w:val="22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0C3DD1A3" w14:textId="77777777" w:rsidR="00AF7ACC" w:rsidRPr="001D470A" w:rsidRDefault="00AF7ACC" w:rsidP="00AF7ACC">
            <w:pPr>
              <w:jc w:val="left"/>
              <w:rPr>
                <w:rFonts w:ascii="Arial Narrow" w:hAnsi="Arial Narrow" w:cs="Times New Roman"/>
                <w:color w:val="000000"/>
                <w:sz w:val="20"/>
                <w:szCs w:val="20"/>
              </w:rPr>
            </w:pPr>
            <w:r w:rsidRPr="001D470A">
              <w:rPr>
                <w:rFonts w:ascii="Arial Narrow" w:hAnsi="Arial Narrow" w:cs="Times New Roman"/>
                <w:color w:val="000000"/>
                <w:sz w:val="20"/>
                <w:szCs w:val="20"/>
              </w:rPr>
              <w:t>Pack size</w:t>
            </w:r>
          </w:p>
        </w:tc>
        <w:tc>
          <w:tcPr>
            <w:tcW w:w="3133" w:type="dxa"/>
            <w:tcBorders>
              <w:top w:val="nil"/>
              <w:left w:val="nil"/>
              <w:bottom w:val="single" w:sz="4" w:space="0" w:color="auto"/>
              <w:right w:val="single" w:sz="4" w:space="0" w:color="auto"/>
            </w:tcBorders>
            <w:shd w:val="clear" w:color="auto" w:fill="auto"/>
            <w:noWrap/>
            <w:vAlign w:val="bottom"/>
            <w:hideMark/>
          </w:tcPr>
          <w:p w14:paraId="3AA00201" w14:textId="77777777" w:rsidR="00AF7ACC" w:rsidRPr="001D470A" w:rsidRDefault="00AF7ACC" w:rsidP="00AF7ACC">
            <w:pPr>
              <w:jc w:val="right"/>
              <w:rPr>
                <w:rFonts w:ascii="Arial Narrow" w:hAnsi="Arial Narrow" w:cs="Times New Roman"/>
                <w:color w:val="000000"/>
                <w:sz w:val="20"/>
                <w:szCs w:val="20"/>
              </w:rPr>
            </w:pPr>
            <w:r w:rsidRPr="001D470A">
              <w:rPr>
                <w:rFonts w:ascii="Arial Narrow" w:hAnsi="Arial Narrow" w:cs="Times New Roman"/>
                <w:color w:val="000000"/>
                <w:sz w:val="20"/>
                <w:szCs w:val="20"/>
              </w:rPr>
              <w:t>4,800 mg</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9A526" w14:textId="71949BC0" w:rsidR="00AF7ACC" w:rsidRPr="001D470A" w:rsidRDefault="00AF7ACC" w:rsidP="00AF7ACC">
            <w:pPr>
              <w:jc w:val="center"/>
              <w:rPr>
                <w:rFonts w:ascii="Arial Narrow" w:hAnsi="Arial Narrow" w:cs="Times New Roman"/>
                <w:color w:val="000000"/>
                <w:sz w:val="20"/>
                <w:szCs w:val="20"/>
              </w:rPr>
            </w:pPr>
            <w:r w:rsidRPr="001D470A">
              <w:rPr>
                <w:rFonts w:ascii="Arial Narrow" w:hAnsi="Arial Narrow" w:cs="Times New Roman"/>
                <w:color w:val="000000"/>
                <w:sz w:val="20"/>
                <w:szCs w:val="20"/>
              </w:rPr>
              <w:t>Cost per mg: $</w:t>
            </w:r>
            <w:r w:rsidR="0057223D" w:rsidRPr="0057223D">
              <w:rPr>
                <w:rFonts w:ascii="Arial Narrow" w:hAnsi="Arial Narrow" w:cs="Times New Roman"/>
                <w:color w:val="000000"/>
                <w:spacing w:val="53"/>
                <w:sz w:val="20"/>
                <w:szCs w:val="20"/>
                <w:shd w:val="solid" w:color="000000" w:fill="000000"/>
                <w:fitText w:val="330" w:id="-663557886"/>
                <w14:textFill>
                  <w14:solidFill>
                    <w14:srgbClr w14:val="000000">
                      <w14:alpha w14:val="100000"/>
                    </w14:srgbClr>
                  </w14:solidFill>
                </w14:textFill>
              </w:rPr>
              <w:t>|||</w:t>
            </w:r>
            <w:r w:rsidR="0057223D" w:rsidRPr="0057223D">
              <w:rPr>
                <w:rFonts w:ascii="Arial Narrow" w:hAnsi="Arial Narrow" w:cs="Times New Roman"/>
                <w:color w:val="000000"/>
                <w:spacing w:val="1"/>
                <w:sz w:val="20"/>
                <w:szCs w:val="20"/>
                <w:shd w:val="solid" w:color="000000" w:fill="000000"/>
                <w:fitText w:val="330" w:id="-663557886"/>
                <w14:textFill>
                  <w14:solidFill>
                    <w14:srgbClr w14:val="000000">
                      <w14:alpha w14:val="100000"/>
                    </w14:srgbClr>
                  </w14:solidFill>
                </w14:textFill>
              </w:rPr>
              <w:t>|</w:t>
            </w:r>
          </w:p>
        </w:tc>
      </w:tr>
      <w:tr w:rsidR="00AF7ACC" w:rsidRPr="001D470A" w14:paraId="1A9D52A0" w14:textId="77777777" w:rsidTr="00CD4E81">
        <w:trPr>
          <w:trHeight w:val="22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1861E86E" w14:textId="77777777" w:rsidR="00AF7ACC" w:rsidRPr="001D470A" w:rsidRDefault="00AF7ACC" w:rsidP="00AF7ACC">
            <w:pPr>
              <w:jc w:val="left"/>
              <w:rPr>
                <w:rFonts w:ascii="Arial Narrow" w:hAnsi="Arial Narrow" w:cs="Times New Roman"/>
                <w:color w:val="000000"/>
                <w:sz w:val="20"/>
                <w:szCs w:val="20"/>
              </w:rPr>
            </w:pPr>
            <w:r w:rsidRPr="001D470A">
              <w:rPr>
                <w:rFonts w:ascii="Arial Narrow" w:hAnsi="Arial Narrow" w:cs="Times New Roman"/>
                <w:color w:val="000000"/>
                <w:sz w:val="20"/>
                <w:szCs w:val="20"/>
              </w:rPr>
              <w:t>AEMP</w:t>
            </w:r>
          </w:p>
        </w:tc>
        <w:tc>
          <w:tcPr>
            <w:tcW w:w="3133" w:type="dxa"/>
            <w:tcBorders>
              <w:top w:val="nil"/>
              <w:left w:val="nil"/>
              <w:bottom w:val="single" w:sz="4" w:space="0" w:color="auto"/>
              <w:right w:val="single" w:sz="4" w:space="0" w:color="auto"/>
            </w:tcBorders>
            <w:shd w:val="clear" w:color="auto" w:fill="auto"/>
            <w:noWrap/>
            <w:vAlign w:val="bottom"/>
            <w:hideMark/>
          </w:tcPr>
          <w:p w14:paraId="7F1E75A3" w14:textId="4B6B0958" w:rsidR="00AF7ACC" w:rsidRPr="001D470A" w:rsidRDefault="00AF7ACC" w:rsidP="00AF7ACC">
            <w:pPr>
              <w:jc w:val="right"/>
              <w:rPr>
                <w:rFonts w:ascii="Arial Narrow" w:hAnsi="Arial Narrow" w:cs="Times New Roman"/>
                <w:color w:val="000000"/>
                <w:sz w:val="20"/>
                <w:szCs w:val="20"/>
              </w:rPr>
            </w:pPr>
            <w:r w:rsidRPr="001D470A">
              <w:rPr>
                <w:rFonts w:ascii="Arial Narrow" w:hAnsi="Arial Narrow" w:cs="Times New Roman"/>
                <w:color w:val="000000"/>
                <w:sz w:val="20"/>
                <w:szCs w:val="20"/>
              </w:rPr>
              <w:t>$</w:t>
            </w:r>
            <w:r w:rsidR="0057223D" w:rsidRPr="0057223D">
              <w:rPr>
                <w:rFonts w:ascii="Arial Narrow" w:hAnsi="Arial Narrow" w:cs="Times New Roman"/>
                <w:color w:val="000000"/>
                <w:spacing w:val="53"/>
                <w:sz w:val="20"/>
                <w:szCs w:val="20"/>
                <w:shd w:val="solid" w:color="000000" w:fill="000000"/>
                <w:fitText w:val="330" w:id="-663557885"/>
                <w14:textFill>
                  <w14:solidFill>
                    <w14:srgbClr w14:val="000000">
                      <w14:alpha w14:val="100000"/>
                    </w14:srgbClr>
                  </w14:solidFill>
                </w14:textFill>
              </w:rPr>
              <w:t>|||</w:t>
            </w:r>
            <w:r w:rsidR="0057223D" w:rsidRPr="0057223D">
              <w:rPr>
                <w:rFonts w:ascii="Arial Narrow" w:hAnsi="Arial Narrow" w:cs="Times New Roman"/>
                <w:color w:val="000000"/>
                <w:spacing w:val="1"/>
                <w:sz w:val="20"/>
                <w:szCs w:val="20"/>
                <w:shd w:val="solid" w:color="000000" w:fill="000000"/>
                <w:fitText w:val="330" w:id="-663557885"/>
                <w14:textFill>
                  <w14:solidFill>
                    <w14:srgbClr w14:val="000000">
                      <w14:alpha w14:val="100000"/>
                    </w14:srgbClr>
                  </w14:solidFill>
                </w14:textFill>
              </w:rPr>
              <w:t>|</w:t>
            </w:r>
          </w:p>
        </w:tc>
        <w:tc>
          <w:tcPr>
            <w:tcW w:w="3969" w:type="dxa"/>
            <w:vMerge/>
            <w:tcBorders>
              <w:top w:val="nil"/>
              <w:left w:val="nil"/>
              <w:bottom w:val="single" w:sz="4" w:space="0" w:color="auto"/>
              <w:right w:val="single" w:sz="4" w:space="0" w:color="auto"/>
            </w:tcBorders>
            <w:vAlign w:val="center"/>
            <w:hideMark/>
          </w:tcPr>
          <w:p w14:paraId="4E93E3F7" w14:textId="77777777" w:rsidR="00AF7ACC" w:rsidRPr="001D470A" w:rsidRDefault="00AF7ACC" w:rsidP="00AF7ACC">
            <w:pPr>
              <w:jc w:val="left"/>
              <w:rPr>
                <w:rFonts w:ascii="Arial Narrow" w:hAnsi="Arial Narrow" w:cs="Times New Roman"/>
                <w:color w:val="000000"/>
                <w:sz w:val="20"/>
                <w:szCs w:val="20"/>
              </w:rPr>
            </w:pPr>
          </w:p>
        </w:tc>
      </w:tr>
      <w:tr w:rsidR="00AF7ACC" w:rsidRPr="001D470A" w14:paraId="06B7384E" w14:textId="77777777" w:rsidTr="00CD4E81">
        <w:trPr>
          <w:trHeight w:val="22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20777A13" w14:textId="77777777" w:rsidR="00AF7ACC" w:rsidRPr="001D470A" w:rsidRDefault="00AF7ACC" w:rsidP="00AF7ACC">
            <w:pPr>
              <w:jc w:val="left"/>
              <w:rPr>
                <w:rFonts w:ascii="Arial Narrow" w:hAnsi="Arial Narrow" w:cs="Times New Roman"/>
                <w:color w:val="000000"/>
                <w:sz w:val="20"/>
                <w:szCs w:val="20"/>
              </w:rPr>
            </w:pPr>
            <w:r w:rsidRPr="001D470A">
              <w:rPr>
                <w:rFonts w:ascii="Arial Narrow" w:hAnsi="Arial Narrow" w:cs="Times New Roman"/>
                <w:color w:val="000000"/>
                <w:sz w:val="20"/>
                <w:szCs w:val="20"/>
              </w:rPr>
              <w:t>DPMQ</w:t>
            </w:r>
          </w:p>
        </w:tc>
        <w:tc>
          <w:tcPr>
            <w:tcW w:w="3133" w:type="dxa"/>
            <w:tcBorders>
              <w:top w:val="nil"/>
              <w:left w:val="nil"/>
              <w:bottom w:val="single" w:sz="4" w:space="0" w:color="auto"/>
              <w:right w:val="single" w:sz="4" w:space="0" w:color="auto"/>
            </w:tcBorders>
            <w:shd w:val="clear" w:color="auto" w:fill="auto"/>
            <w:noWrap/>
            <w:vAlign w:val="bottom"/>
            <w:hideMark/>
          </w:tcPr>
          <w:p w14:paraId="2292FC5A" w14:textId="465CC60E" w:rsidR="00AF7ACC" w:rsidRPr="001D470A" w:rsidRDefault="00AF7ACC" w:rsidP="00AF7ACC">
            <w:pPr>
              <w:jc w:val="right"/>
              <w:rPr>
                <w:rFonts w:ascii="Arial Narrow" w:hAnsi="Arial Narrow" w:cs="Times New Roman"/>
                <w:color w:val="000000"/>
                <w:sz w:val="20"/>
                <w:szCs w:val="20"/>
              </w:rPr>
            </w:pPr>
            <w:r w:rsidRPr="001D470A">
              <w:rPr>
                <w:rFonts w:ascii="Arial Narrow" w:hAnsi="Arial Narrow" w:cs="Times New Roman"/>
                <w:color w:val="000000"/>
                <w:sz w:val="20"/>
                <w:szCs w:val="20"/>
              </w:rPr>
              <w:t>$</w:t>
            </w:r>
            <w:r w:rsidR="0057223D" w:rsidRPr="0057223D">
              <w:rPr>
                <w:rFonts w:ascii="Arial Narrow" w:hAnsi="Arial Narrow" w:cs="Times New Roman"/>
                <w:color w:val="000000"/>
                <w:spacing w:val="53"/>
                <w:sz w:val="20"/>
                <w:szCs w:val="20"/>
                <w:shd w:val="solid" w:color="000000" w:fill="000000"/>
                <w:fitText w:val="330" w:id="-663557884"/>
                <w14:textFill>
                  <w14:solidFill>
                    <w14:srgbClr w14:val="000000">
                      <w14:alpha w14:val="100000"/>
                    </w14:srgbClr>
                  </w14:solidFill>
                </w14:textFill>
              </w:rPr>
              <w:t>|||</w:t>
            </w:r>
            <w:r w:rsidR="0057223D" w:rsidRPr="0057223D">
              <w:rPr>
                <w:rFonts w:ascii="Arial Narrow" w:hAnsi="Arial Narrow" w:cs="Times New Roman"/>
                <w:color w:val="000000"/>
                <w:spacing w:val="1"/>
                <w:sz w:val="20"/>
                <w:szCs w:val="20"/>
                <w:shd w:val="solid" w:color="000000" w:fill="000000"/>
                <w:fitText w:val="330" w:id="-663557884"/>
                <w14:textFill>
                  <w14:solidFill>
                    <w14:srgbClr w14:val="000000">
                      <w14:alpha w14:val="100000"/>
                    </w14:srgbClr>
                  </w14:solidFill>
                </w14:textFill>
              </w:rPr>
              <w:t>|</w:t>
            </w:r>
          </w:p>
        </w:tc>
        <w:tc>
          <w:tcPr>
            <w:tcW w:w="3969" w:type="dxa"/>
            <w:tcBorders>
              <w:top w:val="single" w:sz="4" w:space="0" w:color="auto"/>
              <w:left w:val="nil"/>
              <w:bottom w:val="single" w:sz="4" w:space="0" w:color="auto"/>
              <w:right w:val="single" w:sz="4" w:space="0" w:color="000000"/>
            </w:tcBorders>
            <w:shd w:val="clear" w:color="auto" w:fill="auto"/>
            <w:noWrap/>
            <w:vAlign w:val="bottom"/>
            <w:hideMark/>
          </w:tcPr>
          <w:p w14:paraId="7BE7CD2D" w14:textId="77777777" w:rsidR="00AF7ACC" w:rsidRPr="001D470A" w:rsidRDefault="00AF7ACC" w:rsidP="00AF7ACC">
            <w:pPr>
              <w:jc w:val="center"/>
              <w:rPr>
                <w:rFonts w:ascii="Arial Narrow" w:hAnsi="Arial Narrow" w:cs="Times New Roman"/>
                <w:color w:val="000000"/>
                <w:sz w:val="20"/>
                <w:szCs w:val="20"/>
              </w:rPr>
            </w:pPr>
            <w:r w:rsidRPr="001D470A">
              <w:rPr>
                <w:rFonts w:ascii="Arial Narrow" w:hAnsi="Arial Narrow" w:cs="Times New Roman"/>
                <w:color w:val="000000"/>
                <w:sz w:val="20"/>
                <w:szCs w:val="20"/>
              </w:rPr>
              <w:t> </w:t>
            </w:r>
          </w:p>
        </w:tc>
      </w:tr>
    </w:tbl>
    <w:p w14:paraId="401ECCCB" w14:textId="77777777" w:rsidR="0026018B" w:rsidRPr="001D470A" w:rsidRDefault="0026018B" w:rsidP="00903FD7">
      <w:pPr>
        <w:pStyle w:val="3-BodyText"/>
        <w:numPr>
          <w:ilvl w:val="0"/>
          <w:numId w:val="0"/>
        </w:numPr>
        <w:spacing w:before="0" w:after="0"/>
        <w:rPr>
          <w:rFonts w:ascii="Arial Narrow" w:hAnsi="Arial Narrow"/>
          <w:sz w:val="18"/>
          <w:szCs w:val="18"/>
        </w:rPr>
      </w:pPr>
      <w:r w:rsidRPr="001D470A">
        <w:rPr>
          <w:rFonts w:ascii="Arial Narrow" w:hAnsi="Arial Narrow"/>
          <w:sz w:val="18"/>
          <w:szCs w:val="18"/>
        </w:rPr>
        <w:t xml:space="preserve">Footnotes: Ex-manufacturer price </w:t>
      </w:r>
      <w:proofErr w:type="gramStart"/>
      <w:r w:rsidRPr="001D470A">
        <w:rPr>
          <w:rFonts w:ascii="Arial Narrow" w:hAnsi="Arial Narrow"/>
          <w:sz w:val="18"/>
          <w:szCs w:val="18"/>
        </w:rPr>
        <w:t>back-calculated</w:t>
      </w:r>
      <w:proofErr w:type="gramEnd"/>
      <w:r w:rsidRPr="001D470A">
        <w:rPr>
          <w:rFonts w:ascii="Arial Narrow" w:hAnsi="Arial Narrow"/>
          <w:sz w:val="18"/>
          <w:szCs w:val="18"/>
        </w:rPr>
        <w:t xml:space="preserve"> based on 1 July 2024 markups, valid </w:t>
      </w:r>
      <w:proofErr w:type="gramStart"/>
      <w:r w:rsidRPr="001D470A">
        <w:rPr>
          <w:rFonts w:ascii="Arial Narrow" w:hAnsi="Arial Narrow"/>
          <w:sz w:val="18"/>
          <w:szCs w:val="18"/>
        </w:rPr>
        <w:t>at</w:t>
      </w:r>
      <w:proofErr w:type="gramEnd"/>
      <w:r w:rsidRPr="001D470A">
        <w:rPr>
          <w:rFonts w:ascii="Arial Narrow" w:hAnsi="Arial Narrow"/>
          <w:sz w:val="18"/>
          <w:szCs w:val="18"/>
        </w:rPr>
        <w:t xml:space="preserve"> 8 April 2025. </w:t>
      </w:r>
    </w:p>
    <w:p w14:paraId="2E322662" w14:textId="748B9150" w:rsidR="00B73A02" w:rsidRPr="001D470A" w:rsidRDefault="0026018B" w:rsidP="00903FD7">
      <w:pPr>
        <w:pStyle w:val="3-BodyText"/>
        <w:numPr>
          <w:ilvl w:val="0"/>
          <w:numId w:val="0"/>
        </w:numPr>
        <w:spacing w:before="0" w:after="0"/>
        <w:rPr>
          <w:rFonts w:ascii="Arial Narrow" w:hAnsi="Arial Narrow"/>
          <w:sz w:val="18"/>
          <w:szCs w:val="18"/>
        </w:rPr>
      </w:pPr>
      <w:r w:rsidRPr="001D470A">
        <w:rPr>
          <w:rFonts w:ascii="Arial Narrow" w:hAnsi="Arial Narrow"/>
          <w:sz w:val="18"/>
          <w:szCs w:val="18"/>
        </w:rPr>
        <w:t>Abbreviations: mg = milligram; AEMP = approved ex-manufacturer price; DPMQ = dispensed price for maximum quantity</w:t>
      </w:r>
    </w:p>
    <w:p w14:paraId="46BE602F" w14:textId="2A3AD60B" w:rsidR="007A3918" w:rsidRDefault="007A3918" w:rsidP="007A3918">
      <w:pPr>
        <w:pStyle w:val="3-BodyText"/>
      </w:pPr>
      <w:r w:rsidRPr="007A38AF">
        <w:t xml:space="preserve">Should the PBAC accept the clinical claim of overall non-inferior effectiveness and safety, the cost-minimisation approach must establish that the cost per patient for treatment with repotrectinib would be no more than the cost per patient of the entrectinib and the alternative therapies. Where these cost per patient calculations are uncertain, the guiding principle is that the Australian Government should not bear the financial risk of this uncertainty because the Australian population already has access to therapy that is at least as effective and safe. </w:t>
      </w:r>
    </w:p>
    <w:p w14:paraId="018A4612" w14:textId="0FF025E9" w:rsidR="007B6015" w:rsidRDefault="007B6015" w:rsidP="007B6015">
      <w:pPr>
        <w:pStyle w:val="4-SubsectionHeading"/>
      </w:pPr>
      <w:bookmarkStart w:id="64" w:name="_Toc193124296"/>
      <w:r>
        <w:t>R</w:t>
      </w:r>
      <w:r w:rsidRPr="00D712F4">
        <w:t>epotrectinib</w:t>
      </w:r>
      <w:r w:rsidRPr="0098262F">
        <w:t xml:space="preserve"> cost</w:t>
      </w:r>
      <w:r>
        <w:t xml:space="preserve"> </w:t>
      </w:r>
      <w:r w:rsidRPr="00DA33CB">
        <w:t>per</w:t>
      </w:r>
      <w:r>
        <w:t xml:space="preserve"> </w:t>
      </w:r>
      <w:r w:rsidRPr="0098262F">
        <w:t>patient</w:t>
      </w:r>
      <w:bookmarkEnd w:id="64"/>
    </w:p>
    <w:p w14:paraId="6E821AB6" w14:textId="4C8DF8B0" w:rsidR="005F2CC9" w:rsidRPr="001D470A" w:rsidRDefault="005F2CC9" w:rsidP="001A2B90">
      <w:pPr>
        <w:pStyle w:val="3-BodyText"/>
      </w:pPr>
      <w:bookmarkStart w:id="65" w:name="_Ref190689752"/>
      <w:bookmarkStart w:id="66" w:name="_Ref190419617"/>
      <w:bookmarkStart w:id="67" w:name="_Toc22897647"/>
      <w:bookmarkEnd w:id="61"/>
      <w:r w:rsidRPr="001D470A">
        <w:t xml:space="preserve">The submission proposed the cost per patient </w:t>
      </w:r>
      <w:r w:rsidR="003C1ABC" w:rsidRPr="001D470A">
        <w:t>to be</w:t>
      </w:r>
      <w:r w:rsidRPr="001D470A">
        <w:t xml:space="preserve"> $</w:t>
      </w:r>
      <w:r w:rsidR="0057223D" w:rsidRPr="0057223D">
        <w:rPr>
          <w:color w:val="000000"/>
          <w:w w:val="62"/>
          <w:shd w:val="solid" w:color="000000" w:fill="000000"/>
          <w:fitText w:val="480" w:id="-663557883"/>
          <w14:textFill>
            <w14:solidFill>
              <w14:srgbClr w14:val="000000">
                <w14:alpha w14:val="100000"/>
              </w14:srgbClr>
            </w14:solidFill>
          </w14:textFill>
        </w:rPr>
        <w:t>|||  ||</w:t>
      </w:r>
      <w:r w:rsidR="0057223D" w:rsidRPr="0057223D">
        <w:rPr>
          <w:color w:val="000000"/>
          <w:spacing w:val="2"/>
          <w:w w:val="62"/>
          <w:shd w:val="solid" w:color="000000" w:fill="000000"/>
          <w:fitText w:val="480" w:id="-663557883"/>
          <w14:textFill>
            <w14:solidFill>
              <w14:srgbClr w14:val="000000">
                <w14:alpha w14:val="100000"/>
              </w14:srgbClr>
            </w14:solidFill>
          </w14:textFill>
        </w:rPr>
        <w:t>|</w:t>
      </w:r>
      <w:r w:rsidRPr="001D470A">
        <w:t xml:space="preserve"> per day, $</w:t>
      </w:r>
      <w:r w:rsidR="0057223D" w:rsidRPr="0057223D">
        <w:rPr>
          <w:color w:val="000000"/>
          <w:w w:val="60"/>
          <w:shd w:val="solid" w:color="000000" w:fill="000000"/>
          <w:fitText w:val="470" w:id="-663557882"/>
          <w14:textFill>
            <w14:solidFill>
              <w14:srgbClr w14:val="000000">
                <w14:alpha w14:val="100000"/>
              </w14:srgbClr>
            </w14:solidFill>
          </w14:textFill>
        </w:rPr>
        <w:t>|||  ||</w:t>
      </w:r>
      <w:r w:rsidR="0057223D" w:rsidRPr="0057223D">
        <w:rPr>
          <w:color w:val="000000"/>
          <w:spacing w:val="6"/>
          <w:w w:val="60"/>
          <w:shd w:val="solid" w:color="000000" w:fill="000000"/>
          <w:fitText w:val="470" w:id="-663557882"/>
          <w14:textFill>
            <w14:solidFill>
              <w14:srgbClr w14:val="000000">
                <w14:alpha w14:val="100000"/>
              </w14:srgbClr>
            </w14:solidFill>
          </w14:textFill>
        </w:rPr>
        <w:t>|</w:t>
      </w:r>
      <w:r w:rsidRPr="001D470A">
        <w:t xml:space="preserve"> per course (course length assumption: 9.2 months).</w:t>
      </w:r>
      <w:r w:rsidR="00C1584F" w:rsidRPr="001D470A">
        <w:t xml:space="preserve"> </w:t>
      </w:r>
      <w:r w:rsidR="00C32461" w:rsidRPr="001D470A">
        <w:t xml:space="preserve">This is </w:t>
      </w:r>
      <w:r w:rsidR="00234BDB">
        <w:t>based on the</w:t>
      </w:r>
      <w:r w:rsidR="00C32461" w:rsidRPr="001D470A">
        <w:t xml:space="preserve"> cost of standard dose only. The overall daily cost per </w:t>
      </w:r>
      <w:r w:rsidR="009820C3" w:rsidRPr="001D470A">
        <w:t>patient</w:t>
      </w:r>
      <w:r w:rsidR="00C32461" w:rsidRPr="001D470A">
        <w:t xml:space="preserve"> of repotrectinib is $</w:t>
      </w:r>
      <w:r w:rsidR="0057223D" w:rsidRPr="00C42029">
        <w:rPr>
          <w:color w:val="000000"/>
          <w:w w:val="60"/>
          <w:shd w:val="solid" w:color="000000" w:fill="000000"/>
          <w:fitText w:val="470" w:id="-663557881"/>
          <w14:textFill>
            <w14:solidFill>
              <w14:srgbClr w14:val="000000">
                <w14:alpha w14:val="100000"/>
              </w14:srgbClr>
            </w14:solidFill>
          </w14:textFill>
        </w:rPr>
        <w:t>|||  ||</w:t>
      </w:r>
      <w:r w:rsidR="0057223D" w:rsidRPr="00C42029">
        <w:rPr>
          <w:color w:val="000000"/>
          <w:spacing w:val="6"/>
          <w:w w:val="60"/>
          <w:shd w:val="solid" w:color="000000" w:fill="000000"/>
          <w:fitText w:val="470" w:id="-663557881"/>
          <w14:textFill>
            <w14:solidFill>
              <w14:srgbClr w14:val="000000">
                <w14:alpha w14:val="100000"/>
              </w14:srgbClr>
            </w14:solidFill>
          </w14:textFill>
        </w:rPr>
        <w:t>|</w:t>
      </w:r>
      <w:r w:rsidR="001E0673" w:rsidRPr="001D470A">
        <w:t>, when accounting for the cost per day in dose reduction scenarios and the proposed flat pricing structure</w:t>
      </w:r>
      <w:r w:rsidR="00C32461" w:rsidRPr="001D470A">
        <w:t>.</w:t>
      </w:r>
      <w:r w:rsidR="00290C5C" w:rsidRPr="001D470A">
        <w:t xml:space="preserve"> </w:t>
      </w:r>
      <w:r w:rsidR="007E24D6" w:rsidRPr="001D470A">
        <w:t xml:space="preserve">The ESC noted that the proposed flat pricing structure for the steady state and dose reduction packs would result in the cost per patient per day being </w:t>
      </w:r>
      <w:r w:rsidR="00E36430" w:rsidRPr="001D470A">
        <w:t xml:space="preserve">higher than that of entrectinib and considered </w:t>
      </w:r>
      <w:r w:rsidR="008F3C13" w:rsidRPr="001D470A">
        <w:t xml:space="preserve">this was </w:t>
      </w:r>
      <w:r w:rsidR="006C5E73" w:rsidRPr="001D470A">
        <w:t xml:space="preserve">inappropriate. </w:t>
      </w:r>
      <w:r w:rsidR="00F97601" w:rsidRPr="001D470A">
        <w:t xml:space="preserve"> </w:t>
      </w:r>
    </w:p>
    <w:p w14:paraId="5D3EAD79" w14:textId="7F07DA88" w:rsidR="007B6015" w:rsidRPr="0098262F" w:rsidRDefault="007B6015" w:rsidP="007B6015">
      <w:pPr>
        <w:pStyle w:val="4-SubsectionHeading"/>
      </w:pPr>
      <w:bookmarkStart w:id="68" w:name="_Toc193124297"/>
      <w:bookmarkEnd w:id="65"/>
      <w:bookmarkEnd w:id="66"/>
      <w:r w:rsidRPr="0098262F">
        <w:t xml:space="preserve">Estimated PBS usage </w:t>
      </w:r>
      <w:r w:rsidR="007E0DAE">
        <w:t>and</w:t>
      </w:r>
      <w:r w:rsidRPr="0098262F">
        <w:t xml:space="preserve"> financial implications</w:t>
      </w:r>
      <w:bookmarkEnd w:id="67"/>
      <w:bookmarkEnd w:id="68"/>
    </w:p>
    <w:p w14:paraId="4D8063C5" w14:textId="4EC2DCB8" w:rsidR="005B0A76" w:rsidRPr="007A38AF" w:rsidRDefault="007B6015" w:rsidP="001A2B90">
      <w:pPr>
        <w:pStyle w:val="3-BodyText"/>
        <w:rPr>
          <w:szCs w:val="24"/>
        </w:rPr>
      </w:pPr>
      <w:r w:rsidRPr="007A38AF">
        <w:rPr>
          <w:szCs w:val="24"/>
        </w:rPr>
        <w:t xml:space="preserve">This submission </w:t>
      </w:r>
      <w:r w:rsidR="00387115">
        <w:rPr>
          <w:szCs w:val="24"/>
        </w:rPr>
        <w:t>was</w:t>
      </w:r>
      <w:r w:rsidRPr="007A38AF">
        <w:rPr>
          <w:szCs w:val="24"/>
        </w:rPr>
        <w:t xml:space="preserve"> </w:t>
      </w:r>
      <w:r w:rsidR="00B94779" w:rsidRPr="007A38AF">
        <w:rPr>
          <w:szCs w:val="24"/>
        </w:rPr>
        <w:t xml:space="preserve">not </w:t>
      </w:r>
      <w:r w:rsidRPr="007A38AF">
        <w:rPr>
          <w:szCs w:val="24"/>
        </w:rPr>
        <w:t xml:space="preserve">considered by DUSC. </w:t>
      </w:r>
    </w:p>
    <w:p w14:paraId="4891E44E" w14:textId="61F6A0B6" w:rsidR="007B6015" w:rsidRPr="007A38AF" w:rsidRDefault="007B6015" w:rsidP="001A2B90">
      <w:pPr>
        <w:pStyle w:val="3-BodyText"/>
        <w:rPr>
          <w:szCs w:val="24"/>
        </w:rPr>
      </w:pPr>
      <w:r w:rsidRPr="007A38AF">
        <w:rPr>
          <w:szCs w:val="24"/>
        </w:rPr>
        <w:t xml:space="preserve">The </w:t>
      </w:r>
      <w:r w:rsidR="00CC2FA9" w:rsidRPr="007A38AF">
        <w:rPr>
          <w:szCs w:val="24"/>
        </w:rPr>
        <w:t>budgetary impact analysis (</w:t>
      </w:r>
      <w:r w:rsidRPr="007A38AF">
        <w:rPr>
          <w:szCs w:val="24"/>
        </w:rPr>
        <w:t>BIA</w:t>
      </w:r>
      <w:r w:rsidR="00CC2FA9" w:rsidRPr="007A38AF">
        <w:rPr>
          <w:szCs w:val="24"/>
        </w:rPr>
        <w:t>)</w:t>
      </w:r>
      <w:r w:rsidRPr="007A38AF">
        <w:rPr>
          <w:szCs w:val="24"/>
        </w:rPr>
        <w:t xml:space="preserve"> of the submission used a market</w:t>
      </w:r>
      <w:r w:rsidR="00173AA5" w:rsidRPr="007A38AF">
        <w:rPr>
          <w:szCs w:val="24"/>
        </w:rPr>
        <w:t>-</w:t>
      </w:r>
      <w:r w:rsidRPr="007A38AF">
        <w:rPr>
          <w:szCs w:val="24"/>
        </w:rPr>
        <w:t xml:space="preserve">share approach to estimate the utilisation and financial impacts associated with a PBS listing of repotrectinib for the treatment of </w:t>
      </w:r>
      <w:r w:rsidRPr="002777AB">
        <w:rPr>
          <w:i/>
          <w:iCs/>
          <w:szCs w:val="24"/>
        </w:rPr>
        <w:t>ROS1</w:t>
      </w:r>
      <w:r w:rsidRPr="00926451">
        <w:rPr>
          <w:szCs w:val="24"/>
        </w:rPr>
        <w:t>-positive</w:t>
      </w:r>
      <w:r w:rsidRPr="007A38AF">
        <w:rPr>
          <w:szCs w:val="24"/>
        </w:rPr>
        <w:t xml:space="preserve"> adult patients with locally advanced or metastatic NSCLC. </w:t>
      </w:r>
    </w:p>
    <w:p w14:paraId="1FF06D03" w14:textId="4731757A" w:rsidR="007B6015" w:rsidRPr="007A38AF" w:rsidRDefault="007B6015" w:rsidP="001A2B90">
      <w:pPr>
        <w:pStyle w:val="3-BodyText"/>
        <w:rPr>
          <w:szCs w:val="24"/>
        </w:rPr>
      </w:pPr>
      <w:r w:rsidRPr="007A38AF">
        <w:t xml:space="preserve">The </w:t>
      </w:r>
      <w:r w:rsidR="002359A7" w:rsidRPr="007A38AF">
        <w:t>proposed</w:t>
      </w:r>
      <w:r w:rsidRPr="007A38AF">
        <w:t xml:space="preserve"> effective </w:t>
      </w:r>
      <w:bookmarkStart w:id="69" w:name="_Hlk192251162"/>
      <w:r w:rsidR="00702E28" w:rsidRPr="007A38AF">
        <w:t>approved ex-manufacturer price</w:t>
      </w:r>
      <w:bookmarkEnd w:id="69"/>
      <w:r w:rsidR="00F9411D" w:rsidRPr="007A38AF">
        <w:t xml:space="preserve"> (</w:t>
      </w:r>
      <w:r w:rsidRPr="007A38AF">
        <w:t>AEMP</w:t>
      </w:r>
      <w:r w:rsidR="00F9411D" w:rsidRPr="007A38AF">
        <w:t>)</w:t>
      </w:r>
      <w:r w:rsidRPr="007A38AF">
        <w:t xml:space="preserve"> </w:t>
      </w:r>
      <w:bookmarkStart w:id="70" w:name="_Hlk193096457"/>
      <w:r w:rsidRPr="007A38AF">
        <w:rPr>
          <w:szCs w:val="24"/>
        </w:rPr>
        <w:t>$</w:t>
      </w:r>
      <w:r w:rsidR="0057223D" w:rsidRPr="0057223D">
        <w:rPr>
          <w:color w:val="000000"/>
          <w:w w:val="60"/>
          <w:szCs w:val="24"/>
          <w:shd w:val="solid" w:color="000000" w:fill="000000"/>
          <w:fitText w:val="470" w:id="-663557880"/>
          <w14:textFill>
            <w14:solidFill>
              <w14:srgbClr w14:val="000000">
                <w14:alpha w14:val="100000"/>
              </w14:srgbClr>
            </w14:solidFill>
          </w14:textFill>
        </w:rPr>
        <w:t>|||  ||</w:t>
      </w:r>
      <w:r w:rsidR="0057223D" w:rsidRPr="0057223D">
        <w:rPr>
          <w:color w:val="000000"/>
          <w:spacing w:val="6"/>
          <w:w w:val="60"/>
          <w:szCs w:val="24"/>
          <w:shd w:val="solid" w:color="000000" w:fill="000000"/>
          <w:fitText w:val="470" w:id="-663557880"/>
          <w14:textFill>
            <w14:solidFill>
              <w14:srgbClr w14:val="000000">
                <w14:alpha w14:val="100000"/>
              </w14:srgbClr>
            </w14:solidFill>
          </w14:textFill>
        </w:rPr>
        <w:t>|</w:t>
      </w:r>
      <w:r w:rsidR="003E1080" w:rsidRPr="007A38AF">
        <w:rPr>
          <w:szCs w:val="24"/>
        </w:rPr>
        <w:t xml:space="preserve"> (DPMQ $</w:t>
      </w:r>
      <w:r w:rsidR="0057223D" w:rsidRPr="0057223D">
        <w:rPr>
          <w:color w:val="000000"/>
          <w:w w:val="60"/>
          <w:szCs w:val="24"/>
          <w:shd w:val="solid" w:color="000000" w:fill="000000"/>
          <w:fitText w:val="470" w:id="-663557879"/>
          <w14:textFill>
            <w14:solidFill>
              <w14:srgbClr w14:val="000000">
                <w14:alpha w14:val="100000"/>
              </w14:srgbClr>
            </w14:solidFill>
          </w14:textFill>
        </w:rPr>
        <w:t>|||  ||</w:t>
      </w:r>
      <w:r w:rsidR="0057223D" w:rsidRPr="0057223D">
        <w:rPr>
          <w:color w:val="000000"/>
          <w:spacing w:val="6"/>
          <w:w w:val="60"/>
          <w:szCs w:val="24"/>
          <w:shd w:val="solid" w:color="000000" w:fill="000000"/>
          <w:fitText w:val="470" w:id="-663557879"/>
          <w14:textFill>
            <w14:solidFill>
              <w14:srgbClr w14:val="000000">
                <w14:alpha w14:val="100000"/>
              </w14:srgbClr>
            </w14:solidFill>
          </w14:textFill>
        </w:rPr>
        <w:t>|</w:t>
      </w:r>
      <w:r w:rsidR="003E1080" w:rsidRPr="007A38AF">
        <w:rPr>
          <w:szCs w:val="24"/>
        </w:rPr>
        <w:t>)</w:t>
      </w:r>
      <w:bookmarkEnd w:id="70"/>
      <w:r w:rsidRPr="007A38AF">
        <w:rPr>
          <w:szCs w:val="24"/>
        </w:rPr>
        <w:t xml:space="preserve"> </w:t>
      </w:r>
      <w:r w:rsidRPr="007A38AF">
        <w:t xml:space="preserve">calculated in </w:t>
      </w:r>
      <w:r w:rsidR="00DC1200" w:rsidRPr="007A38AF">
        <w:t>the e</w:t>
      </w:r>
      <w:r w:rsidRPr="007A38AF">
        <w:t xml:space="preserve">conomic analysis was used for </w:t>
      </w:r>
      <w:r w:rsidR="00DC1200" w:rsidRPr="007A38AF">
        <w:t xml:space="preserve">2 </w:t>
      </w:r>
      <w:r w:rsidRPr="007A38AF">
        <w:t>individual packs of repotrectinib (120 mg, 60 pack; 40</w:t>
      </w:r>
      <w:r w:rsidR="00F46D99">
        <w:t xml:space="preserve"> </w:t>
      </w:r>
      <w:r w:rsidRPr="007A38AF">
        <w:t xml:space="preserve">mg, 120 pack). </w:t>
      </w:r>
    </w:p>
    <w:p w14:paraId="6592DC69" w14:textId="07D25EB5" w:rsidR="007B6015" w:rsidRPr="00295926" w:rsidRDefault="007B6015" w:rsidP="001A2B90">
      <w:pPr>
        <w:pStyle w:val="3-BodyText"/>
        <w:rPr>
          <w:szCs w:val="24"/>
        </w:rPr>
      </w:pPr>
      <w:r w:rsidRPr="007A38AF">
        <w:rPr>
          <w:szCs w:val="24"/>
        </w:rPr>
        <w:lastRenderedPageBreak/>
        <w:t xml:space="preserve">Key inputs used to derive the financial estimates are presented in </w:t>
      </w:r>
      <w:r w:rsidRPr="00295926">
        <w:rPr>
          <w:szCs w:val="24"/>
        </w:rPr>
        <w:fldChar w:fldCharType="begin"/>
      </w:r>
      <w:r w:rsidRPr="007A38AF">
        <w:rPr>
          <w:szCs w:val="24"/>
        </w:rPr>
        <w:instrText xml:space="preserve"> REF _Ref104805262 \h  \* MERGEFORMAT </w:instrText>
      </w:r>
      <w:r w:rsidRPr="00295926">
        <w:rPr>
          <w:szCs w:val="24"/>
        </w:rPr>
      </w:r>
      <w:r w:rsidRPr="00295926">
        <w:rPr>
          <w:szCs w:val="24"/>
        </w:rPr>
        <w:fldChar w:fldCharType="separate"/>
      </w:r>
      <w:r w:rsidR="00D32E93" w:rsidRPr="001534F8">
        <w:rPr>
          <w:noProof/>
          <w:szCs w:val="20"/>
        </w:rPr>
        <w:t xml:space="preserve">Table </w:t>
      </w:r>
      <w:r w:rsidR="00D32E93">
        <w:rPr>
          <w:noProof/>
          <w:szCs w:val="20"/>
        </w:rPr>
        <w:t>11</w:t>
      </w:r>
      <w:r w:rsidRPr="00295926">
        <w:rPr>
          <w:szCs w:val="24"/>
        </w:rPr>
        <w:fldChar w:fldCharType="end"/>
      </w:r>
      <w:r w:rsidR="00C1584F" w:rsidRPr="00295926">
        <w:rPr>
          <w:szCs w:val="24"/>
        </w:rPr>
        <w:t>.</w:t>
      </w:r>
    </w:p>
    <w:p w14:paraId="4E1E9D8E" w14:textId="06067D19" w:rsidR="007B6015" w:rsidRPr="001534F8" w:rsidRDefault="007B6015" w:rsidP="001A2B90">
      <w:pPr>
        <w:pStyle w:val="Caption"/>
        <w:spacing w:before="120"/>
        <w:rPr>
          <w:rStyle w:val="CommentReference"/>
          <w:b/>
          <w:szCs w:val="20"/>
        </w:rPr>
      </w:pPr>
      <w:bookmarkStart w:id="71" w:name="_Ref104805262"/>
      <w:bookmarkStart w:id="72" w:name="_Hlk190761674"/>
      <w:bookmarkStart w:id="73" w:name="_Ref190697612"/>
      <w:r w:rsidRPr="001534F8">
        <w:rPr>
          <w:szCs w:val="20"/>
        </w:rPr>
        <w:t xml:space="preserve">Table </w:t>
      </w:r>
      <w:r w:rsidRPr="001534F8">
        <w:rPr>
          <w:szCs w:val="20"/>
        </w:rPr>
        <w:fldChar w:fldCharType="begin"/>
      </w:r>
      <w:r w:rsidRPr="001534F8">
        <w:rPr>
          <w:szCs w:val="20"/>
        </w:rPr>
        <w:instrText xml:space="preserve"> SEQ Table \* ARABIC </w:instrText>
      </w:r>
      <w:r w:rsidRPr="001534F8">
        <w:rPr>
          <w:szCs w:val="20"/>
        </w:rPr>
        <w:fldChar w:fldCharType="separate"/>
      </w:r>
      <w:r w:rsidR="00D32E93">
        <w:rPr>
          <w:noProof/>
          <w:szCs w:val="20"/>
        </w:rPr>
        <w:t>11</w:t>
      </w:r>
      <w:r w:rsidRPr="001534F8">
        <w:rPr>
          <w:szCs w:val="20"/>
        </w:rPr>
        <w:fldChar w:fldCharType="end"/>
      </w:r>
      <w:bookmarkEnd w:id="71"/>
      <w:r w:rsidRPr="001534F8">
        <w:rPr>
          <w:szCs w:val="20"/>
        </w:rPr>
        <w:t>:</w:t>
      </w:r>
      <w:bookmarkEnd w:id="72"/>
      <w:r w:rsidRPr="001534F8">
        <w:rPr>
          <w:rStyle w:val="CommentReference"/>
          <w:b/>
          <w:szCs w:val="20"/>
        </w:rPr>
        <w:t xml:space="preserve"> Key inputs for financial estimates</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1"/>
        <w:gridCol w:w="4110"/>
        <w:gridCol w:w="3636"/>
      </w:tblGrid>
      <w:tr w:rsidR="007B6015" w:rsidRPr="001534F8" w14:paraId="123E693A" w14:textId="77777777" w:rsidTr="008942E3">
        <w:trPr>
          <w:cantSplit/>
          <w:trHeight w:val="113"/>
          <w:tblHeader/>
        </w:trPr>
        <w:tc>
          <w:tcPr>
            <w:tcW w:w="705" w:type="pct"/>
            <w:shd w:val="clear" w:color="auto" w:fill="auto"/>
            <w:vAlign w:val="center"/>
          </w:tcPr>
          <w:p w14:paraId="078F42A1" w14:textId="77777777" w:rsidR="007B6015" w:rsidRPr="001534F8" w:rsidRDefault="007B6015" w:rsidP="00BB64D0">
            <w:pPr>
              <w:pStyle w:val="In-tableHeading"/>
              <w:rPr>
                <w:szCs w:val="20"/>
                <w:lang w:val="en-AU"/>
              </w:rPr>
            </w:pPr>
            <w:r w:rsidRPr="001534F8">
              <w:rPr>
                <w:szCs w:val="20"/>
                <w:lang w:val="en-AU"/>
              </w:rPr>
              <w:t>Parameter</w:t>
            </w:r>
          </w:p>
        </w:tc>
        <w:tc>
          <w:tcPr>
            <w:tcW w:w="2279" w:type="pct"/>
            <w:shd w:val="clear" w:color="auto" w:fill="auto"/>
            <w:vAlign w:val="center"/>
          </w:tcPr>
          <w:p w14:paraId="1DFBDF80" w14:textId="77777777" w:rsidR="007B6015" w:rsidRPr="001534F8" w:rsidRDefault="007B6015" w:rsidP="00BB64D0">
            <w:pPr>
              <w:pStyle w:val="In-tableHeading"/>
              <w:rPr>
                <w:szCs w:val="20"/>
                <w:lang w:val="en-AU"/>
              </w:rPr>
            </w:pPr>
            <w:r w:rsidRPr="001534F8">
              <w:rPr>
                <w:szCs w:val="20"/>
                <w:lang w:val="en-AU"/>
              </w:rPr>
              <w:t>Value applied and source</w:t>
            </w:r>
          </w:p>
        </w:tc>
        <w:tc>
          <w:tcPr>
            <w:tcW w:w="2016" w:type="pct"/>
            <w:shd w:val="clear" w:color="auto" w:fill="auto"/>
            <w:vAlign w:val="center"/>
          </w:tcPr>
          <w:p w14:paraId="62B9F023" w14:textId="77777777" w:rsidR="007B6015" w:rsidRPr="001534F8" w:rsidRDefault="007B6015" w:rsidP="00BB64D0">
            <w:pPr>
              <w:pStyle w:val="In-tableHeading"/>
              <w:rPr>
                <w:szCs w:val="20"/>
                <w:lang w:val="en-AU"/>
              </w:rPr>
            </w:pPr>
            <w:r w:rsidRPr="001534F8">
              <w:rPr>
                <w:szCs w:val="20"/>
                <w:lang w:val="en-AU"/>
              </w:rPr>
              <w:t>Comment</w:t>
            </w:r>
          </w:p>
        </w:tc>
      </w:tr>
      <w:tr w:rsidR="007B6015" w:rsidRPr="001534F8" w14:paraId="07105962" w14:textId="77777777" w:rsidTr="008942E3">
        <w:trPr>
          <w:cantSplit/>
          <w:trHeight w:val="113"/>
        </w:trPr>
        <w:tc>
          <w:tcPr>
            <w:tcW w:w="705" w:type="pct"/>
            <w:shd w:val="clear" w:color="auto" w:fill="auto"/>
          </w:tcPr>
          <w:p w14:paraId="7F5788DE" w14:textId="77777777" w:rsidR="007B6015" w:rsidRPr="001534F8" w:rsidRDefault="007B6015" w:rsidP="00BF63D9">
            <w:pPr>
              <w:pStyle w:val="TableText0"/>
              <w:keepNext w:val="0"/>
              <w:keepLines w:val="0"/>
              <w:rPr>
                <w:szCs w:val="20"/>
              </w:rPr>
            </w:pPr>
            <w:r w:rsidRPr="001534F8">
              <w:rPr>
                <w:szCs w:val="20"/>
              </w:rPr>
              <w:t>PBS script volume</w:t>
            </w:r>
          </w:p>
        </w:tc>
        <w:tc>
          <w:tcPr>
            <w:tcW w:w="2279" w:type="pct"/>
            <w:shd w:val="clear" w:color="auto" w:fill="auto"/>
          </w:tcPr>
          <w:p w14:paraId="5C2AB2B2" w14:textId="7C6CA634" w:rsidR="007B6015" w:rsidRPr="001534F8" w:rsidRDefault="007B6015" w:rsidP="00BF63D9">
            <w:pPr>
              <w:pStyle w:val="TableText0"/>
              <w:keepNext w:val="0"/>
              <w:keepLines w:val="0"/>
              <w:rPr>
                <w:szCs w:val="20"/>
              </w:rPr>
            </w:pPr>
            <w:r w:rsidRPr="001534F8">
              <w:rPr>
                <w:szCs w:val="20"/>
              </w:rPr>
              <w:t xml:space="preserve">611 total scripts per year (153 crizotinib and 439 entrectinib). </w:t>
            </w:r>
            <w:r w:rsidRPr="001534F8">
              <w:rPr>
                <w:szCs w:val="20"/>
              </w:rPr>
              <w:br/>
              <w:t xml:space="preserve">Medicare PBS </w:t>
            </w:r>
            <w:r w:rsidR="006017CF">
              <w:rPr>
                <w:szCs w:val="20"/>
              </w:rPr>
              <w:t>i</w:t>
            </w:r>
            <w:r w:rsidRPr="001534F8">
              <w:rPr>
                <w:szCs w:val="20"/>
              </w:rPr>
              <w:t xml:space="preserve">tem </w:t>
            </w:r>
            <w:r w:rsidR="006017CF">
              <w:rPr>
                <w:szCs w:val="20"/>
              </w:rPr>
              <w:t>s</w:t>
            </w:r>
            <w:r w:rsidRPr="001534F8">
              <w:rPr>
                <w:szCs w:val="20"/>
              </w:rPr>
              <w:t>tatistics for crizotinib (11589Y and 11594F) and entrectinib (12092K), Jan–Dec</w:t>
            </w:r>
            <w:r w:rsidR="00BF2E54">
              <w:rPr>
                <w:szCs w:val="20"/>
              </w:rPr>
              <w:t xml:space="preserve"> </w:t>
            </w:r>
            <w:r w:rsidRPr="001534F8">
              <w:rPr>
                <w:szCs w:val="20"/>
              </w:rPr>
              <w:t>2023</w:t>
            </w:r>
          </w:p>
        </w:tc>
        <w:tc>
          <w:tcPr>
            <w:tcW w:w="2016" w:type="pct"/>
            <w:shd w:val="clear" w:color="auto" w:fill="auto"/>
            <w:vAlign w:val="center"/>
          </w:tcPr>
          <w:p w14:paraId="6D162EDA" w14:textId="10AB0210" w:rsidR="007B6015" w:rsidRPr="00A35F3F" w:rsidRDefault="00FF437E" w:rsidP="00BF63D9">
            <w:pPr>
              <w:pStyle w:val="TableText0"/>
              <w:keepNext w:val="0"/>
              <w:keepLines w:val="0"/>
              <w:rPr>
                <w:iCs/>
                <w:szCs w:val="20"/>
              </w:rPr>
            </w:pPr>
            <w:r w:rsidRPr="00A35F3F">
              <w:rPr>
                <w:iCs/>
                <w:szCs w:val="20"/>
              </w:rPr>
              <w:t xml:space="preserve">The input is </w:t>
            </w:r>
            <w:r w:rsidR="00EA60DE" w:rsidRPr="00A35F3F">
              <w:rPr>
                <w:iCs/>
                <w:szCs w:val="20"/>
              </w:rPr>
              <w:t>prevalence data</w:t>
            </w:r>
            <w:r w:rsidRPr="00A35F3F">
              <w:rPr>
                <w:iCs/>
                <w:szCs w:val="20"/>
              </w:rPr>
              <w:t xml:space="preserve">. </w:t>
            </w:r>
            <w:r w:rsidR="00EA60DE" w:rsidRPr="00A35F3F">
              <w:rPr>
                <w:iCs/>
                <w:szCs w:val="20"/>
              </w:rPr>
              <w:t xml:space="preserve">Since </w:t>
            </w:r>
            <w:r w:rsidR="007B6015" w:rsidRPr="00A35F3F">
              <w:rPr>
                <w:iCs/>
                <w:szCs w:val="20"/>
              </w:rPr>
              <w:t xml:space="preserve">patients already prescribed ROS1-inhibitor would not be switched to a new one unless severe intolerance </w:t>
            </w:r>
            <w:r w:rsidR="00CC2FA9" w:rsidRPr="00A35F3F">
              <w:rPr>
                <w:iCs/>
                <w:szCs w:val="20"/>
              </w:rPr>
              <w:t>occurred</w:t>
            </w:r>
            <w:r w:rsidR="00EA60DE" w:rsidRPr="00A35F3F">
              <w:rPr>
                <w:iCs/>
                <w:szCs w:val="20"/>
              </w:rPr>
              <w:t>, this input is not appropriate</w:t>
            </w:r>
            <w:r w:rsidR="00A71BA2">
              <w:rPr>
                <w:iCs/>
                <w:szCs w:val="20"/>
              </w:rPr>
              <w:t>.</w:t>
            </w:r>
          </w:p>
        </w:tc>
      </w:tr>
      <w:tr w:rsidR="007B6015" w:rsidRPr="001534F8" w14:paraId="2669D87E" w14:textId="77777777" w:rsidTr="008942E3">
        <w:trPr>
          <w:cantSplit/>
          <w:trHeight w:val="113"/>
        </w:trPr>
        <w:tc>
          <w:tcPr>
            <w:tcW w:w="705" w:type="pct"/>
            <w:shd w:val="clear" w:color="auto" w:fill="auto"/>
          </w:tcPr>
          <w:p w14:paraId="1941C591" w14:textId="77777777" w:rsidR="007B6015" w:rsidRPr="001534F8" w:rsidRDefault="007B6015" w:rsidP="00BF63D9">
            <w:pPr>
              <w:pStyle w:val="TableText0"/>
              <w:keepNext w:val="0"/>
              <w:keepLines w:val="0"/>
              <w:rPr>
                <w:szCs w:val="20"/>
              </w:rPr>
            </w:pPr>
            <w:r w:rsidRPr="001534F8">
              <w:rPr>
                <w:szCs w:val="20"/>
              </w:rPr>
              <w:t>Annual rate of growth of ROS1-positive NSCLC market</w:t>
            </w:r>
          </w:p>
        </w:tc>
        <w:tc>
          <w:tcPr>
            <w:tcW w:w="2279" w:type="pct"/>
            <w:shd w:val="clear" w:color="auto" w:fill="auto"/>
          </w:tcPr>
          <w:p w14:paraId="0B4511AA" w14:textId="4B3D4CA3" w:rsidR="007B6015" w:rsidRPr="001534F8" w:rsidRDefault="007B6015" w:rsidP="00BF63D9">
            <w:pPr>
              <w:pStyle w:val="TableText0"/>
              <w:keepNext w:val="0"/>
              <w:keepLines w:val="0"/>
              <w:rPr>
                <w:szCs w:val="20"/>
              </w:rPr>
            </w:pPr>
            <w:r w:rsidRPr="001534F8">
              <w:rPr>
                <w:szCs w:val="20"/>
              </w:rPr>
              <w:t>0%</w:t>
            </w:r>
            <w:r w:rsidRPr="001534F8">
              <w:rPr>
                <w:szCs w:val="20"/>
              </w:rPr>
              <w:br/>
              <w:t>Assumed that the ROS1-positive NSCLC market has reached maturity. Sensitivity analysis conducted to apply growth rate of 18% (increase in scripts seen between 2022</w:t>
            </w:r>
            <w:r w:rsidR="006017CF" w:rsidRPr="001534F8">
              <w:rPr>
                <w:szCs w:val="20"/>
              </w:rPr>
              <w:t>–</w:t>
            </w:r>
            <w:r w:rsidRPr="001534F8">
              <w:rPr>
                <w:szCs w:val="20"/>
              </w:rPr>
              <w:t>2023)</w:t>
            </w:r>
          </w:p>
        </w:tc>
        <w:tc>
          <w:tcPr>
            <w:tcW w:w="2016" w:type="pct"/>
            <w:shd w:val="clear" w:color="auto" w:fill="auto"/>
            <w:vAlign w:val="center"/>
          </w:tcPr>
          <w:p w14:paraId="73C34CE5" w14:textId="3405479F" w:rsidR="007B6015" w:rsidRPr="00A35F3F" w:rsidRDefault="007B6015" w:rsidP="00BF63D9">
            <w:pPr>
              <w:pStyle w:val="TableText0"/>
              <w:keepNext w:val="0"/>
              <w:keepLines w:val="0"/>
              <w:rPr>
                <w:iCs/>
                <w:szCs w:val="20"/>
              </w:rPr>
            </w:pPr>
            <w:r w:rsidRPr="00A35F3F">
              <w:rPr>
                <w:iCs/>
                <w:szCs w:val="20"/>
              </w:rPr>
              <w:t xml:space="preserve">Likely underestimated. Scripts show high growth rate each </w:t>
            </w:r>
            <w:r w:rsidR="00F7684B" w:rsidRPr="00A35F3F">
              <w:rPr>
                <w:iCs/>
                <w:szCs w:val="20"/>
              </w:rPr>
              <w:t>year</w:t>
            </w:r>
            <w:r w:rsidRPr="00A35F3F">
              <w:rPr>
                <w:iCs/>
                <w:szCs w:val="20"/>
              </w:rPr>
              <w:t xml:space="preserve"> </w:t>
            </w:r>
            <w:r w:rsidR="0006127C" w:rsidRPr="00A35F3F">
              <w:rPr>
                <w:iCs/>
                <w:szCs w:val="20"/>
              </w:rPr>
              <w:t>(</w:t>
            </w:r>
            <w:r w:rsidR="00790753" w:rsidRPr="00A35F3F">
              <w:rPr>
                <w:iCs/>
                <w:szCs w:val="20"/>
              </w:rPr>
              <w:t>48</w:t>
            </w:r>
            <w:r w:rsidRPr="00A35F3F">
              <w:rPr>
                <w:iCs/>
                <w:szCs w:val="20"/>
              </w:rPr>
              <w:t xml:space="preserve">% </w:t>
            </w:r>
            <w:r w:rsidR="0006127C" w:rsidRPr="00A35F3F">
              <w:rPr>
                <w:iCs/>
                <w:szCs w:val="20"/>
              </w:rPr>
              <w:t xml:space="preserve">growth compared to previous </w:t>
            </w:r>
            <w:r w:rsidR="00F7684B" w:rsidRPr="00A35F3F">
              <w:rPr>
                <w:iCs/>
                <w:szCs w:val="20"/>
              </w:rPr>
              <w:t>year in</w:t>
            </w:r>
            <w:r w:rsidRPr="00A35F3F">
              <w:rPr>
                <w:iCs/>
                <w:szCs w:val="20"/>
              </w:rPr>
              <w:t xml:space="preserve"> </w:t>
            </w:r>
            <w:r w:rsidR="00790753" w:rsidRPr="00A35F3F">
              <w:rPr>
                <w:iCs/>
                <w:szCs w:val="20"/>
              </w:rPr>
              <w:t>2021</w:t>
            </w:r>
            <w:r w:rsidR="00BD7B33" w:rsidRPr="00A35F3F">
              <w:rPr>
                <w:iCs/>
                <w:szCs w:val="20"/>
              </w:rPr>
              <w:t>,</w:t>
            </w:r>
            <w:r w:rsidRPr="00A35F3F">
              <w:rPr>
                <w:iCs/>
                <w:szCs w:val="20"/>
              </w:rPr>
              <w:t xml:space="preserve"> </w:t>
            </w:r>
            <w:r w:rsidR="0006127C" w:rsidRPr="00A35F3F">
              <w:rPr>
                <w:iCs/>
                <w:szCs w:val="20"/>
              </w:rPr>
              <w:t xml:space="preserve">then decline </w:t>
            </w:r>
            <w:r w:rsidRPr="00A35F3F">
              <w:rPr>
                <w:iCs/>
                <w:szCs w:val="20"/>
              </w:rPr>
              <w:t xml:space="preserve">to 18% </w:t>
            </w:r>
            <w:r w:rsidR="0006127C" w:rsidRPr="00A35F3F">
              <w:rPr>
                <w:iCs/>
                <w:szCs w:val="20"/>
              </w:rPr>
              <w:t>growth</w:t>
            </w:r>
            <w:r w:rsidRPr="00A35F3F">
              <w:rPr>
                <w:iCs/>
                <w:szCs w:val="20"/>
              </w:rPr>
              <w:t xml:space="preserve"> in 2023</w:t>
            </w:r>
            <w:r w:rsidR="0006127C" w:rsidRPr="00A35F3F">
              <w:rPr>
                <w:iCs/>
                <w:szCs w:val="20"/>
              </w:rPr>
              <w:t>)</w:t>
            </w:r>
            <w:r w:rsidRPr="00A35F3F">
              <w:rPr>
                <w:iCs/>
                <w:szCs w:val="20"/>
              </w:rPr>
              <w:t>.</w:t>
            </w:r>
          </w:p>
        </w:tc>
      </w:tr>
      <w:tr w:rsidR="007B6015" w:rsidRPr="001534F8" w14:paraId="39280935" w14:textId="77777777" w:rsidTr="008942E3">
        <w:trPr>
          <w:cantSplit/>
          <w:trHeight w:val="113"/>
        </w:trPr>
        <w:tc>
          <w:tcPr>
            <w:tcW w:w="705" w:type="pct"/>
            <w:shd w:val="clear" w:color="auto" w:fill="auto"/>
          </w:tcPr>
          <w:p w14:paraId="45A31172" w14:textId="77777777" w:rsidR="007B6015" w:rsidRPr="001534F8" w:rsidRDefault="007B6015" w:rsidP="00BF63D9">
            <w:pPr>
              <w:pStyle w:val="TableText0"/>
              <w:keepNext w:val="0"/>
              <w:keepLines w:val="0"/>
              <w:rPr>
                <w:szCs w:val="20"/>
              </w:rPr>
            </w:pPr>
            <w:r w:rsidRPr="001534F8">
              <w:rPr>
                <w:szCs w:val="20"/>
              </w:rPr>
              <w:t>Uptake of repotrectinib</w:t>
            </w:r>
          </w:p>
        </w:tc>
        <w:tc>
          <w:tcPr>
            <w:tcW w:w="2279" w:type="pct"/>
            <w:shd w:val="clear" w:color="auto" w:fill="auto"/>
          </w:tcPr>
          <w:p w14:paraId="1BE11AAF" w14:textId="14846EE1" w:rsidR="007B6015" w:rsidRPr="00A71BA2" w:rsidRDefault="0057223D" w:rsidP="00BF63D9">
            <w:pPr>
              <w:pStyle w:val="TableText0"/>
              <w:keepNext w:val="0"/>
              <w:keepLines w:val="0"/>
              <w:rPr>
                <w:szCs w:val="20"/>
              </w:rPr>
            </w:pPr>
            <w:r w:rsidRPr="0057223D">
              <w:rPr>
                <w:color w:val="000000"/>
                <w:spacing w:val="53"/>
                <w:szCs w:val="20"/>
                <w:shd w:val="solid" w:color="000000" w:fill="000000"/>
                <w:fitText w:val="330" w:id="-663557878"/>
                <w14:textFill>
                  <w14:solidFill>
                    <w14:srgbClr w14:val="000000">
                      <w14:alpha w14:val="100000"/>
                    </w14:srgbClr>
                  </w14:solidFill>
                </w14:textFill>
              </w:rPr>
              <w:t>|||</w:t>
            </w:r>
            <w:r w:rsidRPr="0057223D">
              <w:rPr>
                <w:color w:val="000000"/>
                <w:spacing w:val="1"/>
                <w:szCs w:val="20"/>
                <w:shd w:val="solid" w:color="000000" w:fill="000000"/>
                <w:fitText w:val="330" w:id="-663557878"/>
                <w14:textFill>
                  <w14:solidFill>
                    <w14:srgbClr w14:val="000000">
                      <w14:alpha w14:val="100000"/>
                    </w14:srgbClr>
                  </w14:solidFill>
                </w14:textFill>
              </w:rPr>
              <w:t>|</w:t>
            </w:r>
            <w:r w:rsidR="007B6015" w:rsidRPr="00A71BA2">
              <w:rPr>
                <w:szCs w:val="20"/>
              </w:rPr>
              <w:t>%</w:t>
            </w:r>
            <w:r w:rsidR="007B6015" w:rsidRPr="00A71BA2">
              <w:rPr>
                <w:szCs w:val="20"/>
              </w:rPr>
              <w:br/>
              <w:t>Clinician survey (presented within Utilisation and Cost workbook, Attachment 6)</w:t>
            </w:r>
          </w:p>
        </w:tc>
        <w:tc>
          <w:tcPr>
            <w:tcW w:w="2016" w:type="pct"/>
            <w:shd w:val="clear" w:color="auto" w:fill="auto"/>
            <w:vAlign w:val="center"/>
          </w:tcPr>
          <w:p w14:paraId="25C95E01" w14:textId="47483AC3" w:rsidR="007B6015" w:rsidRPr="00A35F3F" w:rsidRDefault="007D4222" w:rsidP="00BF63D9">
            <w:pPr>
              <w:pStyle w:val="TableText0"/>
              <w:keepNext w:val="0"/>
              <w:keepLines w:val="0"/>
              <w:rPr>
                <w:iCs/>
                <w:szCs w:val="20"/>
              </w:rPr>
            </w:pPr>
            <w:r w:rsidRPr="00A35F3F">
              <w:rPr>
                <w:iCs/>
                <w:szCs w:val="20"/>
              </w:rPr>
              <w:t>Market share of all 3 treatments before/after repotrectinib listing were surveyed; however, market changes were only applied to repotrectinib, not to entrectinib and crizotinib</w:t>
            </w:r>
            <w:r w:rsidR="007F7DE1" w:rsidRPr="00A35F3F">
              <w:rPr>
                <w:iCs/>
                <w:szCs w:val="20"/>
              </w:rPr>
              <w:t xml:space="preserve"> (assumed same percentage changes in the submission)</w:t>
            </w:r>
            <w:r w:rsidR="00B05E7F" w:rsidRPr="00A35F3F">
              <w:rPr>
                <w:iCs/>
                <w:szCs w:val="20"/>
              </w:rPr>
              <w:t>.</w:t>
            </w:r>
            <w:r w:rsidR="007F7DE1" w:rsidRPr="00A35F3F">
              <w:rPr>
                <w:iCs/>
                <w:szCs w:val="20"/>
              </w:rPr>
              <w:t xml:space="preserve"> </w:t>
            </w:r>
          </w:p>
        </w:tc>
      </w:tr>
      <w:tr w:rsidR="007B6015" w:rsidRPr="001534F8" w14:paraId="2CD4D75A" w14:textId="77777777" w:rsidTr="008942E3">
        <w:trPr>
          <w:cantSplit/>
          <w:trHeight w:val="113"/>
        </w:trPr>
        <w:tc>
          <w:tcPr>
            <w:tcW w:w="705" w:type="pct"/>
            <w:shd w:val="clear" w:color="auto" w:fill="auto"/>
            <w:vAlign w:val="center"/>
          </w:tcPr>
          <w:p w14:paraId="4FF5FC9C" w14:textId="77777777" w:rsidR="007B6015" w:rsidRPr="001534F8" w:rsidRDefault="007B6015" w:rsidP="00BF63D9">
            <w:pPr>
              <w:pStyle w:val="TableText0"/>
              <w:keepNext w:val="0"/>
              <w:keepLines w:val="0"/>
              <w:rPr>
                <w:szCs w:val="20"/>
              </w:rPr>
            </w:pPr>
            <w:r w:rsidRPr="001534F8">
              <w:rPr>
                <w:szCs w:val="20"/>
              </w:rPr>
              <w:t>Script equivalence</w:t>
            </w:r>
          </w:p>
        </w:tc>
        <w:tc>
          <w:tcPr>
            <w:tcW w:w="2279" w:type="pct"/>
            <w:shd w:val="clear" w:color="auto" w:fill="auto"/>
            <w:vAlign w:val="center"/>
          </w:tcPr>
          <w:p w14:paraId="2AE8DC04" w14:textId="77777777" w:rsidR="007B6015" w:rsidRPr="001534F8" w:rsidRDefault="007B6015" w:rsidP="00BF63D9">
            <w:pPr>
              <w:pStyle w:val="Tabletext"/>
              <w:rPr>
                <w:szCs w:val="20"/>
              </w:rPr>
            </w:pPr>
            <w:r w:rsidRPr="001534F8">
              <w:rPr>
                <w:szCs w:val="20"/>
              </w:rPr>
              <w:t>1 entrectinib/crizotinib: 0.975 repotrectinib</w:t>
            </w:r>
            <w:r w:rsidRPr="001534F8">
              <w:rPr>
                <w:szCs w:val="20"/>
              </w:rPr>
              <w:br/>
              <w:t>Calculation to account for repotrectinib titration period using median duration of therapy of ROS1 patients in the TRIDENT-1 clinical trial</w:t>
            </w:r>
          </w:p>
        </w:tc>
        <w:tc>
          <w:tcPr>
            <w:tcW w:w="2016" w:type="pct"/>
            <w:shd w:val="clear" w:color="auto" w:fill="auto"/>
            <w:vAlign w:val="center"/>
          </w:tcPr>
          <w:p w14:paraId="5CE28FB5" w14:textId="2EECE94D" w:rsidR="000B0C19" w:rsidRPr="00A35F3F" w:rsidRDefault="000B0C19" w:rsidP="00BF63D9">
            <w:pPr>
              <w:pStyle w:val="TableText0"/>
              <w:keepNext w:val="0"/>
              <w:keepLines w:val="0"/>
              <w:rPr>
                <w:iCs/>
                <w:szCs w:val="20"/>
              </w:rPr>
            </w:pPr>
            <w:r w:rsidRPr="00A35F3F">
              <w:rPr>
                <w:iCs/>
                <w:szCs w:val="20"/>
              </w:rPr>
              <w:t xml:space="preserve">This is only a titration factor. </w:t>
            </w:r>
          </w:p>
          <w:p w14:paraId="424D5C25" w14:textId="07C605DD" w:rsidR="000B0C19" w:rsidRPr="00A35F3F" w:rsidRDefault="000B0C19" w:rsidP="00BF63D9">
            <w:pPr>
              <w:pStyle w:val="TableText0"/>
              <w:keepNext w:val="0"/>
              <w:keepLines w:val="0"/>
              <w:rPr>
                <w:iCs/>
                <w:szCs w:val="20"/>
              </w:rPr>
            </w:pPr>
            <w:r w:rsidRPr="00A35F3F">
              <w:rPr>
                <w:iCs/>
                <w:szCs w:val="20"/>
              </w:rPr>
              <w:t>For a titration factor, the assumption is</w:t>
            </w:r>
            <w:r w:rsidR="0006127C" w:rsidRPr="00A35F3F">
              <w:rPr>
                <w:iCs/>
                <w:szCs w:val="20"/>
              </w:rPr>
              <w:t xml:space="preserve"> reasonable </w:t>
            </w:r>
            <w:r w:rsidRPr="00A35F3F">
              <w:rPr>
                <w:iCs/>
                <w:szCs w:val="20"/>
              </w:rPr>
              <w:t xml:space="preserve">given </w:t>
            </w:r>
            <w:r w:rsidR="0006127C" w:rsidRPr="00A35F3F">
              <w:rPr>
                <w:iCs/>
                <w:szCs w:val="20"/>
              </w:rPr>
              <w:t>the</w:t>
            </w:r>
            <w:r w:rsidR="007B6015" w:rsidRPr="00A35F3F">
              <w:rPr>
                <w:iCs/>
                <w:szCs w:val="20"/>
              </w:rPr>
              <w:t xml:space="preserve"> available data</w:t>
            </w:r>
            <w:r w:rsidR="00B31674" w:rsidRPr="00A35F3F">
              <w:rPr>
                <w:iCs/>
                <w:szCs w:val="20"/>
              </w:rPr>
              <w:t>; however, t</w:t>
            </w:r>
            <w:r w:rsidR="0006127C" w:rsidRPr="00A35F3F">
              <w:rPr>
                <w:iCs/>
                <w:szCs w:val="20"/>
              </w:rPr>
              <w:t>he limitation of the data introduce</w:t>
            </w:r>
            <w:r w:rsidR="00B05E7F" w:rsidRPr="00A35F3F">
              <w:rPr>
                <w:iCs/>
                <w:szCs w:val="20"/>
              </w:rPr>
              <w:t>s</w:t>
            </w:r>
            <w:r w:rsidR="007B6015" w:rsidRPr="00A35F3F">
              <w:rPr>
                <w:iCs/>
                <w:szCs w:val="20"/>
              </w:rPr>
              <w:t xml:space="preserve"> uncertainty</w:t>
            </w:r>
          </w:p>
        </w:tc>
      </w:tr>
      <w:tr w:rsidR="007B6015" w:rsidRPr="001534F8" w14:paraId="3347B65A" w14:textId="77777777" w:rsidTr="008942E3">
        <w:trPr>
          <w:cantSplit/>
          <w:trHeight w:val="113"/>
        </w:trPr>
        <w:tc>
          <w:tcPr>
            <w:tcW w:w="705" w:type="pct"/>
            <w:shd w:val="clear" w:color="auto" w:fill="auto"/>
            <w:vAlign w:val="center"/>
          </w:tcPr>
          <w:p w14:paraId="7C565E59" w14:textId="0B843C78" w:rsidR="007B6015" w:rsidRPr="001534F8" w:rsidRDefault="007B6015" w:rsidP="00BF63D9">
            <w:pPr>
              <w:pStyle w:val="TableText0"/>
              <w:keepNext w:val="0"/>
              <w:keepLines w:val="0"/>
              <w:rPr>
                <w:szCs w:val="20"/>
              </w:rPr>
            </w:pPr>
            <w:r w:rsidRPr="001534F8">
              <w:rPr>
                <w:szCs w:val="20"/>
              </w:rPr>
              <w:t>Substitution rate</w:t>
            </w:r>
          </w:p>
        </w:tc>
        <w:tc>
          <w:tcPr>
            <w:tcW w:w="2279" w:type="pct"/>
            <w:shd w:val="clear" w:color="auto" w:fill="auto"/>
            <w:vAlign w:val="center"/>
          </w:tcPr>
          <w:tbl>
            <w:tblPr>
              <w:tblStyle w:val="TableGrid"/>
              <w:tblW w:w="5000" w:type="pct"/>
              <w:tblCellMar>
                <w:left w:w="28" w:type="dxa"/>
                <w:right w:w="28" w:type="dxa"/>
              </w:tblCellMar>
              <w:tblLook w:val="04A0" w:firstRow="1" w:lastRow="0" w:firstColumn="1" w:lastColumn="0" w:noHBand="0" w:noVBand="1"/>
            </w:tblPr>
            <w:tblGrid>
              <w:gridCol w:w="1100"/>
              <w:gridCol w:w="1012"/>
              <w:gridCol w:w="958"/>
              <w:gridCol w:w="974"/>
            </w:tblGrid>
            <w:tr w:rsidR="007B6015" w:rsidRPr="00D310AC" w14:paraId="09376533" w14:textId="77777777" w:rsidTr="00D310AC">
              <w:trPr>
                <w:trHeight w:val="234"/>
              </w:trPr>
              <w:tc>
                <w:tcPr>
                  <w:tcW w:w="1100" w:type="dxa"/>
                  <w:shd w:val="clear" w:color="auto" w:fill="auto"/>
                  <w:vAlign w:val="center"/>
                </w:tcPr>
                <w:p w14:paraId="186E878D" w14:textId="77777777" w:rsidR="007B6015" w:rsidRPr="00D310AC" w:rsidRDefault="007B6015" w:rsidP="00BF63D9">
                  <w:pPr>
                    <w:pStyle w:val="Tabletext"/>
                    <w:rPr>
                      <w:rFonts w:cstheme="minorHAnsi"/>
                      <w:szCs w:val="20"/>
                    </w:rPr>
                  </w:pPr>
                </w:p>
              </w:tc>
              <w:tc>
                <w:tcPr>
                  <w:tcW w:w="1012" w:type="dxa"/>
                  <w:shd w:val="clear" w:color="auto" w:fill="auto"/>
                  <w:vAlign w:val="center"/>
                </w:tcPr>
                <w:p w14:paraId="6352F294" w14:textId="0B81CD9B" w:rsidR="007B6015" w:rsidRPr="00D310AC" w:rsidRDefault="007B6015" w:rsidP="00BF63D9">
                  <w:pPr>
                    <w:pStyle w:val="Tabletext"/>
                    <w:rPr>
                      <w:rFonts w:cstheme="minorHAnsi"/>
                      <w:szCs w:val="20"/>
                    </w:rPr>
                  </w:pPr>
                  <w:r w:rsidRPr="00D310AC">
                    <w:rPr>
                      <w:rFonts w:cstheme="minorHAnsi"/>
                      <w:szCs w:val="20"/>
                    </w:rPr>
                    <w:t>Crizotinib 200</w:t>
                  </w:r>
                  <w:r w:rsidR="007519D5" w:rsidRPr="00D310AC">
                    <w:rPr>
                      <w:rFonts w:cstheme="minorHAnsi"/>
                      <w:szCs w:val="20"/>
                    </w:rPr>
                    <w:t xml:space="preserve"> </w:t>
                  </w:r>
                  <w:r w:rsidRPr="00D310AC">
                    <w:rPr>
                      <w:rFonts w:cstheme="minorHAnsi"/>
                      <w:szCs w:val="20"/>
                    </w:rPr>
                    <w:t>mg</w:t>
                  </w:r>
                  <w:r w:rsidR="00BC2099" w:rsidRPr="00D310AC">
                    <w:rPr>
                      <w:rFonts w:cstheme="minorHAnsi"/>
                      <w:szCs w:val="20"/>
                    </w:rPr>
                    <w:t>,</w:t>
                  </w:r>
                  <w:r w:rsidR="00C8033D" w:rsidRPr="00D310AC">
                    <w:rPr>
                      <w:rFonts w:cstheme="minorHAnsi"/>
                      <w:szCs w:val="20"/>
                    </w:rPr>
                    <w:t xml:space="preserve"> </w:t>
                  </w:r>
                  <w:r w:rsidRPr="00D310AC">
                    <w:rPr>
                      <w:rFonts w:cstheme="minorHAnsi"/>
                      <w:szCs w:val="20"/>
                    </w:rPr>
                    <w:t>60</w:t>
                  </w:r>
                </w:p>
              </w:tc>
              <w:tc>
                <w:tcPr>
                  <w:tcW w:w="958" w:type="dxa"/>
                  <w:shd w:val="clear" w:color="auto" w:fill="auto"/>
                  <w:vAlign w:val="center"/>
                </w:tcPr>
                <w:p w14:paraId="0031071D" w14:textId="4E06BEA5" w:rsidR="007B6015" w:rsidRPr="00D310AC" w:rsidRDefault="007B6015" w:rsidP="00BF63D9">
                  <w:pPr>
                    <w:pStyle w:val="Tabletext"/>
                    <w:rPr>
                      <w:rFonts w:cstheme="minorHAnsi"/>
                      <w:szCs w:val="20"/>
                    </w:rPr>
                  </w:pPr>
                  <w:r w:rsidRPr="00D310AC">
                    <w:rPr>
                      <w:rFonts w:cstheme="minorHAnsi"/>
                      <w:szCs w:val="20"/>
                    </w:rPr>
                    <w:t>Crizotinib 250</w:t>
                  </w:r>
                  <w:r w:rsidR="007519D5" w:rsidRPr="00D310AC">
                    <w:rPr>
                      <w:rFonts w:cstheme="minorHAnsi"/>
                      <w:szCs w:val="20"/>
                    </w:rPr>
                    <w:t xml:space="preserve"> </w:t>
                  </w:r>
                  <w:r w:rsidRPr="00D310AC">
                    <w:rPr>
                      <w:rFonts w:cstheme="minorHAnsi"/>
                      <w:szCs w:val="20"/>
                    </w:rPr>
                    <w:t>mg, 60</w:t>
                  </w:r>
                </w:p>
              </w:tc>
              <w:tc>
                <w:tcPr>
                  <w:tcW w:w="974" w:type="dxa"/>
                  <w:shd w:val="clear" w:color="auto" w:fill="auto"/>
                  <w:vAlign w:val="center"/>
                </w:tcPr>
                <w:p w14:paraId="73EA93DC" w14:textId="54C7D9CE" w:rsidR="007B6015" w:rsidRPr="00D310AC" w:rsidRDefault="007B6015" w:rsidP="00BF63D9">
                  <w:pPr>
                    <w:pStyle w:val="Tabletext"/>
                    <w:rPr>
                      <w:rFonts w:cstheme="minorHAnsi"/>
                      <w:szCs w:val="20"/>
                    </w:rPr>
                  </w:pPr>
                  <w:bookmarkStart w:id="74" w:name="_Hlk190687373"/>
                  <w:r w:rsidRPr="00D310AC">
                    <w:rPr>
                      <w:rFonts w:cstheme="minorHAnsi"/>
                      <w:szCs w:val="20"/>
                    </w:rPr>
                    <w:t>Entrectinib 600</w:t>
                  </w:r>
                  <w:r w:rsidR="007519D5" w:rsidRPr="00D310AC">
                    <w:rPr>
                      <w:rFonts w:cstheme="minorHAnsi"/>
                      <w:szCs w:val="20"/>
                    </w:rPr>
                    <w:t xml:space="preserve"> </w:t>
                  </w:r>
                  <w:r w:rsidRPr="00D310AC">
                    <w:rPr>
                      <w:rFonts w:cstheme="minorHAnsi"/>
                      <w:szCs w:val="20"/>
                    </w:rPr>
                    <w:t>mg, 90</w:t>
                  </w:r>
                  <w:bookmarkEnd w:id="74"/>
                </w:p>
              </w:tc>
            </w:tr>
            <w:tr w:rsidR="007B6015" w:rsidRPr="00D310AC" w14:paraId="383A17D8" w14:textId="77777777" w:rsidTr="00B32CF9">
              <w:trPr>
                <w:trHeight w:val="609"/>
              </w:trPr>
              <w:tc>
                <w:tcPr>
                  <w:tcW w:w="1100" w:type="dxa"/>
                  <w:shd w:val="clear" w:color="auto" w:fill="auto"/>
                  <w:vAlign w:val="center"/>
                </w:tcPr>
                <w:p w14:paraId="2D320436" w14:textId="404DAAA6" w:rsidR="007B6015" w:rsidRPr="00D310AC" w:rsidRDefault="007B6015" w:rsidP="00BF63D9">
                  <w:pPr>
                    <w:pStyle w:val="Tabletext"/>
                    <w:rPr>
                      <w:rFonts w:cstheme="minorHAnsi"/>
                      <w:szCs w:val="20"/>
                    </w:rPr>
                  </w:pPr>
                  <w:bookmarkStart w:id="75" w:name="_Hlk190687429"/>
                  <w:r w:rsidRPr="00D310AC">
                    <w:rPr>
                      <w:rFonts w:cstheme="minorHAnsi"/>
                      <w:szCs w:val="20"/>
                    </w:rPr>
                    <w:t>Repotrectinib 40</w:t>
                  </w:r>
                  <w:r w:rsidR="007519D5" w:rsidRPr="00D310AC">
                    <w:rPr>
                      <w:rFonts w:cstheme="minorHAnsi"/>
                      <w:szCs w:val="20"/>
                    </w:rPr>
                    <w:t xml:space="preserve"> </w:t>
                  </w:r>
                  <w:r w:rsidRPr="00D310AC">
                    <w:rPr>
                      <w:rFonts w:cstheme="minorHAnsi"/>
                      <w:szCs w:val="20"/>
                    </w:rPr>
                    <w:t xml:space="preserve">mg,120 </w:t>
                  </w:r>
                  <w:bookmarkEnd w:id="75"/>
                </w:p>
              </w:tc>
              <w:tc>
                <w:tcPr>
                  <w:tcW w:w="1012" w:type="dxa"/>
                  <w:shd w:val="clear" w:color="auto" w:fill="auto"/>
                  <w:vAlign w:val="center"/>
                </w:tcPr>
                <w:p w14:paraId="72D8454F" w14:textId="77777777" w:rsidR="007B6015" w:rsidRPr="00D310AC" w:rsidRDefault="007B6015" w:rsidP="00B32CF9">
                  <w:pPr>
                    <w:pStyle w:val="Tabletext"/>
                    <w:jc w:val="center"/>
                    <w:rPr>
                      <w:rFonts w:cstheme="minorHAnsi"/>
                      <w:szCs w:val="20"/>
                    </w:rPr>
                  </w:pPr>
                  <w:r w:rsidRPr="00D310AC">
                    <w:rPr>
                      <w:rFonts w:cstheme="minorHAnsi"/>
                      <w:szCs w:val="20"/>
                    </w:rPr>
                    <w:t>100%</w:t>
                  </w:r>
                </w:p>
              </w:tc>
              <w:tc>
                <w:tcPr>
                  <w:tcW w:w="958" w:type="dxa"/>
                  <w:shd w:val="clear" w:color="auto" w:fill="auto"/>
                  <w:vAlign w:val="center"/>
                </w:tcPr>
                <w:p w14:paraId="6DE7E2A7" w14:textId="77777777" w:rsidR="007B6015" w:rsidRPr="00D310AC" w:rsidRDefault="007B6015" w:rsidP="00B32CF9">
                  <w:pPr>
                    <w:pStyle w:val="Tabletext"/>
                    <w:jc w:val="center"/>
                    <w:rPr>
                      <w:rFonts w:cstheme="minorHAnsi"/>
                      <w:szCs w:val="20"/>
                    </w:rPr>
                  </w:pPr>
                  <w:r w:rsidRPr="00D310AC">
                    <w:rPr>
                      <w:rFonts w:cstheme="minorHAnsi"/>
                      <w:szCs w:val="20"/>
                    </w:rPr>
                    <w:t>0%</w:t>
                  </w:r>
                </w:p>
              </w:tc>
              <w:tc>
                <w:tcPr>
                  <w:tcW w:w="974" w:type="dxa"/>
                  <w:shd w:val="clear" w:color="auto" w:fill="auto"/>
                  <w:vAlign w:val="center"/>
                </w:tcPr>
                <w:p w14:paraId="73EF23B7" w14:textId="77777777" w:rsidR="007B6015" w:rsidRPr="00D310AC" w:rsidRDefault="007B6015" w:rsidP="00B32CF9">
                  <w:pPr>
                    <w:pStyle w:val="Tabletext"/>
                    <w:jc w:val="center"/>
                    <w:rPr>
                      <w:rFonts w:cstheme="minorHAnsi"/>
                      <w:szCs w:val="20"/>
                    </w:rPr>
                  </w:pPr>
                  <w:r w:rsidRPr="00D310AC">
                    <w:rPr>
                      <w:rFonts w:cstheme="minorHAnsi"/>
                      <w:szCs w:val="20"/>
                    </w:rPr>
                    <w:t>40.1%</w:t>
                  </w:r>
                </w:p>
              </w:tc>
            </w:tr>
            <w:tr w:rsidR="007B6015" w:rsidRPr="00D310AC" w14:paraId="24D90E2B" w14:textId="77777777" w:rsidTr="00B32CF9">
              <w:trPr>
                <w:trHeight w:val="232"/>
              </w:trPr>
              <w:tc>
                <w:tcPr>
                  <w:tcW w:w="1100" w:type="dxa"/>
                  <w:shd w:val="clear" w:color="auto" w:fill="auto"/>
                  <w:vAlign w:val="center"/>
                </w:tcPr>
                <w:p w14:paraId="27B196C2" w14:textId="60083798" w:rsidR="007B6015" w:rsidRPr="00D310AC" w:rsidRDefault="007B6015" w:rsidP="00BF63D9">
                  <w:pPr>
                    <w:pStyle w:val="Tabletext"/>
                    <w:rPr>
                      <w:rFonts w:cstheme="minorHAnsi"/>
                      <w:szCs w:val="20"/>
                    </w:rPr>
                  </w:pPr>
                  <w:r w:rsidRPr="00D310AC">
                    <w:rPr>
                      <w:rFonts w:cstheme="minorHAnsi"/>
                      <w:szCs w:val="20"/>
                    </w:rPr>
                    <w:t>Repotrectinib 160</w:t>
                  </w:r>
                  <w:r w:rsidR="007519D5" w:rsidRPr="00D310AC">
                    <w:rPr>
                      <w:rFonts w:cstheme="minorHAnsi"/>
                      <w:szCs w:val="20"/>
                    </w:rPr>
                    <w:t xml:space="preserve"> </w:t>
                  </w:r>
                  <w:r w:rsidRPr="00D310AC">
                    <w:rPr>
                      <w:rFonts w:cstheme="minorHAnsi"/>
                      <w:szCs w:val="20"/>
                    </w:rPr>
                    <w:t xml:space="preserve">mg, 60 </w:t>
                  </w:r>
                </w:p>
              </w:tc>
              <w:tc>
                <w:tcPr>
                  <w:tcW w:w="1012" w:type="dxa"/>
                  <w:shd w:val="clear" w:color="auto" w:fill="auto"/>
                  <w:vAlign w:val="center"/>
                </w:tcPr>
                <w:p w14:paraId="62F1496C" w14:textId="77777777" w:rsidR="007B6015" w:rsidRPr="00D310AC" w:rsidRDefault="007B6015" w:rsidP="00B32CF9">
                  <w:pPr>
                    <w:pStyle w:val="Tabletext"/>
                    <w:jc w:val="center"/>
                    <w:rPr>
                      <w:rFonts w:cstheme="minorHAnsi"/>
                      <w:szCs w:val="20"/>
                    </w:rPr>
                  </w:pPr>
                  <w:r w:rsidRPr="00D310AC">
                    <w:rPr>
                      <w:rFonts w:cstheme="minorHAnsi"/>
                      <w:szCs w:val="20"/>
                    </w:rPr>
                    <w:t>0%</w:t>
                  </w:r>
                </w:p>
              </w:tc>
              <w:tc>
                <w:tcPr>
                  <w:tcW w:w="958" w:type="dxa"/>
                  <w:shd w:val="clear" w:color="auto" w:fill="auto"/>
                  <w:vAlign w:val="center"/>
                </w:tcPr>
                <w:p w14:paraId="5D9A8FDF" w14:textId="77777777" w:rsidR="007B6015" w:rsidRPr="00D310AC" w:rsidRDefault="007B6015" w:rsidP="00B32CF9">
                  <w:pPr>
                    <w:pStyle w:val="Tabletext"/>
                    <w:jc w:val="center"/>
                    <w:rPr>
                      <w:rFonts w:cstheme="minorHAnsi"/>
                      <w:szCs w:val="20"/>
                    </w:rPr>
                  </w:pPr>
                  <w:r w:rsidRPr="00D310AC">
                    <w:rPr>
                      <w:rFonts w:cstheme="minorHAnsi"/>
                      <w:szCs w:val="20"/>
                    </w:rPr>
                    <w:t>100%</w:t>
                  </w:r>
                </w:p>
              </w:tc>
              <w:tc>
                <w:tcPr>
                  <w:tcW w:w="974" w:type="dxa"/>
                  <w:shd w:val="clear" w:color="auto" w:fill="auto"/>
                  <w:vAlign w:val="center"/>
                </w:tcPr>
                <w:p w14:paraId="0D8E3D79" w14:textId="77777777" w:rsidR="007B6015" w:rsidRPr="00D310AC" w:rsidRDefault="007B6015" w:rsidP="00B32CF9">
                  <w:pPr>
                    <w:pStyle w:val="Tabletext"/>
                    <w:jc w:val="center"/>
                    <w:rPr>
                      <w:rFonts w:cstheme="minorHAnsi"/>
                      <w:szCs w:val="20"/>
                    </w:rPr>
                  </w:pPr>
                  <w:r w:rsidRPr="00D310AC">
                    <w:rPr>
                      <w:rFonts w:cstheme="minorHAnsi"/>
                      <w:szCs w:val="20"/>
                    </w:rPr>
                    <w:t>59.9%</w:t>
                  </w:r>
                </w:p>
              </w:tc>
            </w:tr>
          </w:tbl>
          <w:p w14:paraId="36015ED7" w14:textId="52DBA95B" w:rsidR="007B6015" w:rsidRPr="001534F8" w:rsidRDefault="007B6015" w:rsidP="00BF63D9">
            <w:pPr>
              <w:pStyle w:val="TableText0"/>
              <w:keepNext w:val="0"/>
              <w:keepLines w:val="0"/>
              <w:rPr>
                <w:szCs w:val="20"/>
              </w:rPr>
            </w:pPr>
            <w:r w:rsidRPr="001534F8">
              <w:rPr>
                <w:szCs w:val="20"/>
              </w:rPr>
              <w:t xml:space="preserve">Calculation based on proportion of ROS1 patients requiring dose adjustment in </w:t>
            </w:r>
            <w:r w:rsidR="00374CEE">
              <w:rPr>
                <w:szCs w:val="20"/>
              </w:rPr>
              <w:t xml:space="preserve">the </w:t>
            </w:r>
            <w:r w:rsidRPr="001534F8">
              <w:rPr>
                <w:szCs w:val="20"/>
              </w:rPr>
              <w:t>TRIDENT-1 clinical trial on median duration therapy of repotrectinib in the TRIDENT-1 clinical trial.</w:t>
            </w:r>
          </w:p>
        </w:tc>
        <w:tc>
          <w:tcPr>
            <w:tcW w:w="2016" w:type="pct"/>
            <w:shd w:val="clear" w:color="auto" w:fill="auto"/>
            <w:vAlign w:val="center"/>
          </w:tcPr>
          <w:p w14:paraId="6DA02210" w14:textId="081FCBFE" w:rsidR="007B6015" w:rsidRPr="00A35F3F" w:rsidRDefault="00AB1F67" w:rsidP="00BF63D9">
            <w:pPr>
              <w:pStyle w:val="TableText0"/>
              <w:keepNext w:val="0"/>
              <w:keepLines w:val="0"/>
              <w:rPr>
                <w:iCs/>
                <w:szCs w:val="20"/>
              </w:rPr>
            </w:pPr>
            <w:r w:rsidRPr="00A35F3F">
              <w:rPr>
                <w:iCs/>
                <w:szCs w:val="20"/>
              </w:rPr>
              <w:t xml:space="preserve">The figure </w:t>
            </w:r>
            <w:r w:rsidR="00990A6A" w:rsidRPr="00A35F3F">
              <w:rPr>
                <w:iCs/>
                <w:szCs w:val="20"/>
              </w:rPr>
              <w:t xml:space="preserve">of </w:t>
            </w:r>
            <w:r w:rsidRPr="00A35F3F">
              <w:rPr>
                <w:iCs/>
                <w:szCs w:val="20"/>
              </w:rPr>
              <w:t>40.1% is the percentage of patients requiring dose reduction</w:t>
            </w:r>
            <w:r w:rsidR="007D4222" w:rsidRPr="00A35F3F">
              <w:rPr>
                <w:iCs/>
                <w:szCs w:val="20"/>
              </w:rPr>
              <w:t xml:space="preserve"> in clinical trials</w:t>
            </w:r>
            <w:r w:rsidRPr="00A35F3F">
              <w:rPr>
                <w:iCs/>
                <w:szCs w:val="20"/>
              </w:rPr>
              <w:t xml:space="preserve">, not the percentage of </w:t>
            </w:r>
            <w:r w:rsidR="007D4222" w:rsidRPr="00A35F3F">
              <w:rPr>
                <w:iCs/>
                <w:szCs w:val="20"/>
              </w:rPr>
              <w:t>- script volume</w:t>
            </w:r>
            <w:r w:rsidRPr="00A35F3F">
              <w:rPr>
                <w:iCs/>
                <w:szCs w:val="20"/>
              </w:rPr>
              <w:t xml:space="preserve">. </w:t>
            </w:r>
            <w:r w:rsidR="00005203" w:rsidRPr="00A35F3F">
              <w:rPr>
                <w:iCs/>
                <w:szCs w:val="20"/>
              </w:rPr>
              <w:t xml:space="preserve">Script equivalence should have been considered here, as </w:t>
            </w:r>
            <w:r w:rsidR="007D4222" w:rsidRPr="00A35F3F">
              <w:rPr>
                <w:iCs/>
                <w:szCs w:val="20"/>
              </w:rPr>
              <w:t xml:space="preserve">for </w:t>
            </w:r>
            <w:r w:rsidR="00005203" w:rsidRPr="00A35F3F">
              <w:rPr>
                <w:iCs/>
                <w:szCs w:val="20"/>
              </w:rPr>
              <w:t>1 s</w:t>
            </w:r>
            <w:r w:rsidRPr="00A35F3F">
              <w:rPr>
                <w:iCs/>
                <w:szCs w:val="20"/>
              </w:rPr>
              <w:t>cript</w:t>
            </w:r>
            <w:r w:rsidR="007D4222" w:rsidRPr="00A35F3F">
              <w:rPr>
                <w:iCs/>
                <w:szCs w:val="20"/>
              </w:rPr>
              <w:t>, the days it can last for</w:t>
            </w:r>
            <w:r w:rsidR="00005203" w:rsidRPr="00A35F3F">
              <w:rPr>
                <w:iCs/>
                <w:szCs w:val="20"/>
              </w:rPr>
              <w:t xml:space="preserve"> entrectinib </w:t>
            </w:r>
            <w:r w:rsidR="00BF63D9" w:rsidRPr="00A35F3F">
              <w:rPr>
                <w:iCs/>
                <w:szCs w:val="20"/>
              </w:rPr>
              <w:t>vs.</w:t>
            </w:r>
            <w:r w:rsidR="00005203" w:rsidRPr="00A35F3F">
              <w:rPr>
                <w:iCs/>
                <w:szCs w:val="20"/>
              </w:rPr>
              <w:t xml:space="preserve"> repotrectinib are 30</w:t>
            </w:r>
            <w:r w:rsidR="00BF63D9" w:rsidRPr="00A35F3F">
              <w:rPr>
                <w:iCs/>
                <w:szCs w:val="20"/>
              </w:rPr>
              <w:t xml:space="preserve"> vs</w:t>
            </w:r>
            <w:r w:rsidR="00005203" w:rsidRPr="00A35F3F">
              <w:rPr>
                <w:iCs/>
                <w:szCs w:val="20"/>
              </w:rPr>
              <w:t xml:space="preserve"> 30 </w:t>
            </w:r>
            <w:r w:rsidRPr="00A35F3F">
              <w:rPr>
                <w:iCs/>
                <w:szCs w:val="20"/>
              </w:rPr>
              <w:t>at standard dos</w:t>
            </w:r>
            <w:r w:rsidR="00005203" w:rsidRPr="00A35F3F">
              <w:rPr>
                <w:iCs/>
                <w:szCs w:val="20"/>
              </w:rPr>
              <w:t xml:space="preserve">e, 45 </w:t>
            </w:r>
            <w:r w:rsidR="00BF63D9" w:rsidRPr="00A35F3F">
              <w:rPr>
                <w:iCs/>
                <w:szCs w:val="20"/>
              </w:rPr>
              <w:t>vs</w:t>
            </w:r>
            <w:r w:rsidR="00005203" w:rsidRPr="00A35F3F">
              <w:rPr>
                <w:iCs/>
                <w:szCs w:val="20"/>
              </w:rPr>
              <w:t xml:space="preserve"> 20 at first</w:t>
            </w:r>
            <w:r w:rsidRPr="00A35F3F">
              <w:rPr>
                <w:iCs/>
                <w:szCs w:val="20"/>
              </w:rPr>
              <w:t xml:space="preserve"> reduction</w:t>
            </w:r>
            <w:r w:rsidR="00005203" w:rsidRPr="00A35F3F">
              <w:rPr>
                <w:iCs/>
                <w:szCs w:val="20"/>
              </w:rPr>
              <w:t xml:space="preserve"> and 90</w:t>
            </w:r>
            <w:r w:rsidR="00BF63D9" w:rsidRPr="00A35F3F">
              <w:rPr>
                <w:iCs/>
                <w:szCs w:val="20"/>
              </w:rPr>
              <w:t xml:space="preserve"> vs</w:t>
            </w:r>
            <w:r w:rsidR="00005203" w:rsidRPr="00A35F3F">
              <w:rPr>
                <w:iCs/>
                <w:szCs w:val="20"/>
              </w:rPr>
              <w:t xml:space="preserve"> 30 at second dose reduction (</w:t>
            </w:r>
            <w:r w:rsidR="00005203" w:rsidRPr="00A35F3F">
              <w:rPr>
                <w:iCs/>
                <w:szCs w:val="20"/>
              </w:rPr>
              <w:fldChar w:fldCharType="begin"/>
            </w:r>
            <w:r w:rsidR="00005203" w:rsidRPr="00A35F3F">
              <w:rPr>
                <w:iCs/>
                <w:szCs w:val="20"/>
              </w:rPr>
              <w:instrText xml:space="preserve"> REF _Ref190685958 \h </w:instrText>
            </w:r>
            <w:r w:rsidR="00A35F3F">
              <w:rPr>
                <w:iCs/>
                <w:szCs w:val="20"/>
              </w:rPr>
              <w:instrText xml:space="preserve"> \* MERGEFORMAT </w:instrText>
            </w:r>
            <w:r w:rsidR="00005203" w:rsidRPr="00A35F3F">
              <w:rPr>
                <w:iCs/>
                <w:szCs w:val="20"/>
              </w:rPr>
            </w:r>
            <w:r w:rsidR="00005203" w:rsidRPr="00A35F3F">
              <w:rPr>
                <w:iCs/>
                <w:szCs w:val="20"/>
              </w:rPr>
              <w:fldChar w:fldCharType="separate"/>
            </w:r>
            <w:r w:rsidR="00D32E93" w:rsidRPr="00D32E93">
              <w:rPr>
                <w:iCs/>
                <w:szCs w:val="20"/>
              </w:rPr>
              <w:t xml:space="preserve">Table </w:t>
            </w:r>
            <w:r w:rsidR="00D32E93" w:rsidRPr="00D32E93">
              <w:rPr>
                <w:iCs/>
                <w:noProof/>
                <w:szCs w:val="20"/>
              </w:rPr>
              <w:t>8</w:t>
            </w:r>
            <w:r w:rsidR="00005203" w:rsidRPr="00A35F3F">
              <w:rPr>
                <w:iCs/>
                <w:szCs w:val="20"/>
              </w:rPr>
              <w:fldChar w:fldCharType="end"/>
            </w:r>
            <w:r w:rsidR="00005203" w:rsidRPr="00A35F3F">
              <w:rPr>
                <w:iCs/>
                <w:szCs w:val="20"/>
              </w:rPr>
              <w:t>)</w:t>
            </w:r>
            <w:r w:rsidRPr="00A35F3F">
              <w:rPr>
                <w:iCs/>
                <w:szCs w:val="20"/>
              </w:rPr>
              <w:t xml:space="preserve">. </w:t>
            </w:r>
            <w:r w:rsidR="000022F2" w:rsidRPr="00A35F3F">
              <w:rPr>
                <w:iCs/>
                <w:szCs w:val="20"/>
              </w:rPr>
              <w:t>This step underestimated the cost of repotrectinib.</w:t>
            </w:r>
            <w:r w:rsidRPr="00A35F3F">
              <w:rPr>
                <w:iCs/>
                <w:szCs w:val="20"/>
              </w:rPr>
              <w:t xml:space="preserve"> </w:t>
            </w:r>
          </w:p>
        </w:tc>
      </w:tr>
      <w:tr w:rsidR="007B6015" w:rsidRPr="001534F8" w14:paraId="6E35C7C4" w14:textId="77777777" w:rsidTr="008942E3">
        <w:trPr>
          <w:cantSplit/>
          <w:trHeight w:val="113"/>
        </w:trPr>
        <w:tc>
          <w:tcPr>
            <w:tcW w:w="705" w:type="pct"/>
            <w:shd w:val="clear" w:color="auto" w:fill="auto"/>
            <w:vAlign w:val="center"/>
          </w:tcPr>
          <w:p w14:paraId="612B5BF5" w14:textId="77777777" w:rsidR="007B6015" w:rsidRPr="001534F8" w:rsidRDefault="007B6015" w:rsidP="00BF63D9">
            <w:pPr>
              <w:pStyle w:val="TableText0"/>
              <w:keepNext w:val="0"/>
              <w:keepLines w:val="0"/>
              <w:rPr>
                <w:szCs w:val="20"/>
              </w:rPr>
            </w:pPr>
            <w:r w:rsidRPr="001534F8">
              <w:rPr>
                <w:szCs w:val="20"/>
              </w:rPr>
              <w:t>Patient co-payment</w:t>
            </w:r>
          </w:p>
        </w:tc>
        <w:tc>
          <w:tcPr>
            <w:tcW w:w="2279" w:type="pct"/>
            <w:shd w:val="clear" w:color="auto" w:fill="auto"/>
            <w:vAlign w:val="center"/>
          </w:tcPr>
          <w:p w14:paraId="5773A7DC" w14:textId="6522C70A" w:rsidR="007B6015" w:rsidRPr="001534F8" w:rsidRDefault="007B6015" w:rsidP="00BF63D9">
            <w:pPr>
              <w:pStyle w:val="Tabletext"/>
              <w:rPr>
                <w:szCs w:val="20"/>
              </w:rPr>
            </w:pPr>
            <w:r w:rsidRPr="001534F8">
              <w:rPr>
                <w:szCs w:val="20"/>
              </w:rPr>
              <w:t>PBS: $25.54, RPBS: $6.60</w:t>
            </w:r>
            <w:r w:rsidRPr="001534F8">
              <w:rPr>
                <w:szCs w:val="20"/>
              </w:rPr>
              <w:br/>
              <w:t xml:space="preserve">Medicare PBS </w:t>
            </w:r>
            <w:r w:rsidR="007D25A4">
              <w:rPr>
                <w:szCs w:val="20"/>
              </w:rPr>
              <w:t>i</w:t>
            </w:r>
            <w:r w:rsidRPr="001534F8">
              <w:rPr>
                <w:szCs w:val="20"/>
              </w:rPr>
              <w:t xml:space="preserve">tem </w:t>
            </w:r>
            <w:r w:rsidR="007D25A4">
              <w:rPr>
                <w:szCs w:val="20"/>
              </w:rPr>
              <w:t>s</w:t>
            </w:r>
            <w:r w:rsidRPr="001534F8">
              <w:rPr>
                <w:szCs w:val="20"/>
              </w:rPr>
              <w:t>tatistics for crizotinib (11589Y and 11594F) and entrectinib (12092K), Jan–Dec 2023</w:t>
            </w:r>
          </w:p>
        </w:tc>
        <w:tc>
          <w:tcPr>
            <w:tcW w:w="2016" w:type="pct"/>
            <w:shd w:val="clear" w:color="auto" w:fill="auto"/>
            <w:vAlign w:val="center"/>
          </w:tcPr>
          <w:p w14:paraId="0AFB854E" w14:textId="77777777" w:rsidR="007B6015" w:rsidRPr="00A35F3F" w:rsidRDefault="007B6015" w:rsidP="00BF63D9">
            <w:pPr>
              <w:pStyle w:val="TableText0"/>
              <w:keepNext w:val="0"/>
              <w:keepLines w:val="0"/>
              <w:rPr>
                <w:iCs/>
                <w:szCs w:val="20"/>
              </w:rPr>
            </w:pPr>
            <w:r w:rsidRPr="00A35F3F">
              <w:rPr>
                <w:iCs/>
                <w:szCs w:val="20"/>
              </w:rPr>
              <w:t>Reasonable</w:t>
            </w:r>
          </w:p>
        </w:tc>
      </w:tr>
      <w:tr w:rsidR="007B6015" w:rsidRPr="001534F8" w14:paraId="3327DEE8" w14:textId="77777777" w:rsidTr="008942E3">
        <w:trPr>
          <w:cantSplit/>
          <w:trHeight w:val="113"/>
        </w:trPr>
        <w:tc>
          <w:tcPr>
            <w:tcW w:w="705" w:type="pct"/>
            <w:shd w:val="clear" w:color="auto" w:fill="auto"/>
            <w:vAlign w:val="center"/>
          </w:tcPr>
          <w:p w14:paraId="203DA084" w14:textId="77777777" w:rsidR="007B6015" w:rsidRPr="001534F8" w:rsidRDefault="007B6015" w:rsidP="00BB64D0">
            <w:pPr>
              <w:pStyle w:val="TableText0"/>
              <w:rPr>
                <w:szCs w:val="20"/>
              </w:rPr>
            </w:pPr>
            <w:r w:rsidRPr="001534F8">
              <w:rPr>
                <w:szCs w:val="20"/>
              </w:rPr>
              <w:t>PBS/RPBS split</w:t>
            </w:r>
          </w:p>
        </w:tc>
        <w:tc>
          <w:tcPr>
            <w:tcW w:w="2279" w:type="pct"/>
            <w:shd w:val="clear" w:color="auto" w:fill="auto"/>
            <w:vAlign w:val="center"/>
          </w:tcPr>
          <w:p w14:paraId="7743BA99" w14:textId="700CE9E4" w:rsidR="007B6015" w:rsidRPr="001534F8" w:rsidRDefault="007B6015" w:rsidP="00BB64D0">
            <w:pPr>
              <w:pStyle w:val="Tabletext"/>
              <w:rPr>
                <w:szCs w:val="20"/>
              </w:rPr>
            </w:pPr>
            <w:r w:rsidRPr="001534F8">
              <w:rPr>
                <w:szCs w:val="20"/>
              </w:rPr>
              <w:t>PBS: 96.83%; RPBS: 3.17%</w:t>
            </w:r>
            <w:r w:rsidRPr="001534F8">
              <w:rPr>
                <w:szCs w:val="20"/>
              </w:rPr>
              <w:br/>
              <w:t xml:space="preserve">Medicare PBS </w:t>
            </w:r>
            <w:r w:rsidR="007D25A4">
              <w:rPr>
                <w:szCs w:val="20"/>
              </w:rPr>
              <w:t>i</w:t>
            </w:r>
            <w:r w:rsidRPr="001534F8">
              <w:rPr>
                <w:szCs w:val="20"/>
              </w:rPr>
              <w:t xml:space="preserve">tem </w:t>
            </w:r>
            <w:r w:rsidR="007D25A4">
              <w:rPr>
                <w:szCs w:val="20"/>
              </w:rPr>
              <w:t>s</w:t>
            </w:r>
            <w:r w:rsidRPr="001534F8">
              <w:rPr>
                <w:szCs w:val="20"/>
              </w:rPr>
              <w:t>tatistics for crizotinib (11589Y and 11594F) and entrectinib (12092K), Jan–Dec 2023</w:t>
            </w:r>
          </w:p>
        </w:tc>
        <w:tc>
          <w:tcPr>
            <w:tcW w:w="2016" w:type="pct"/>
            <w:shd w:val="clear" w:color="auto" w:fill="auto"/>
            <w:vAlign w:val="center"/>
          </w:tcPr>
          <w:p w14:paraId="7C5A66D4" w14:textId="77777777" w:rsidR="007B6015" w:rsidRPr="00A35F3F" w:rsidRDefault="007B6015" w:rsidP="00BB64D0">
            <w:pPr>
              <w:pStyle w:val="TableText0"/>
              <w:rPr>
                <w:iCs/>
                <w:szCs w:val="20"/>
              </w:rPr>
            </w:pPr>
            <w:r w:rsidRPr="00A35F3F">
              <w:rPr>
                <w:iCs/>
                <w:szCs w:val="20"/>
              </w:rPr>
              <w:t>Reasonable</w:t>
            </w:r>
          </w:p>
        </w:tc>
      </w:tr>
    </w:tbl>
    <w:p w14:paraId="4D94BCAA" w14:textId="77777777" w:rsidR="00EE1DBA" w:rsidRDefault="007B6015" w:rsidP="00F511D9">
      <w:pPr>
        <w:pStyle w:val="TableFigureFooter"/>
      </w:pPr>
      <w:r w:rsidRPr="001D0383">
        <w:t>Source: Table 5</w:t>
      </w:r>
      <w:r w:rsidR="00A478D1" w:rsidRPr="001D0383">
        <w:t>1</w:t>
      </w:r>
      <w:r w:rsidRPr="001D0383">
        <w:t xml:space="preserve"> of the submission</w:t>
      </w:r>
      <w:r w:rsidR="00DD0702" w:rsidRPr="001D0383">
        <w:t>.</w:t>
      </w:r>
    </w:p>
    <w:p w14:paraId="1B9F48EB" w14:textId="1A1B2968" w:rsidR="007B6015" w:rsidRPr="001534F8" w:rsidRDefault="00E71F98" w:rsidP="00F511D9">
      <w:pPr>
        <w:pStyle w:val="TableFigureFooter"/>
      </w:pPr>
      <w:r w:rsidRPr="00E71F98">
        <w:t>NSCLC = non-small cell lung cancer</w:t>
      </w:r>
      <w:r w:rsidR="002C5378">
        <w:t xml:space="preserve">; </w:t>
      </w:r>
      <w:r w:rsidR="002C5378" w:rsidRPr="002C5378">
        <w:t>ROS1 = c-ROS proto-oncogene 1</w:t>
      </w:r>
      <w:r w:rsidR="007B43CE">
        <w:t>.</w:t>
      </w:r>
    </w:p>
    <w:p w14:paraId="48BD22A8" w14:textId="3E6077E3" w:rsidR="007B6015" w:rsidRPr="007A38AF" w:rsidRDefault="007B6015" w:rsidP="00D71F94">
      <w:pPr>
        <w:pStyle w:val="3-BodyText"/>
      </w:pPr>
      <w:r w:rsidRPr="007A38AF">
        <w:rPr>
          <w:rFonts w:cs="Arial"/>
        </w:rPr>
        <w:t xml:space="preserve">The </w:t>
      </w:r>
      <w:r w:rsidR="007D25A4" w:rsidRPr="007A38AF">
        <w:rPr>
          <w:rFonts w:cs="Arial"/>
        </w:rPr>
        <w:t>e</w:t>
      </w:r>
      <w:r w:rsidR="00181ADD" w:rsidRPr="007A38AF">
        <w:rPr>
          <w:rFonts w:cs="Arial"/>
        </w:rPr>
        <w:t>stimated use and financial implications of repotr</w:t>
      </w:r>
      <w:r w:rsidR="00E75CB9" w:rsidRPr="007A38AF">
        <w:rPr>
          <w:rFonts w:cs="Arial"/>
        </w:rPr>
        <w:t>e</w:t>
      </w:r>
      <w:r w:rsidR="00181ADD" w:rsidRPr="007A38AF">
        <w:rPr>
          <w:rFonts w:cs="Arial"/>
        </w:rPr>
        <w:t xml:space="preserve">ctinib </w:t>
      </w:r>
      <w:r w:rsidR="007D25A4" w:rsidRPr="007A38AF">
        <w:rPr>
          <w:rFonts w:cs="Arial"/>
        </w:rPr>
        <w:t>are shown</w:t>
      </w:r>
      <w:r w:rsidR="00181ADD" w:rsidRPr="007A38AF">
        <w:rPr>
          <w:rFonts w:cs="Arial"/>
        </w:rPr>
        <w:t xml:space="preserve"> in </w:t>
      </w:r>
      <w:r w:rsidR="00181ADD" w:rsidRPr="00D71F94">
        <w:rPr>
          <w:rFonts w:cs="Arial"/>
        </w:rPr>
        <w:fldChar w:fldCharType="begin"/>
      </w:r>
      <w:r w:rsidR="00181ADD" w:rsidRPr="007A38AF">
        <w:rPr>
          <w:rFonts w:cs="Arial"/>
        </w:rPr>
        <w:instrText xml:space="preserve"> REF _Ref104805295 \h </w:instrText>
      </w:r>
      <w:r w:rsidR="007A38AF" w:rsidRPr="007A38AF">
        <w:rPr>
          <w:rFonts w:cs="Arial"/>
        </w:rPr>
        <w:instrText xml:space="preserve"> \* MERGEFORMAT </w:instrText>
      </w:r>
      <w:r w:rsidR="00181ADD" w:rsidRPr="00D71F94">
        <w:rPr>
          <w:rFonts w:cs="Arial"/>
        </w:rPr>
      </w:r>
      <w:r w:rsidR="00181ADD" w:rsidRPr="00D71F94">
        <w:rPr>
          <w:rFonts w:cs="Arial"/>
        </w:rPr>
        <w:fldChar w:fldCharType="separate"/>
      </w:r>
      <w:r w:rsidR="00D32E93" w:rsidRPr="0098262F">
        <w:rPr>
          <w:noProof/>
        </w:rPr>
        <w:t xml:space="preserve">Table </w:t>
      </w:r>
      <w:r w:rsidR="00D32E93">
        <w:rPr>
          <w:noProof/>
        </w:rPr>
        <w:t>12</w:t>
      </w:r>
      <w:r w:rsidR="00181ADD" w:rsidRPr="00D71F94">
        <w:rPr>
          <w:rFonts w:cs="Arial"/>
        </w:rPr>
        <w:fldChar w:fldCharType="end"/>
      </w:r>
      <w:r w:rsidRPr="00D71F94">
        <w:rPr>
          <w:rFonts w:cs="Arial"/>
        </w:rPr>
        <w:t>.</w:t>
      </w:r>
      <w:r w:rsidR="00C1584F" w:rsidRPr="00D71F94">
        <w:rPr>
          <w:rFonts w:cs="Arial"/>
        </w:rPr>
        <w:t xml:space="preserve"> </w:t>
      </w:r>
      <w:r w:rsidR="00181ADD" w:rsidRPr="00D71F94">
        <w:rPr>
          <w:rFonts w:cs="Arial"/>
        </w:rPr>
        <w:t>Total net</w:t>
      </w:r>
      <w:r w:rsidR="00181ADD" w:rsidRPr="00D71F94" w:rsidDel="00CA3230">
        <w:rPr>
          <w:rFonts w:cs="Arial"/>
        </w:rPr>
        <w:t xml:space="preserve"> </w:t>
      </w:r>
      <w:r w:rsidR="00CA3230" w:rsidRPr="00D71F94">
        <w:rPr>
          <w:rFonts w:cs="Arial"/>
        </w:rPr>
        <w:t xml:space="preserve">save </w:t>
      </w:r>
      <w:r w:rsidR="00181ADD" w:rsidRPr="00D71F94">
        <w:rPr>
          <w:rFonts w:cs="Arial"/>
        </w:rPr>
        <w:t xml:space="preserve">to PBS/RPBS </w:t>
      </w:r>
      <w:r w:rsidR="00CA3230" w:rsidRPr="00D71F94">
        <w:rPr>
          <w:rFonts w:cs="Arial"/>
        </w:rPr>
        <w:t>over</w:t>
      </w:r>
      <w:r w:rsidR="00181ADD" w:rsidRPr="00D71F94">
        <w:rPr>
          <w:rFonts w:cs="Arial"/>
        </w:rPr>
        <w:t xml:space="preserve"> 6 years </w:t>
      </w:r>
      <w:r w:rsidR="00CA3230" w:rsidRPr="00D71F94">
        <w:rPr>
          <w:rFonts w:cs="Arial"/>
        </w:rPr>
        <w:t xml:space="preserve">was estimated to be </w:t>
      </w:r>
      <w:r w:rsidR="00D71F94">
        <w:rPr>
          <w:rFonts w:cs="Arial"/>
        </w:rPr>
        <w:t>net cost saving</w:t>
      </w:r>
      <w:r w:rsidR="00DA32DA" w:rsidRPr="00D71F94">
        <w:rPr>
          <w:rFonts w:cs="Arial"/>
        </w:rPr>
        <w:t>.</w:t>
      </w:r>
    </w:p>
    <w:p w14:paraId="50FF31BC" w14:textId="3CB8CA2E" w:rsidR="00591AF0" w:rsidRPr="0098262F" w:rsidRDefault="00591AF0" w:rsidP="00591AF0">
      <w:pPr>
        <w:pStyle w:val="Caption"/>
      </w:pPr>
      <w:bookmarkStart w:id="76" w:name="_Ref104805295"/>
      <w:r w:rsidRPr="0098262F">
        <w:lastRenderedPageBreak/>
        <w:t xml:space="preserve">Table </w:t>
      </w:r>
      <w:r w:rsidR="00C72CC6">
        <w:fldChar w:fldCharType="begin"/>
      </w:r>
      <w:r w:rsidR="00C72CC6">
        <w:instrText xml:space="preserve"> SEQ Table \* ARABIC </w:instrText>
      </w:r>
      <w:r w:rsidR="00C72CC6">
        <w:fldChar w:fldCharType="separate"/>
      </w:r>
      <w:r w:rsidR="00D32E93">
        <w:rPr>
          <w:noProof/>
        </w:rPr>
        <w:t>12</w:t>
      </w:r>
      <w:r w:rsidR="00C72CC6">
        <w:rPr>
          <w:noProof/>
        </w:rPr>
        <w:fldChar w:fldCharType="end"/>
      </w:r>
      <w:bookmarkEnd w:id="76"/>
      <w:r w:rsidRPr="0098262F">
        <w:t>:</w:t>
      </w:r>
      <w:r w:rsidRPr="0098262F">
        <w:rPr>
          <w:rStyle w:val="CommentReference"/>
          <w:b/>
          <w:szCs w:val="24"/>
        </w:rPr>
        <w:t xml:space="preserve"> </w:t>
      </w:r>
      <w:bookmarkStart w:id="77" w:name="_Hlk191486517"/>
      <w:r w:rsidRPr="0098262F">
        <w:rPr>
          <w:rStyle w:val="CommentReference"/>
          <w:b/>
          <w:szCs w:val="24"/>
        </w:rPr>
        <w:t>Estimated use and financial implications</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29"/>
        <w:gridCol w:w="1132"/>
        <w:gridCol w:w="994"/>
        <w:gridCol w:w="992"/>
        <w:gridCol w:w="992"/>
        <w:gridCol w:w="992"/>
        <w:gridCol w:w="1086"/>
      </w:tblGrid>
      <w:tr w:rsidR="00591AF0" w:rsidRPr="0098262F" w14:paraId="405D16F3" w14:textId="77777777" w:rsidTr="00292513">
        <w:trPr>
          <w:tblHeader/>
        </w:trPr>
        <w:tc>
          <w:tcPr>
            <w:tcW w:w="1569" w:type="pct"/>
            <w:shd w:val="clear" w:color="auto" w:fill="auto"/>
            <w:vAlign w:val="center"/>
          </w:tcPr>
          <w:p w14:paraId="6923EB09" w14:textId="77777777" w:rsidR="00591AF0" w:rsidRPr="0098262F" w:rsidRDefault="00591AF0" w:rsidP="0086116B">
            <w:pPr>
              <w:pStyle w:val="In-tableHeading"/>
              <w:jc w:val="center"/>
              <w:rPr>
                <w:lang w:val="en-AU"/>
              </w:rPr>
            </w:pPr>
          </w:p>
        </w:tc>
        <w:tc>
          <w:tcPr>
            <w:tcW w:w="628" w:type="pct"/>
            <w:shd w:val="clear" w:color="auto" w:fill="auto"/>
            <w:vAlign w:val="center"/>
          </w:tcPr>
          <w:p w14:paraId="21FCAE22" w14:textId="77777777" w:rsidR="00591AF0" w:rsidRPr="0098262F" w:rsidRDefault="00591AF0" w:rsidP="0086116B">
            <w:pPr>
              <w:pStyle w:val="In-tableHeading"/>
              <w:jc w:val="center"/>
              <w:rPr>
                <w:lang w:val="en-AU"/>
              </w:rPr>
            </w:pPr>
            <w:r w:rsidRPr="0098262F">
              <w:rPr>
                <w:lang w:val="en-AU"/>
              </w:rPr>
              <w:t>Year 1</w:t>
            </w:r>
          </w:p>
        </w:tc>
        <w:tc>
          <w:tcPr>
            <w:tcW w:w="551" w:type="pct"/>
            <w:shd w:val="clear" w:color="auto" w:fill="auto"/>
            <w:vAlign w:val="center"/>
          </w:tcPr>
          <w:p w14:paraId="75B11D79" w14:textId="77777777" w:rsidR="00591AF0" w:rsidRPr="0098262F" w:rsidRDefault="00591AF0" w:rsidP="0086116B">
            <w:pPr>
              <w:pStyle w:val="In-tableHeading"/>
              <w:jc w:val="center"/>
              <w:rPr>
                <w:lang w:val="en-AU"/>
              </w:rPr>
            </w:pPr>
            <w:r w:rsidRPr="0098262F">
              <w:rPr>
                <w:lang w:val="en-AU"/>
              </w:rPr>
              <w:t>Year 2</w:t>
            </w:r>
          </w:p>
        </w:tc>
        <w:tc>
          <w:tcPr>
            <w:tcW w:w="550" w:type="pct"/>
            <w:shd w:val="clear" w:color="auto" w:fill="auto"/>
            <w:vAlign w:val="center"/>
          </w:tcPr>
          <w:p w14:paraId="26C4A3F8" w14:textId="77777777" w:rsidR="00591AF0" w:rsidRPr="0098262F" w:rsidRDefault="00591AF0" w:rsidP="0086116B">
            <w:pPr>
              <w:pStyle w:val="In-tableHeading"/>
              <w:jc w:val="center"/>
              <w:rPr>
                <w:lang w:val="en-AU"/>
              </w:rPr>
            </w:pPr>
            <w:r w:rsidRPr="0098262F">
              <w:rPr>
                <w:lang w:val="en-AU"/>
              </w:rPr>
              <w:t>Year 3</w:t>
            </w:r>
          </w:p>
        </w:tc>
        <w:tc>
          <w:tcPr>
            <w:tcW w:w="550" w:type="pct"/>
            <w:shd w:val="clear" w:color="auto" w:fill="auto"/>
            <w:vAlign w:val="center"/>
          </w:tcPr>
          <w:p w14:paraId="60D3220E" w14:textId="77777777" w:rsidR="00591AF0" w:rsidRPr="0098262F" w:rsidRDefault="00591AF0" w:rsidP="0086116B">
            <w:pPr>
              <w:pStyle w:val="In-tableHeading"/>
              <w:jc w:val="center"/>
              <w:rPr>
                <w:lang w:val="en-AU"/>
              </w:rPr>
            </w:pPr>
            <w:r w:rsidRPr="0098262F">
              <w:rPr>
                <w:lang w:val="en-AU"/>
              </w:rPr>
              <w:t>Year 4</w:t>
            </w:r>
          </w:p>
        </w:tc>
        <w:tc>
          <w:tcPr>
            <w:tcW w:w="550" w:type="pct"/>
            <w:shd w:val="clear" w:color="auto" w:fill="auto"/>
            <w:vAlign w:val="center"/>
          </w:tcPr>
          <w:p w14:paraId="1ECE5F6F" w14:textId="77777777" w:rsidR="00591AF0" w:rsidRPr="0098262F" w:rsidRDefault="00591AF0" w:rsidP="0086116B">
            <w:pPr>
              <w:pStyle w:val="In-tableHeading"/>
              <w:jc w:val="center"/>
              <w:rPr>
                <w:lang w:val="en-AU"/>
              </w:rPr>
            </w:pPr>
            <w:r w:rsidRPr="0098262F">
              <w:rPr>
                <w:lang w:val="en-AU"/>
              </w:rPr>
              <w:t>Year 5</w:t>
            </w:r>
          </w:p>
        </w:tc>
        <w:tc>
          <w:tcPr>
            <w:tcW w:w="601" w:type="pct"/>
          </w:tcPr>
          <w:p w14:paraId="6E2FF1D3" w14:textId="77777777" w:rsidR="00591AF0" w:rsidRPr="0098262F" w:rsidRDefault="00591AF0" w:rsidP="0086116B">
            <w:pPr>
              <w:pStyle w:val="In-tableHeading"/>
              <w:jc w:val="center"/>
              <w:rPr>
                <w:lang w:val="en-AU"/>
              </w:rPr>
            </w:pPr>
            <w:r w:rsidRPr="0098262F">
              <w:rPr>
                <w:lang w:val="en-AU"/>
              </w:rPr>
              <w:t>Year 6</w:t>
            </w:r>
          </w:p>
        </w:tc>
      </w:tr>
      <w:tr w:rsidR="00591AF0" w:rsidRPr="0098262F" w14:paraId="79044353" w14:textId="77777777" w:rsidTr="0086116B">
        <w:tc>
          <w:tcPr>
            <w:tcW w:w="5000" w:type="pct"/>
            <w:gridSpan w:val="7"/>
            <w:shd w:val="clear" w:color="auto" w:fill="auto"/>
            <w:vAlign w:val="center"/>
          </w:tcPr>
          <w:p w14:paraId="4E464650" w14:textId="77777777" w:rsidR="00591AF0" w:rsidRPr="0098262F" w:rsidRDefault="00591AF0" w:rsidP="0086116B">
            <w:pPr>
              <w:pStyle w:val="In-tableHeading"/>
              <w:rPr>
                <w:bCs/>
                <w:color w:val="000000"/>
                <w:lang w:val="en-AU"/>
              </w:rPr>
            </w:pPr>
            <w:r w:rsidRPr="0098262F">
              <w:rPr>
                <w:bCs/>
                <w:color w:val="000000"/>
                <w:lang w:val="en-AU"/>
              </w:rPr>
              <w:t>Estimated extent of use</w:t>
            </w:r>
          </w:p>
        </w:tc>
      </w:tr>
      <w:tr w:rsidR="00A478D1" w:rsidRPr="0098262F" w14:paraId="0CA1E81B" w14:textId="77777777" w:rsidTr="00292513">
        <w:tc>
          <w:tcPr>
            <w:tcW w:w="1569" w:type="pct"/>
            <w:shd w:val="clear" w:color="auto" w:fill="auto"/>
            <w:vAlign w:val="center"/>
          </w:tcPr>
          <w:p w14:paraId="3397C64F" w14:textId="4663C255" w:rsidR="00A478D1" w:rsidRPr="0098262F" w:rsidRDefault="00E75CB9" w:rsidP="00A478D1">
            <w:pPr>
              <w:pStyle w:val="TableText0"/>
              <w:rPr>
                <w:rFonts w:ascii="Times" w:hAnsi="Times"/>
              </w:rPr>
            </w:pPr>
            <w:r>
              <w:t>n</w:t>
            </w:r>
            <w:r w:rsidR="00A478D1" w:rsidRPr="0098262F">
              <w:t>umber of patients treated</w:t>
            </w:r>
          </w:p>
        </w:tc>
        <w:tc>
          <w:tcPr>
            <w:tcW w:w="628" w:type="pct"/>
            <w:shd w:val="clear" w:color="auto" w:fill="auto"/>
            <w:vAlign w:val="center"/>
          </w:tcPr>
          <w:p w14:paraId="609F819D" w14:textId="5907994B" w:rsidR="00A478D1" w:rsidRPr="0098262F" w:rsidRDefault="00A478D1" w:rsidP="00A478D1">
            <w:pPr>
              <w:pStyle w:val="TableText0"/>
              <w:jc w:val="center"/>
              <w:rPr>
                <w:color w:val="000000"/>
              </w:rPr>
            </w:pPr>
            <w:r>
              <w:rPr>
                <w:color w:val="000000"/>
              </w:rPr>
              <w:t>NA</w:t>
            </w:r>
          </w:p>
        </w:tc>
        <w:tc>
          <w:tcPr>
            <w:tcW w:w="551" w:type="pct"/>
            <w:shd w:val="clear" w:color="auto" w:fill="auto"/>
          </w:tcPr>
          <w:p w14:paraId="623C57B9" w14:textId="442F3B58" w:rsidR="00A478D1" w:rsidRPr="0098262F" w:rsidRDefault="00A478D1" w:rsidP="00A478D1">
            <w:pPr>
              <w:pStyle w:val="TableText0"/>
              <w:jc w:val="center"/>
              <w:rPr>
                <w:color w:val="000000"/>
              </w:rPr>
            </w:pPr>
            <w:r w:rsidRPr="008B70B7">
              <w:rPr>
                <w:color w:val="000000"/>
              </w:rPr>
              <w:t>NA</w:t>
            </w:r>
          </w:p>
        </w:tc>
        <w:tc>
          <w:tcPr>
            <w:tcW w:w="550" w:type="pct"/>
            <w:shd w:val="clear" w:color="auto" w:fill="auto"/>
          </w:tcPr>
          <w:p w14:paraId="3FFE3F6E" w14:textId="63046852" w:rsidR="00A478D1" w:rsidRPr="0098262F" w:rsidRDefault="00A478D1" w:rsidP="00A478D1">
            <w:pPr>
              <w:pStyle w:val="TableText0"/>
              <w:jc w:val="center"/>
              <w:rPr>
                <w:color w:val="000000"/>
              </w:rPr>
            </w:pPr>
            <w:r w:rsidRPr="008B70B7">
              <w:rPr>
                <w:color w:val="000000"/>
              </w:rPr>
              <w:t>NA</w:t>
            </w:r>
          </w:p>
        </w:tc>
        <w:tc>
          <w:tcPr>
            <w:tcW w:w="550" w:type="pct"/>
            <w:shd w:val="clear" w:color="auto" w:fill="auto"/>
          </w:tcPr>
          <w:p w14:paraId="17D43608" w14:textId="3B230B53" w:rsidR="00A478D1" w:rsidRPr="0098262F" w:rsidRDefault="00A478D1" w:rsidP="00A478D1">
            <w:pPr>
              <w:pStyle w:val="TableText0"/>
              <w:jc w:val="center"/>
              <w:rPr>
                <w:color w:val="000000"/>
              </w:rPr>
            </w:pPr>
            <w:r w:rsidRPr="008B70B7">
              <w:rPr>
                <w:color w:val="000000"/>
              </w:rPr>
              <w:t>NA</w:t>
            </w:r>
          </w:p>
        </w:tc>
        <w:tc>
          <w:tcPr>
            <w:tcW w:w="550" w:type="pct"/>
            <w:shd w:val="clear" w:color="auto" w:fill="auto"/>
          </w:tcPr>
          <w:p w14:paraId="432986EE" w14:textId="4A763A74" w:rsidR="00A478D1" w:rsidRPr="0098262F" w:rsidRDefault="00A478D1" w:rsidP="00A478D1">
            <w:pPr>
              <w:pStyle w:val="TableText0"/>
              <w:jc w:val="center"/>
              <w:rPr>
                <w:color w:val="000000"/>
              </w:rPr>
            </w:pPr>
            <w:r w:rsidRPr="008B70B7">
              <w:rPr>
                <w:color w:val="000000"/>
              </w:rPr>
              <w:t>NA</w:t>
            </w:r>
          </w:p>
        </w:tc>
        <w:tc>
          <w:tcPr>
            <w:tcW w:w="601" w:type="pct"/>
          </w:tcPr>
          <w:p w14:paraId="2B2A30E1" w14:textId="34AD6309" w:rsidR="00A478D1" w:rsidRPr="0098262F" w:rsidRDefault="00A478D1" w:rsidP="00A478D1">
            <w:pPr>
              <w:pStyle w:val="TableText0"/>
              <w:jc w:val="center"/>
              <w:rPr>
                <w:color w:val="000000"/>
              </w:rPr>
            </w:pPr>
            <w:r w:rsidRPr="008B70B7">
              <w:rPr>
                <w:color w:val="000000"/>
              </w:rPr>
              <w:t>NA</w:t>
            </w:r>
          </w:p>
        </w:tc>
      </w:tr>
      <w:tr w:rsidR="00A478D1" w:rsidRPr="0098262F" w14:paraId="6CC66BAC" w14:textId="77777777" w:rsidTr="00292513">
        <w:tc>
          <w:tcPr>
            <w:tcW w:w="1569" w:type="pct"/>
            <w:shd w:val="clear" w:color="auto" w:fill="auto"/>
            <w:vAlign w:val="center"/>
          </w:tcPr>
          <w:p w14:paraId="3A520869" w14:textId="164ACF59" w:rsidR="00A478D1" w:rsidRPr="0098262F" w:rsidRDefault="00E75CB9" w:rsidP="00A478D1">
            <w:pPr>
              <w:pStyle w:val="TableText0"/>
              <w:rPr>
                <w:rFonts w:ascii="Times" w:hAnsi="Times"/>
              </w:rPr>
            </w:pPr>
            <w:r>
              <w:t>n</w:t>
            </w:r>
            <w:r w:rsidR="00A478D1" w:rsidRPr="0098262F">
              <w:t xml:space="preserve">umber of scripts </w:t>
            </w:r>
            <w:r w:rsidR="00246C00" w:rsidRPr="0098262F">
              <w:t>dispensed</w:t>
            </w:r>
          </w:p>
        </w:tc>
        <w:tc>
          <w:tcPr>
            <w:tcW w:w="628" w:type="pct"/>
            <w:shd w:val="clear" w:color="auto" w:fill="auto"/>
          </w:tcPr>
          <w:p w14:paraId="78196B40" w14:textId="2251B000" w:rsidR="00A478D1" w:rsidRPr="00F511D9" w:rsidRDefault="0057223D" w:rsidP="00A478D1">
            <w:pPr>
              <w:pStyle w:val="TableText0"/>
              <w:jc w:val="center"/>
              <w:rPr>
                <w:color w:val="000000"/>
                <w:szCs w:val="20"/>
              </w:rPr>
            </w:pPr>
            <w:r w:rsidRPr="0057223D">
              <w:rPr>
                <w:rFonts w:cs="Arial"/>
                <w:color w:val="000000"/>
                <w:spacing w:val="49"/>
                <w:szCs w:val="20"/>
                <w:shd w:val="solid" w:color="000000" w:fill="000000"/>
                <w:fitText w:val="320" w:id="-663557877"/>
                <w14:textFill>
                  <w14:solidFill>
                    <w14:srgbClr w14:val="000000">
                      <w14:alpha w14:val="100000"/>
                    </w14:srgbClr>
                  </w14:solidFill>
                </w14:textFill>
              </w:rPr>
              <w:t>|||</w:t>
            </w:r>
            <w:r w:rsidRPr="0057223D">
              <w:rPr>
                <w:rFonts w:cs="Arial"/>
                <w:color w:val="000000"/>
                <w:spacing w:val="3"/>
                <w:szCs w:val="20"/>
                <w:shd w:val="solid" w:color="000000" w:fill="000000"/>
                <w:fitText w:val="320" w:id="-663557877"/>
                <w14:textFill>
                  <w14:solidFill>
                    <w14:srgbClr w14:val="000000">
                      <w14:alpha w14:val="100000"/>
                    </w14:srgbClr>
                  </w14:solidFill>
                </w14:textFill>
              </w:rPr>
              <w:t>|</w:t>
            </w:r>
            <w:r w:rsidR="00A478D1" w:rsidRPr="00F511D9">
              <w:rPr>
                <w:rFonts w:cs="Arial"/>
                <w:szCs w:val="20"/>
              </w:rPr>
              <w:t xml:space="preserve"> </w:t>
            </w:r>
            <w:r w:rsidR="00D96EE2" w:rsidRPr="00F511D9">
              <w:rPr>
                <w:rFonts w:cstheme="minorHAnsi"/>
                <w:szCs w:val="20"/>
                <w:vertAlign w:val="superscript"/>
              </w:rPr>
              <w:t>2</w:t>
            </w:r>
          </w:p>
        </w:tc>
        <w:tc>
          <w:tcPr>
            <w:tcW w:w="551" w:type="pct"/>
            <w:shd w:val="clear" w:color="auto" w:fill="auto"/>
          </w:tcPr>
          <w:p w14:paraId="02345E8E" w14:textId="3ECC86C7" w:rsidR="00A478D1" w:rsidRPr="00F511D9" w:rsidRDefault="0057223D" w:rsidP="00A478D1">
            <w:pPr>
              <w:pStyle w:val="TableText0"/>
              <w:jc w:val="center"/>
              <w:rPr>
                <w:color w:val="000000"/>
                <w:szCs w:val="20"/>
              </w:rPr>
            </w:pPr>
            <w:r w:rsidRPr="0057223D">
              <w:rPr>
                <w:rFonts w:cs="Arial"/>
                <w:color w:val="000000"/>
                <w:spacing w:val="53"/>
                <w:szCs w:val="20"/>
                <w:shd w:val="solid" w:color="000000" w:fill="000000"/>
                <w:fitText w:val="330" w:id="-663557876"/>
                <w14:textFill>
                  <w14:solidFill>
                    <w14:srgbClr w14:val="000000">
                      <w14:alpha w14:val="100000"/>
                    </w14:srgbClr>
                  </w14:solidFill>
                </w14:textFill>
              </w:rPr>
              <w:t>|||</w:t>
            </w:r>
            <w:r w:rsidRPr="0057223D">
              <w:rPr>
                <w:rFonts w:cs="Arial"/>
                <w:color w:val="000000"/>
                <w:spacing w:val="1"/>
                <w:szCs w:val="20"/>
                <w:shd w:val="solid" w:color="000000" w:fill="000000"/>
                <w:fitText w:val="330" w:id="-663557876"/>
                <w14:textFill>
                  <w14:solidFill>
                    <w14:srgbClr w14:val="000000">
                      <w14:alpha w14:val="100000"/>
                    </w14:srgbClr>
                  </w14:solidFill>
                </w14:textFill>
              </w:rPr>
              <w:t>|</w:t>
            </w:r>
            <w:r w:rsidR="00A478D1" w:rsidRPr="00F511D9">
              <w:rPr>
                <w:rFonts w:cs="Arial"/>
                <w:szCs w:val="20"/>
              </w:rPr>
              <w:t xml:space="preserve"> </w:t>
            </w:r>
            <w:r w:rsidR="00D96EE2" w:rsidRPr="00F511D9">
              <w:rPr>
                <w:rFonts w:cstheme="minorHAnsi"/>
                <w:szCs w:val="20"/>
                <w:vertAlign w:val="superscript"/>
              </w:rPr>
              <w:t>2</w:t>
            </w:r>
          </w:p>
        </w:tc>
        <w:tc>
          <w:tcPr>
            <w:tcW w:w="550" w:type="pct"/>
            <w:shd w:val="clear" w:color="auto" w:fill="auto"/>
          </w:tcPr>
          <w:p w14:paraId="2E1C1B12" w14:textId="2DD33B2C" w:rsidR="00A478D1" w:rsidRPr="00F511D9" w:rsidRDefault="0057223D" w:rsidP="00A478D1">
            <w:pPr>
              <w:pStyle w:val="TableText0"/>
              <w:jc w:val="center"/>
              <w:rPr>
                <w:color w:val="000000"/>
                <w:szCs w:val="20"/>
              </w:rPr>
            </w:pPr>
            <w:r w:rsidRPr="0057223D">
              <w:rPr>
                <w:rFonts w:cs="Arial"/>
                <w:color w:val="000000"/>
                <w:spacing w:val="49"/>
                <w:szCs w:val="20"/>
                <w:shd w:val="solid" w:color="000000" w:fill="000000"/>
                <w:fitText w:val="320" w:id="-663557875"/>
                <w14:textFill>
                  <w14:solidFill>
                    <w14:srgbClr w14:val="000000">
                      <w14:alpha w14:val="100000"/>
                    </w14:srgbClr>
                  </w14:solidFill>
                </w14:textFill>
              </w:rPr>
              <w:t>|||</w:t>
            </w:r>
            <w:r w:rsidRPr="0057223D">
              <w:rPr>
                <w:rFonts w:cs="Arial"/>
                <w:color w:val="000000"/>
                <w:spacing w:val="3"/>
                <w:szCs w:val="20"/>
                <w:shd w:val="solid" w:color="000000" w:fill="000000"/>
                <w:fitText w:val="320" w:id="-663557875"/>
                <w14:textFill>
                  <w14:solidFill>
                    <w14:srgbClr w14:val="000000">
                      <w14:alpha w14:val="100000"/>
                    </w14:srgbClr>
                  </w14:solidFill>
                </w14:textFill>
              </w:rPr>
              <w:t>|</w:t>
            </w:r>
            <w:r w:rsidR="00A478D1" w:rsidRPr="00F511D9">
              <w:rPr>
                <w:rFonts w:cs="Arial"/>
                <w:szCs w:val="20"/>
              </w:rPr>
              <w:t xml:space="preserve"> </w:t>
            </w:r>
            <w:r w:rsidR="00D96EE2" w:rsidRPr="00F511D9">
              <w:rPr>
                <w:rFonts w:cstheme="minorHAnsi"/>
                <w:szCs w:val="20"/>
                <w:vertAlign w:val="superscript"/>
              </w:rPr>
              <w:t>2</w:t>
            </w:r>
          </w:p>
        </w:tc>
        <w:tc>
          <w:tcPr>
            <w:tcW w:w="550" w:type="pct"/>
            <w:shd w:val="clear" w:color="auto" w:fill="auto"/>
          </w:tcPr>
          <w:p w14:paraId="07473ED6" w14:textId="463D4151" w:rsidR="00A478D1" w:rsidRPr="00F511D9" w:rsidRDefault="0057223D" w:rsidP="00A478D1">
            <w:pPr>
              <w:pStyle w:val="TableText0"/>
              <w:jc w:val="center"/>
              <w:rPr>
                <w:color w:val="000000"/>
                <w:szCs w:val="20"/>
              </w:rPr>
            </w:pPr>
            <w:r w:rsidRPr="0057223D">
              <w:rPr>
                <w:rFonts w:cs="Arial"/>
                <w:color w:val="000000"/>
                <w:spacing w:val="49"/>
                <w:szCs w:val="20"/>
                <w:shd w:val="solid" w:color="000000" w:fill="000000"/>
                <w:fitText w:val="320" w:id="-663557874"/>
                <w14:textFill>
                  <w14:solidFill>
                    <w14:srgbClr w14:val="000000">
                      <w14:alpha w14:val="100000"/>
                    </w14:srgbClr>
                  </w14:solidFill>
                </w14:textFill>
              </w:rPr>
              <w:t>|||</w:t>
            </w:r>
            <w:r w:rsidRPr="0057223D">
              <w:rPr>
                <w:rFonts w:cs="Arial"/>
                <w:color w:val="000000"/>
                <w:spacing w:val="3"/>
                <w:szCs w:val="20"/>
                <w:shd w:val="solid" w:color="000000" w:fill="000000"/>
                <w:fitText w:val="320" w:id="-663557874"/>
                <w14:textFill>
                  <w14:solidFill>
                    <w14:srgbClr w14:val="000000">
                      <w14:alpha w14:val="100000"/>
                    </w14:srgbClr>
                  </w14:solidFill>
                </w14:textFill>
              </w:rPr>
              <w:t>|</w:t>
            </w:r>
            <w:r w:rsidR="00A478D1" w:rsidRPr="00F511D9">
              <w:rPr>
                <w:rFonts w:cs="Arial"/>
                <w:szCs w:val="20"/>
              </w:rPr>
              <w:t xml:space="preserve"> </w:t>
            </w:r>
            <w:r w:rsidR="00D96EE2" w:rsidRPr="00F511D9">
              <w:rPr>
                <w:rFonts w:cstheme="minorHAnsi"/>
                <w:szCs w:val="20"/>
                <w:vertAlign w:val="superscript"/>
              </w:rPr>
              <w:t>2</w:t>
            </w:r>
          </w:p>
        </w:tc>
        <w:tc>
          <w:tcPr>
            <w:tcW w:w="550" w:type="pct"/>
            <w:shd w:val="clear" w:color="auto" w:fill="auto"/>
          </w:tcPr>
          <w:p w14:paraId="5342522F" w14:textId="4A28E0EA" w:rsidR="00A478D1" w:rsidRPr="00F511D9" w:rsidRDefault="0057223D" w:rsidP="00A478D1">
            <w:pPr>
              <w:pStyle w:val="TableText0"/>
              <w:jc w:val="center"/>
              <w:rPr>
                <w:color w:val="000000"/>
                <w:szCs w:val="20"/>
              </w:rPr>
            </w:pPr>
            <w:r w:rsidRPr="0057223D">
              <w:rPr>
                <w:rFonts w:cs="Arial"/>
                <w:color w:val="000000"/>
                <w:spacing w:val="49"/>
                <w:szCs w:val="20"/>
                <w:shd w:val="solid" w:color="000000" w:fill="000000"/>
                <w:fitText w:val="320" w:id="-663557873"/>
                <w14:textFill>
                  <w14:solidFill>
                    <w14:srgbClr w14:val="000000">
                      <w14:alpha w14:val="100000"/>
                    </w14:srgbClr>
                  </w14:solidFill>
                </w14:textFill>
              </w:rPr>
              <w:t>|||</w:t>
            </w:r>
            <w:r w:rsidRPr="0057223D">
              <w:rPr>
                <w:rFonts w:cs="Arial"/>
                <w:color w:val="000000"/>
                <w:spacing w:val="3"/>
                <w:szCs w:val="20"/>
                <w:shd w:val="solid" w:color="000000" w:fill="000000"/>
                <w:fitText w:val="320" w:id="-663557873"/>
                <w14:textFill>
                  <w14:solidFill>
                    <w14:srgbClr w14:val="000000">
                      <w14:alpha w14:val="100000"/>
                    </w14:srgbClr>
                  </w14:solidFill>
                </w14:textFill>
              </w:rPr>
              <w:t>|</w:t>
            </w:r>
            <w:r w:rsidR="00A478D1" w:rsidRPr="00F511D9">
              <w:rPr>
                <w:rFonts w:cs="Arial"/>
                <w:szCs w:val="20"/>
              </w:rPr>
              <w:t xml:space="preserve"> </w:t>
            </w:r>
            <w:r w:rsidR="00D96EE2" w:rsidRPr="00F511D9">
              <w:rPr>
                <w:rFonts w:cstheme="minorHAnsi"/>
                <w:szCs w:val="20"/>
                <w:vertAlign w:val="superscript"/>
              </w:rPr>
              <w:t>2</w:t>
            </w:r>
          </w:p>
        </w:tc>
        <w:tc>
          <w:tcPr>
            <w:tcW w:w="601" w:type="pct"/>
          </w:tcPr>
          <w:p w14:paraId="3257C8FD" w14:textId="06F1E4B9" w:rsidR="00A478D1" w:rsidRPr="00F511D9" w:rsidRDefault="0057223D" w:rsidP="00A478D1">
            <w:pPr>
              <w:pStyle w:val="TableText0"/>
              <w:jc w:val="center"/>
              <w:rPr>
                <w:color w:val="000000"/>
                <w:szCs w:val="20"/>
              </w:rPr>
            </w:pPr>
            <w:r w:rsidRPr="0057223D">
              <w:rPr>
                <w:rFonts w:cs="Arial"/>
                <w:color w:val="000000"/>
                <w:spacing w:val="53"/>
                <w:szCs w:val="20"/>
                <w:shd w:val="solid" w:color="000000" w:fill="000000"/>
                <w:fitText w:val="330" w:id="-663557872"/>
                <w14:textFill>
                  <w14:solidFill>
                    <w14:srgbClr w14:val="000000">
                      <w14:alpha w14:val="100000"/>
                    </w14:srgbClr>
                  </w14:solidFill>
                </w14:textFill>
              </w:rPr>
              <w:t>|||</w:t>
            </w:r>
            <w:r w:rsidRPr="0057223D">
              <w:rPr>
                <w:rFonts w:cs="Arial"/>
                <w:color w:val="000000"/>
                <w:spacing w:val="1"/>
                <w:szCs w:val="20"/>
                <w:shd w:val="solid" w:color="000000" w:fill="000000"/>
                <w:fitText w:val="330" w:id="-663557872"/>
                <w14:textFill>
                  <w14:solidFill>
                    <w14:srgbClr w14:val="000000">
                      <w14:alpha w14:val="100000"/>
                    </w14:srgbClr>
                  </w14:solidFill>
                </w14:textFill>
              </w:rPr>
              <w:t>|</w:t>
            </w:r>
            <w:r w:rsidR="00A478D1" w:rsidRPr="00F511D9">
              <w:rPr>
                <w:rFonts w:cs="Arial"/>
                <w:szCs w:val="20"/>
              </w:rPr>
              <w:t xml:space="preserve"> </w:t>
            </w:r>
            <w:r w:rsidR="00D96EE2" w:rsidRPr="00F511D9">
              <w:rPr>
                <w:rFonts w:cstheme="minorHAnsi"/>
                <w:szCs w:val="20"/>
                <w:vertAlign w:val="superscript"/>
              </w:rPr>
              <w:t>2</w:t>
            </w:r>
          </w:p>
        </w:tc>
      </w:tr>
      <w:tr w:rsidR="00591AF0" w:rsidRPr="0098262F" w14:paraId="71257CCE" w14:textId="77777777" w:rsidTr="0086116B">
        <w:tc>
          <w:tcPr>
            <w:tcW w:w="5000" w:type="pct"/>
            <w:gridSpan w:val="7"/>
            <w:shd w:val="clear" w:color="auto" w:fill="auto"/>
            <w:vAlign w:val="center"/>
          </w:tcPr>
          <w:p w14:paraId="131D968E" w14:textId="6EFB7C0F" w:rsidR="00591AF0" w:rsidRPr="0098262F" w:rsidRDefault="00591AF0" w:rsidP="0086116B">
            <w:pPr>
              <w:pStyle w:val="In-tableHeading"/>
              <w:rPr>
                <w:lang w:val="en-AU"/>
              </w:rPr>
            </w:pPr>
            <w:r w:rsidRPr="0098262F">
              <w:rPr>
                <w:lang w:val="en-AU"/>
              </w:rPr>
              <w:t xml:space="preserve">Estimated financial implications of </w:t>
            </w:r>
            <w:r w:rsidR="00A478D1">
              <w:rPr>
                <w:lang w:val="en-AU"/>
              </w:rPr>
              <w:t>repotrectinib</w:t>
            </w:r>
          </w:p>
        </w:tc>
      </w:tr>
      <w:tr w:rsidR="00A478D1" w:rsidRPr="0098262F" w14:paraId="71FA77A0" w14:textId="77777777" w:rsidTr="00292513">
        <w:tc>
          <w:tcPr>
            <w:tcW w:w="1569" w:type="pct"/>
            <w:shd w:val="clear" w:color="auto" w:fill="auto"/>
            <w:vAlign w:val="center"/>
          </w:tcPr>
          <w:p w14:paraId="4631E605" w14:textId="698CE5C5" w:rsidR="00A478D1" w:rsidRPr="0098262F" w:rsidRDefault="00032C19" w:rsidP="00A478D1">
            <w:pPr>
              <w:pStyle w:val="TableText0"/>
              <w:rPr>
                <w:sz w:val="19"/>
                <w:szCs w:val="19"/>
              </w:rPr>
            </w:pPr>
            <w:r>
              <w:rPr>
                <w:sz w:val="19"/>
                <w:szCs w:val="19"/>
              </w:rPr>
              <w:t>c</w:t>
            </w:r>
            <w:r w:rsidR="00A478D1" w:rsidRPr="0098262F">
              <w:rPr>
                <w:sz w:val="19"/>
                <w:szCs w:val="19"/>
              </w:rPr>
              <w:t>ost to PBS/RPBS less copayments</w:t>
            </w:r>
          </w:p>
        </w:tc>
        <w:tc>
          <w:tcPr>
            <w:tcW w:w="628" w:type="pct"/>
            <w:shd w:val="clear" w:color="auto" w:fill="auto"/>
            <w:vAlign w:val="center"/>
          </w:tcPr>
          <w:p w14:paraId="035218F9" w14:textId="7F24DABD" w:rsidR="00A478D1" w:rsidRPr="00D123BA" w:rsidRDefault="00A478D1" w:rsidP="00A478D1">
            <w:pPr>
              <w:pStyle w:val="TableText0"/>
              <w:jc w:val="center"/>
              <w:rPr>
                <w:szCs w:val="20"/>
              </w:rPr>
            </w:pPr>
            <w:r w:rsidRPr="00D123BA">
              <w:rPr>
                <w:szCs w:val="20"/>
              </w:rPr>
              <w:t>$</w:t>
            </w:r>
            <w:r w:rsidR="0057223D" w:rsidRPr="0057223D">
              <w:rPr>
                <w:color w:val="000000"/>
                <w:spacing w:val="53"/>
                <w:szCs w:val="20"/>
                <w:shd w:val="solid" w:color="000000" w:fill="000000"/>
                <w:fitText w:val="330" w:id="-663557888"/>
                <w14:textFill>
                  <w14:solidFill>
                    <w14:srgbClr w14:val="000000">
                      <w14:alpha w14:val="100000"/>
                    </w14:srgbClr>
                  </w14:solidFill>
                </w14:textFill>
              </w:rPr>
              <w:t>|||</w:t>
            </w:r>
            <w:r w:rsidR="0057223D" w:rsidRPr="0057223D">
              <w:rPr>
                <w:color w:val="000000"/>
                <w:spacing w:val="1"/>
                <w:szCs w:val="20"/>
                <w:shd w:val="solid" w:color="000000" w:fill="000000"/>
                <w:fitText w:val="330" w:id="-663557888"/>
                <w14:textFill>
                  <w14:solidFill>
                    <w14:srgbClr w14:val="000000">
                      <w14:alpha w14:val="100000"/>
                    </w14:srgbClr>
                  </w14:solidFill>
                </w14:textFill>
              </w:rPr>
              <w:t>|</w:t>
            </w:r>
            <w:r w:rsidR="005222AD" w:rsidRPr="00D123BA">
              <w:rPr>
                <w:rFonts w:cstheme="minorHAnsi"/>
                <w:szCs w:val="20"/>
                <w:vertAlign w:val="superscript"/>
              </w:rPr>
              <w:t>3</w:t>
            </w:r>
          </w:p>
        </w:tc>
        <w:tc>
          <w:tcPr>
            <w:tcW w:w="551" w:type="pct"/>
            <w:shd w:val="clear" w:color="auto" w:fill="auto"/>
            <w:vAlign w:val="center"/>
          </w:tcPr>
          <w:p w14:paraId="7F94C30C" w14:textId="06EC764A" w:rsidR="00A478D1" w:rsidRPr="00D123BA" w:rsidRDefault="00A478D1" w:rsidP="00A478D1">
            <w:pPr>
              <w:pStyle w:val="TableText0"/>
              <w:jc w:val="center"/>
              <w:rPr>
                <w:szCs w:val="20"/>
              </w:rPr>
            </w:pPr>
            <w:r w:rsidRPr="00D123BA">
              <w:rPr>
                <w:szCs w:val="20"/>
              </w:rPr>
              <w:t>$</w:t>
            </w:r>
            <w:r w:rsidR="0057223D" w:rsidRPr="0057223D">
              <w:rPr>
                <w:color w:val="000000"/>
                <w:spacing w:val="49"/>
                <w:szCs w:val="20"/>
                <w:shd w:val="solid" w:color="000000" w:fill="000000"/>
                <w:fitText w:val="320" w:id="-663557887"/>
                <w14:textFill>
                  <w14:solidFill>
                    <w14:srgbClr w14:val="000000">
                      <w14:alpha w14:val="100000"/>
                    </w14:srgbClr>
                  </w14:solidFill>
                </w14:textFill>
              </w:rPr>
              <w:t>|||</w:t>
            </w:r>
            <w:r w:rsidR="0057223D" w:rsidRPr="0057223D">
              <w:rPr>
                <w:color w:val="000000"/>
                <w:spacing w:val="3"/>
                <w:szCs w:val="20"/>
                <w:shd w:val="solid" w:color="000000" w:fill="000000"/>
                <w:fitText w:val="320" w:id="-663557887"/>
                <w14:textFill>
                  <w14:solidFill>
                    <w14:srgbClr w14:val="000000">
                      <w14:alpha w14:val="100000"/>
                    </w14:srgbClr>
                  </w14:solidFill>
                </w14:textFill>
              </w:rPr>
              <w:t>|</w:t>
            </w:r>
            <w:r w:rsidR="005222AD" w:rsidRPr="00D123BA">
              <w:rPr>
                <w:rFonts w:cstheme="minorHAnsi"/>
                <w:szCs w:val="20"/>
                <w:vertAlign w:val="superscript"/>
              </w:rPr>
              <w:t>3</w:t>
            </w:r>
          </w:p>
        </w:tc>
        <w:tc>
          <w:tcPr>
            <w:tcW w:w="550" w:type="pct"/>
            <w:shd w:val="clear" w:color="auto" w:fill="auto"/>
            <w:vAlign w:val="center"/>
          </w:tcPr>
          <w:p w14:paraId="090BA537" w14:textId="62D0ED73" w:rsidR="00A478D1" w:rsidRPr="00D123BA" w:rsidRDefault="00A478D1" w:rsidP="00A478D1">
            <w:pPr>
              <w:pStyle w:val="TableText0"/>
              <w:jc w:val="center"/>
              <w:rPr>
                <w:szCs w:val="20"/>
              </w:rPr>
            </w:pPr>
            <w:r w:rsidRPr="00D123BA">
              <w:rPr>
                <w:szCs w:val="20"/>
              </w:rPr>
              <w:t>$</w:t>
            </w:r>
            <w:r w:rsidR="0057223D" w:rsidRPr="0057223D">
              <w:rPr>
                <w:color w:val="000000"/>
                <w:spacing w:val="53"/>
                <w:szCs w:val="20"/>
                <w:shd w:val="solid" w:color="000000" w:fill="000000"/>
                <w:fitText w:val="330" w:id="-663557886"/>
                <w14:textFill>
                  <w14:solidFill>
                    <w14:srgbClr w14:val="000000">
                      <w14:alpha w14:val="100000"/>
                    </w14:srgbClr>
                  </w14:solidFill>
                </w14:textFill>
              </w:rPr>
              <w:t>|||</w:t>
            </w:r>
            <w:r w:rsidR="0057223D" w:rsidRPr="0057223D">
              <w:rPr>
                <w:color w:val="000000"/>
                <w:spacing w:val="1"/>
                <w:szCs w:val="20"/>
                <w:shd w:val="solid" w:color="000000" w:fill="000000"/>
                <w:fitText w:val="330" w:id="-663557886"/>
                <w14:textFill>
                  <w14:solidFill>
                    <w14:srgbClr w14:val="000000">
                      <w14:alpha w14:val="100000"/>
                    </w14:srgbClr>
                  </w14:solidFill>
                </w14:textFill>
              </w:rPr>
              <w:t>|</w:t>
            </w:r>
            <w:r w:rsidR="005222AD" w:rsidRPr="00D123BA">
              <w:rPr>
                <w:rFonts w:cstheme="minorHAnsi"/>
                <w:szCs w:val="20"/>
                <w:vertAlign w:val="superscript"/>
              </w:rPr>
              <w:t>3</w:t>
            </w:r>
          </w:p>
        </w:tc>
        <w:tc>
          <w:tcPr>
            <w:tcW w:w="550" w:type="pct"/>
            <w:shd w:val="clear" w:color="auto" w:fill="auto"/>
            <w:vAlign w:val="center"/>
          </w:tcPr>
          <w:p w14:paraId="1ECDF125" w14:textId="40036FCC" w:rsidR="00A478D1" w:rsidRPr="00D123BA" w:rsidRDefault="00A478D1" w:rsidP="00A478D1">
            <w:pPr>
              <w:pStyle w:val="TableText0"/>
              <w:jc w:val="center"/>
              <w:rPr>
                <w:szCs w:val="20"/>
              </w:rPr>
            </w:pPr>
            <w:r w:rsidRPr="00D123BA">
              <w:rPr>
                <w:szCs w:val="20"/>
              </w:rPr>
              <w:t>$</w:t>
            </w:r>
            <w:r w:rsidR="0057223D" w:rsidRPr="0057223D">
              <w:rPr>
                <w:color w:val="000000"/>
                <w:spacing w:val="53"/>
                <w:szCs w:val="20"/>
                <w:shd w:val="solid" w:color="000000" w:fill="000000"/>
                <w:fitText w:val="330" w:id="-663557885"/>
                <w14:textFill>
                  <w14:solidFill>
                    <w14:srgbClr w14:val="000000">
                      <w14:alpha w14:val="100000"/>
                    </w14:srgbClr>
                  </w14:solidFill>
                </w14:textFill>
              </w:rPr>
              <w:t>|||</w:t>
            </w:r>
            <w:r w:rsidR="0057223D" w:rsidRPr="0057223D">
              <w:rPr>
                <w:color w:val="000000"/>
                <w:spacing w:val="1"/>
                <w:szCs w:val="20"/>
                <w:shd w:val="solid" w:color="000000" w:fill="000000"/>
                <w:fitText w:val="330" w:id="-663557885"/>
                <w14:textFill>
                  <w14:solidFill>
                    <w14:srgbClr w14:val="000000">
                      <w14:alpha w14:val="100000"/>
                    </w14:srgbClr>
                  </w14:solidFill>
                </w14:textFill>
              </w:rPr>
              <w:t>|</w:t>
            </w:r>
            <w:r w:rsidR="005222AD" w:rsidRPr="00D123BA">
              <w:rPr>
                <w:rFonts w:cstheme="minorHAnsi"/>
                <w:szCs w:val="20"/>
                <w:vertAlign w:val="superscript"/>
              </w:rPr>
              <w:t>3</w:t>
            </w:r>
          </w:p>
        </w:tc>
        <w:tc>
          <w:tcPr>
            <w:tcW w:w="550" w:type="pct"/>
            <w:shd w:val="clear" w:color="auto" w:fill="auto"/>
            <w:vAlign w:val="center"/>
          </w:tcPr>
          <w:p w14:paraId="5DA8DAD4" w14:textId="2460F613" w:rsidR="00A478D1" w:rsidRPr="00D123BA" w:rsidRDefault="00A478D1" w:rsidP="00A478D1">
            <w:pPr>
              <w:pStyle w:val="TableText0"/>
              <w:jc w:val="center"/>
              <w:rPr>
                <w:szCs w:val="20"/>
              </w:rPr>
            </w:pPr>
            <w:r w:rsidRPr="00D123BA">
              <w:rPr>
                <w:szCs w:val="20"/>
              </w:rPr>
              <w:t>$</w:t>
            </w:r>
            <w:r w:rsidR="0057223D" w:rsidRPr="0057223D">
              <w:rPr>
                <w:color w:val="000000"/>
                <w:spacing w:val="53"/>
                <w:szCs w:val="20"/>
                <w:shd w:val="solid" w:color="000000" w:fill="000000"/>
                <w:fitText w:val="330" w:id="-663557884"/>
                <w14:textFill>
                  <w14:solidFill>
                    <w14:srgbClr w14:val="000000">
                      <w14:alpha w14:val="100000"/>
                    </w14:srgbClr>
                  </w14:solidFill>
                </w14:textFill>
              </w:rPr>
              <w:t>|||</w:t>
            </w:r>
            <w:r w:rsidR="0057223D" w:rsidRPr="0057223D">
              <w:rPr>
                <w:color w:val="000000"/>
                <w:spacing w:val="1"/>
                <w:szCs w:val="20"/>
                <w:shd w:val="solid" w:color="000000" w:fill="000000"/>
                <w:fitText w:val="330" w:id="-663557884"/>
                <w14:textFill>
                  <w14:solidFill>
                    <w14:srgbClr w14:val="000000">
                      <w14:alpha w14:val="100000"/>
                    </w14:srgbClr>
                  </w14:solidFill>
                </w14:textFill>
              </w:rPr>
              <w:t>|</w:t>
            </w:r>
            <w:r w:rsidR="005222AD" w:rsidRPr="00D123BA">
              <w:rPr>
                <w:rFonts w:cstheme="minorHAnsi"/>
                <w:szCs w:val="20"/>
                <w:vertAlign w:val="superscript"/>
              </w:rPr>
              <w:t>3</w:t>
            </w:r>
          </w:p>
        </w:tc>
        <w:tc>
          <w:tcPr>
            <w:tcW w:w="601" w:type="pct"/>
            <w:vAlign w:val="center"/>
          </w:tcPr>
          <w:p w14:paraId="31DFCE4F" w14:textId="4D56FDEA" w:rsidR="00A478D1" w:rsidRPr="00D123BA" w:rsidRDefault="00A478D1" w:rsidP="00A478D1">
            <w:pPr>
              <w:pStyle w:val="TableText0"/>
              <w:jc w:val="center"/>
              <w:rPr>
                <w:szCs w:val="20"/>
              </w:rPr>
            </w:pPr>
            <w:r w:rsidRPr="00D123BA">
              <w:rPr>
                <w:szCs w:val="20"/>
              </w:rPr>
              <w:t>$</w:t>
            </w:r>
            <w:r w:rsidR="0057223D" w:rsidRPr="0057223D">
              <w:rPr>
                <w:color w:val="000000"/>
                <w:spacing w:val="53"/>
                <w:szCs w:val="20"/>
                <w:shd w:val="solid" w:color="000000" w:fill="000000"/>
                <w:fitText w:val="330" w:id="-663557883"/>
                <w14:textFill>
                  <w14:solidFill>
                    <w14:srgbClr w14:val="000000">
                      <w14:alpha w14:val="100000"/>
                    </w14:srgbClr>
                  </w14:solidFill>
                </w14:textFill>
              </w:rPr>
              <w:t>|||</w:t>
            </w:r>
            <w:r w:rsidR="0057223D" w:rsidRPr="0057223D">
              <w:rPr>
                <w:color w:val="000000"/>
                <w:spacing w:val="1"/>
                <w:szCs w:val="20"/>
                <w:shd w:val="solid" w:color="000000" w:fill="000000"/>
                <w:fitText w:val="330" w:id="-663557883"/>
                <w14:textFill>
                  <w14:solidFill>
                    <w14:srgbClr w14:val="000000">
                      <w14:alpha w14:val="100000"/>
                    </w14:srgbClr>
                  </w14:solidFill>
                </w14:textFill>
              </w:rPr>
              <w:t>|</w:t>
            </w:r>
            <w:r w:rsidR="005222AD" w:rsidRPr="00D123BA">
              <w:rPr>
                <w:rFonts w:cstheme="minorHAnsi"/>
                <w:szCs w:val="20"/>
                <w:vertAlign w:val="superscript"/>
              </w:rPr>
              <w:t>3</w:t>
            </w:r>
          </w:p>
        </w:tc>
      </w:tr>
      <w:tr w:rsidR="00591AF0" w:rsidRPr="0098262F" w14:paraId="2315C10F" w14:textId="77777777" w:rsidTr="0086116B">
        <w:tc>
          <w:tcPr>
            <w:tcW w:w="5000" w:type="pct"/>
            <w:gridSpan w:val="7"/>
            <w:shd w:val="clear" w:color="auto" w:fill="auto"/>
            <w:vAlign w:val="center"/>
          </w:tcPr>
          <w:p w14:paraId="30CC278B" w14:textId="6C199A9C" w:rsidR="00591AF0" w:rsidRPr="0098262F" w:rsidRDefault="00D123BA" w:rsidP="00D123BA">
            <w:pPr>
              <w:pStyle w:val="In-tableHeading"/>
            </w:pPr>
            <w:r>
              <w:rPr>
                <w:lang w:val="en-AU"/>
              </w:rPr>
              <w:t>E</w:t>
            </w:r>
            <w:r w:rsidR="00591AF0" w:rsidRPr="00D123BA">
              <w:rPr>
                <w:lang w:val="en-AU"/>
              </w:rPr>
              <w:t xml:space="preserve">stimated financial implications for </w:t>
            </w:r>
            <w:r w:rsidR="00A478D1" w:rsidRPr="00D123BA">
              <w:rPr>
                <w:lang w:val="en-AU"/>
              </w:rPr>
              <w:t>entrectinib and crizotinib</w:t>
            </w:r>
          </w:p>
        </w:tc>
      </w:tr>
      <w:tr w:rsidR="00A478D1" w:rsidRPr="0098262F" w14:paraId="117C2D04" w14:textId="77777777" w:rsidTr="00292513">
        <w:tc>
          <w:tcPr>
            <w:tcW w:w="1569" w:type="pct"/>
            <w:shd w:val="clear" w:color="auto" w:fill="auto"/>
            <w:vAlign w:val="center"/>
          </w:tcPr>
          <w:p w14:paraId="149C33D2" w14:textId="07900650" w:rsidR="00A478D1" w:rsidRPr="0098262F" w:rsidRDefault="00032C19" w:rsidP="00A478D1">
            <w:pPr>
              <w:pStyle w:val="TableText0"/>
              <w:rPr>
                <w:sz w:val="19"/>
                <w:szCs w:val="19"/>
              </w:rPr>
            </w:pPr>
            <w:r>
              <w:rPr>
                <w:sz w:val="19"/>
                <w:szCs w:val="19"/>
              </w:rPr>
              <w:t>c</w:t>
            </w:r>
            <w:r w:rsidR="00A478D1" w:rsidRPr="0098262F">
              <w:rPr>
                <w:sz w:val="19"/>
                <w:szCs w:val="19"/>
              </w:rPr>
              <w:t>ost to PBS/RPBS less copayments</w:t>
            </w:r>
          </w:p>
        </w:tc>
        <w:tc>
          <w:tcPr>
            <w:tcW w:w="628" w:type="pct"/>
            <w:shd w:val="clear" w:color="auto" w:fill="auto"/>
            <w:vAlign w:val="center"/>
          </w:tcPr>
          <w:p w14:paraId="477CAAD3" w14:textId="59791A59" w:rsidR="00A478D1" w:rsidRPr="001E53D4" w:rsidRDefault="00DA32DA" w:rsidP="00A478D1">
            <w:pPr>
              <w:pStyle w:val="TableText0"/>
              <w:jc w:val="center"/>
              <w:rPr>
                <w:szCs w:val="20"/>
              </w:rPr>
            </w:pPr>
            <w:r w:rsidRPr="001E53D4">
              <w:rPr>
                <w:szCs w:val="20"/>
              </w:rPr>
              <w:t>-$</w:t>
            </w:r>
            <w:r w:rsidR="0057223D" w:rsidRPr="0057223D">
              <w:rPr>
                <w:color w:val="000000"/>
                <w:spacing w:val="53"/>
                <w:szCs w:val="20"/>
                <w:shd w:val="solid" w:color="000000" w:fill="000000"/>
                <w:fitText w:val="330" w:id="-663557882"/>
                <w14:textFill>
                  <w14:solidFill>
                    <w14:srgbClr w14:val="000000">
                      <w14:alpha w14:val="100000"/>
                    </w14:srgbClr>
                  </w14:solidFill>
                </w14:textFill>
              </w:rPr>
              <w:t>|||</w:t>
            </w:r>
            <w:r w:rsidR="0057223D" w:rsidRPr="0057223D">
              <w:rPr>
                <w:color w:val="000000"/>
                <w:spacing w:val="1"/>
                <w:szCs w:val="20"/>
                <w:shd w:val="solid" w:color="000000" w:fill="000000"/>
                <w:fitText w:val="330" w:id="-663557882"/>
                <w14:textFill>
                  <w14:solidFill>
                    <w14:srgbClr w14:val="000000">
                      <w14:alpha w14:val="100000"/>
                    </w14:srgbClr>
                  </w14:solidFill>
                </w14:textFill>
              </w:rPr>
              <w:t>|</w:t>
            </w:r>
            <w:r w:rsidR="00B16794" w:rsidRPr="001E53D4">
              <w:rPr>
                <w:rFonts w:cstheme="minorHAnsi"/>
                <w:szCs w:val="20"/>
                <w:vertAlign w:val="superscript"/>
              </w:rPr>
              <w:t>4</w:t>
            </w:r>
          </w:p>
        </w:tc>
        <w:tc>
          <w:tcPr>
            <w:tcW w:w="551" w:type="pct"/>
            <w:shd w:val="clear" w:color="auto" w:fill="auto"/>
            <w:vAlign w:val="center"/>
          </w:tcPr>
          <w:p w14:paraId="14B22896" w14:textId="7D4C18A7" w:rsidR="00A478D1" w:rsidRPr="001E53D4" w:rsidRDefault="00DA32DA" w:rsidP="00A478D1">
            <w:pPr>
              <w:pStyle w:val="TableText0"/>
              <w:jc w:val="center"/>
              <w:rPr>
                <w:szCs w:val="20"/>
              </w:rPr>
            </w:pPr>
            <w:r w:rsidRPr="001E53D4">
              <w:rPr>
                <w:szCs w:val="20"/>
              </w:rPr>
              <w:t>-$</w:t>
            </w:r>
            <w:r w:rsidR="0057223D" w:rsidRPr="0057223D">
              <w:rPr>
                <w:color w:val="000000"/>
                <w:spacing w:val="53"/>
                <w:szCs w:val="20"/>
                <w:shd w:val="solid" w:color="000000" w:fill="000000"/>
                <w:fitText w:val="330" w:id="-663557881"/>
                <w14:textFill>
                  <w14:solidFill>
                    <w14:srgbClr w14:val="000000">
                      <w14:alpha w14:val="100000"/>
                    </w14:srgbClr>
                  </w14:solidFill>
                </w14:textFill>
              </w:rPr>
              <w:t>|||</w:t>
            </w:r>
            <w:r w:rsidR="0057223D" w:rsidRPr="0057223D">
              <w:rPr>
                <w:color w:val="000000"/>
                <w:spacing w:val="1"/>
                <w:szCs w:val="20"/>
                <w:shd w:val="solid" w:color="000000" w:fill="000000"/>
                <w:fitText w:val="330" w:id="-663557881"/>
                <w14:textFill>
                  <w14:solidFill>
                    <w14:srgbClr w14:val="000000">
                      <w14:alpha w14:val="100000"/>
                    </w14:srgbClr>
                  </w14:solidFill>
                </w14:textFill>
              </w:rPr>
              <w:t>|</w:t>
            </w:r>
            <w:r w:rsidR="00B16794" w:rsidRPr="001E53D4">
              <w:rPr>
                <w:rFonts w:cstheme="minorHAnsi"/>
                <w:szCs w:val="20"/>
                <w:vertAlign w:val="superscript"/>
              </w:rPr>
              <w:t>4</w:t>
            </w:r>
          </w:p>
        </w:tc>
        <w:tc>
          <w:tcPr>
            <w:tcW w:w="550" w:type="pct"/>
            <w:shd w:val="clear" w:color="auto" w:fill="auto"/>
            <w:vAlign w:val="center"/>
          </w:tcPr>
          <w:p w14:paraId="11CBC45B" w14:textId="4F364C22" w:rsidR="00A478D1" w:rsidRPr="001E53D4" w:rsidRDefault="00DA32DA" w:rsidP="00A478D1">
            <w:pPr>
              <w:pStyle w:val="TableText0"/>
              <w:jc w:val="center"/>
              <w:rPr>
                <w:szCs w:val="20"/>
              </w:rPr>
            </w:pPr>
            <w:r w:rsidRPr="001E53D4">
              <w:rPr>
                <w:szCs w:val="20"/>
              </w:rPr>
              <w:t>-$</w:t>
            </w:r>
            <w:r w:rsidR="0057223D" w:rsidRPr="0057223D">
              <w:rPr>
                <w:color w:val="000000"/>
                <w:spacing w:val="53"/>
                <w:szCs w:val="20"/>
                <w:shd w:val="solid" w:color="000000" w:fill="000000"/>
                <w:fitText w:val="330" w:id="-663557880"/>
                <w14:textFill>
                  <w14:solidFill>
                    <w14:srgbClr w14:val="000000">
                      <w14:alpha w14:val="100000"/>
                    </w14:srgbClr>
                  </w14:solidFill>
                </w14:textFill>
              </w:rPr>
              <w:t>|||</w:t>
            </w:r>
            <w:r w:rsidR="0057223D" w:rsidRPr="0057223D">
              <w:rPr>
                <w:color w:val="000000"/>
                <w:spacing w:val="1"/>
                <w:szCs w:val="20"/>
                <w:shd w:val="solid" w:color="000000" w:fill="000000"/>
                <w:fitText w:val="330" w:id="-663557880"/>
                <w14:textFill>
                  <w14:solidFill>
                    <w14:srgbClr w14:val="000000">
                      <w14:alpha w14:val="100000"/>
                    </w14:srgbClr>
                  </w14:solidFill>
                </w14:textFill>
              </w:rPr>
              <w:t>|</w:t>
            </w:r>
            <w:r w:rsidR="00B16794" w:rsidRPr="001E53D4">
              <w:rPr>
                <w:rFonts w:cstheme="minorHAnsi"/>
                <w:szCs w:val="20"/>
                <w:vertAlign w:val="superscript"/>
              </w:rPr>
              <w:t>4</w:t>
            </w:r>
          </w:p>
        </w:tc>
        <w:tc>
          <w:tcPr>
            <w:tcW w:w="550" w:type="pct"/>
            <w:shd w:val="clear" w:color="auto" w:fill="auto"/>
            <w:vAlign w:val="center"/>
          </w:tcPr>
          <w:p w14:paraId="5138A3EF" w14:textId="7A41BF22" w:rsidR="00A478D1" w:rsidRPr="001E53D4" w:rsidRDefault="00DA32DA" w:rsidP="00A478D1">
            <w:pPr>
              <w:pStyle w:val="TableText0"/>
              <w:jc w:val="center"/>
              <w:rPr>
                <w:szCs w:val="20"/>
              </w:rPr>
            </w:pPr>
            <w:r w:rsidRPr="001E53D4">
              <w:rPr>
                <w:szCs w:val="20"/>
              </w:rPr>
              <w:t>-$</w:t>
            </w:r>
            <w:r w:rsidR="0057223D" w:rsidRPr="0057223D">
              <w:rPr>
                <w:color w:val="000000"/>
                <w:spacing w:val="53"/>
                <w:szCs w:val="20"/>
                <w:shd w:val="solid" w:color="000000" w:fill="000000"/>
                <w:fitText w:val="330" w:id="-663557879"/>
                <w14:textFill>
                  <w14:solidFill>
                    <w14:srgbClr w14:val="000000">
                      <w14:alpha w14:val="100000"/>
                    </w14:srgbClr>
                  </w14:solidFill>
                </w14:textFill>
              </w:rPr>
              <w:t>|||</w:t>
            </w:r>
            <w:r w:rsidR="0057223D" w:rsidRPr="0057223D">
              <w:rPr>
                <w:color w:val="000000"/>
                <w:spacing w:val="1"/>
                <w:szCs w:val="20"/>
                <w:shd w:val="solid" w:color="000000" w:fill="000000"/>
                <w:fitText w:val="330" w:id="-663557879"/>
                <w14:textFill>
                  <w14:solidFill>
                    <w14:srgbClr w14:val="000000">
                      <w14:alpha w14:val="100000"/>
                    </w14:srgbClr>
                  </w14:solidFill>
                </w14:textFill>
              </w:rPr>
              <w:t>|</w:t>
            </w:r>
            <w:r w:rsidR="00B16794" w:rsidRPr="001E53D4">
              <w:rPr>
                <w:rFonts w:cstheme="minorHAnsi"/>
                <w:szCs w:val="20"/>
                <w:vertAlign w:val="superscript"/>
              </w:rPr>
              <w:t>4</w:t>
            </w:r>
          </w:p>
        </w:tc>
        <w:tc>
          <w:tcPr>
            <w:tcW w:w="550" w:type="pct"/>
            <w:shd w:val="clear" w:color="auto" w:fill="auto"/>
            <w:vAlign w:val="center"/>
          </w:tcPr>
          <w:p w14:paraId="04F5EF9B" w14:textId="7C70A51A" w:rsidR="00A478D1" w:rsidRPr="001E53D4" w:rsidRDefault="00DA32DA" w:rsidP="00A478D1">
            <w:pPr>
              <w:pStyle w:val="TableText0"/>
              <w:jc w:val="center"/>
              <w:rPr>
                <w:szCs w:val="20"/>
              </w:rPr>
            </w:pPr>
            <w:r w:rsidRPr="001E53D4">
              <w:rPr>
                <w:szCs w:val="20"/>
              </w:rPr>
              <w:t>-$</w:t>
            </w:r>
            <w:r w:rsidR="0057223D" w:rsidRPr="0057223D">
              <w:rPr>
                <w:color w:val="000000"/>
                <w:spacing w:val="53"/>
                <w:szCs w:val="20"/>
                <w:shd w:val="solid" w:color="000000" w:fill="000000"/>
                <w:fitText w:val="330" w:id="-663557878"/>
                <w14:textFill>
                  <w14:solidFill>
                    <w14:srgbClr w14:val="000000">
                      <w14:alpha w14:val="100000"/>
                    </w14:srgbClr>
                  </w14:solidFill>
                </w14:textFill>
              </w:rPr>
              <w:t>|||</w:t>
            </w:r>
            <w:r w:rsidR="0057223D" w:rsidRPr="0057223D">
              <w:rPr>
                <w:color w:val="000000"/>
                <w:spacing w:val="1"/>
                <w:szCs w:val="20"/>
                <w:shd w:val="solid" w:color="000000" w:fill="000000"/>
                <w:fitText w:val="330" w:id="-663557878"/>
                <w14:textFill>
                  <w14:solidFill>
                    <w14:srgbClr w14:val="000000">
                      <w14:alpha w14:val="100000"/>
                    </w14:srgbClr>
                  </w14:solidFill>
                </w14:textFill>
              </w:rPr>
              <w:t>|</w:t>
            </w:r>
            <w:r w:rsidR="00B16794" w:rsidRPr="001E53D4">
              <w:rPr>
                <w:rFonts w:cstheme="minorHAnsi"/>
                <w:szCs w:val="20"/>
                <w:vertAlign w:val="superscript"/>
              </w:rPr>
              <w:t>4</w:t>
            </w:r>
          </w:p>
        </w:tc>
        <w:tc>
          <w:tcPr>
            <w:tcW w:w="601" w:type="pct"/>
            <w:vAlign w:val="center"/>
          </w:tcPr>
          <w:p w14:paraId="69F5B05F" w14:textId="2479699E" w:rsidR="00A478D1" w:rsidRPr="001E53D4" w:rsidRDefault="00DA32DA" w:rsidP="00A478D1">
            <w:pPr>
              <w:pStyle w:val="TableText0"/>
              <w:jc w:val="center"/>
              <w:rPr>
                <w:szCs w:val="20"/>
              </w:rPr>
            </w:pPr>
            <w:r w:rsidRPr="001E53D4">
              <w:rPr>
                <w:szCs w:val="20"/>
              </w:rPr>
              <w:t>-$</w:t>
            </w:r>
            <w:r w:rsidR="0057223D" w:rsidRPr="0057223D">
              <w:rPr>
                <w:color w:val="000000"/>
                <w:spacing w:val="53"/>
                <w:szCs w:val="20"/>
                <w:shd w:val="solid" w:color="000000" w:fill="000000"/>
                <w:fitText w:val="330" w:id="-663557877"/>
                <w14:textFill>
                  <w14:solidFill>
                    <w14:srgbClr w14:val="000000">
                      <w14:alpha w14:val="100000"/>
                    </w14:srgbClr>
                  </w14:solidFill>
                </w14:textFill>
              </w:rPr>
              <w:t>|||</w:t>
            </w:r>
            <w:r w:rsidR="0057223D" w:rsidRPr="0057223D">
              <w:rPr>
                <w:color w:val="000000"/>
                <w:spacing w:val="1"/>
                <w:szCs w:val="20"/>
                <w:shd w:val="solid" w:color="000000" w:fill="000000"/>
                <w:fitText w:val="330" w:id="-663557877"/>
                <w14:textFill>
                  <w14:solidFill>
                    <w14:srgbClr w14:val="000000">
                      <w14:alpha w14:val="100000"/>
                    </w14:srgbClr>
                  </w14:solidFill>
                </w14:textFill>
              </w:rPr>
              <w:t>|</w:t>
            </w:r>
            <w:r w:rsidR="00B16794" w:rsidRPr="001E53D4">
              <w:rPr>
                <w:rFonts w:cstheme="minorHAnsi"/>
                <w:szCs w:val="20"/>
                <w:vertAlign w:val="superscript"/>
              </w:rPr>
              <w:t>4</w:t>
            </w:r>
          </w:p>
        </w:tc>
      </w:tr>
      <w:tr w:rsidR="00591AF0" w:rsidRPr="0098262F" w14:paraId="65F96B1E" w14:textId="77777777" w:rsidTr="0086116B">
        <w:tc>
          <w:tcPr>
            <w:tcW w:w="5000" w:type="pct"/>
            <w:gridSpan w:val="7"/>
            <w:shd w:val="clear" w:color="auto" w:fill="auto"/>
            <w:vAlign w:val="center"/>
          </w:tcPr>
          <w:p w14:paraId="63D7B9A2" w14:textId="40D24F6C" w:rsidR="00591AF0" w:rsidRPr="0098262F" w:rsidRDefault="00591AF0" w:rsidP="0086116B">
            <w:pPr>
              <w:pStyle w:val="In-tableHeading"/>
              <w:rPr>
                <w:lang w:val="en-AU"/>
              </w:rPr>
            </w:pPr>
            <w:r w:rsidRPr="0098262F">
              <w:rPr>
                <w:lang w:val="en-AU"/>
              </w:rPr>
              <w:t>Net financial implications</w:t>
            </w:r>
            <w:r w:rsidRPr="0098262F">
              <w:rPr>
                <w:color w:val="4BACC6" w:themeColor="accent5"/>
                <w:lang w:val="en-AU"/>
              </w:rPr>
              <w:t xml:space="preserve"> </w:t>
            </w:r>
          </w:p>
        </w:tc>
      </w:tr>
      <w:tr w:rsidR="00A478D1" w:rsidRPr="0098262F" w14:paraId="617B9ACA" w14:textId="77777777" w:rsidTr="00292513">
        <w:tc>
          <w:tcPr>
            <w:tcW w:w="1569" w:type="pct"/>
            <w:shd w:val="clear" w:color="auto" w:fill="auto"/>
            <w:vAlign w:val="center"/>
          </w:tcPr>
          <w:p w14:paraId="2C8F53FD" w14:textId="3B4EE4FC" w:rsidR="00A478D1" w:rsidRPr="0098262F" w:rsidRDefault="00032C19" w:rsidP="00A478D1">
            <w:pPr>
              <w:pStyle w:val="TableText0"/>
              <w:rPr>
                <w:sz w:val="19"/>
                <w:szCs w:val="19"/>
              </w:rPr>
            </w:pPr>
            <w:r>
              <w:rPr>
                <w:sz w:val="19"/>
                <w:szCs w:val="19"/>
              </w:rPr>
              <w:t>n</w:t>
            </w:r>
            <w:r w:rsidR="00A478D1" w:rsidRPr="0098262F">
              <w:rPr>
                <w:sz w:val="19"/>
                <w:szCs w:val="19"/>
              </w:rPr>
              <w:t>et cost to PBS/RPBS</w:t>
            </w:r>
          </w:p>
        </w:tc>
        <w:tc>
          <w:tcPr>
            <w:tcW w:w="628" w:type="pct"/>
            <w:shd w:val="clear" w:color="auto" w:fill="auto"/>
            <w:vAlign w:val="center"/>
          </w:tcPr>
          <w:p w14:paraId="1195CE94" w14:textId="3589739F" w:rsidR="00A478D1" w:rsidRPr="001E53D4" w:rsidRDefault="00DA32DA" w:rsidP="00A478D1">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76"/>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76"/>
                <w14:textFill>
                  <w14:solidFill>
                    <w14:srgbClr w14:val="000000">
                      <w14:alpha w14:val="100000"/>
                    </w14:srgbClr>
                  </w14:solidFill>
                </w14:textFill>
              </w:rPr>
              <w:t>|</w:t>
            </w:r>
            <w:r w:rsidR="001E53D4" w:rsidRPr="001E53D4">
              <w:rPr>
                <w:rFonts w:cstheme="minorHAnsi"/>
                <w:szCs w:val="20"/>
                <w:vertAlign w:val="superscript"/>
              </w:rPr>
              <w:t>4</w:t>
            </w:r>
          </w:p>
        </w:tc>
        <w:tc>
          <w:tcPr>
            <w:tcW w:w="551" w:type="pct"/>
            <w:shd w:val="clear" w:color="auto" w:fill="auto"/>
            <w:vAlign w:val="center"/>
          </w:tcPr>
          <w:p w14:paraId="3B22CA0D" w14:textId="0F7D646B" w:rsidR="00A478D1" w:rsidRPr="001E53D4" w:rsidRDefault="00DA32DA" w:rsidP="00A478D1">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75"/>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75"/>
                <w14:textFill>
                  <w14:solidFill>
                    <w14:srgbClr w14:val="000000">
                      <w14:alpha w14:val="100000"/>
                    </w14:srgbClr>
                  </w14:solidFill>
                </w14:textFill>
              </w:rPr>
              <w:t>|</w:t>
            </w:r>
            <w:r w:rsidR="001E53D4" w:rsidRPr="001E53D4">
              <w:rPr>
                <w:rFonts w:cstheme="minorHAnsi"/>
                <w:szCs w:val="20"/>
                <w:vertAlign w:val="superscript"/>
              </w:rPr>
              <w:t>4</w:t>
            </w:r>
          </w:p>
        </w:tc>
        <w:tc>
          <w:tcPr>
            <w:tcW w:w="550" w:type="pct"/>
            <w:shd w:val="clear" w:color="auto" w:fill="auto"/>
            <w:vAlign w:val="center"/>
          </w:tcPr>
          <w:p w14:paraId="40AE16BC" w14:textId="140CD069" w:rsidR="00A478D1" w:rsidRPr="001E53D4" w:rsidRDefault="00DA32DA" w:rsidP="00A478D1">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74"/>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74"/>
                <w14:textFill>
                  <w14:solidFill>
                    <w14:srgbClr w14:val="000000">
                      <w14:alpha w14:val="100000"/>
                    </w14:srgbClr>
                  </w14:solidFill>
                </w14:textFill>
              </w:rPr>
              <w:t>|</w:t>
            </w:r>
            <w:r w:rsidR="001E53D4" w:rsidRPr="001E53D4">
              <w:rPr>
                <w:rFonts w:cstheme="minorHAnsi"/>
                <w:szCs w:val="20"/>
                <w:vertAlign w:val="superscript"/>
              </w:rPr>
              <w:t>4</w:t>
            </w:r>
          </w:p>
        </w:tc>
        <w:tc>
          <w:tcPr>
            <w:tcW w:w="550" w:type="pct"/>
            <w:shd w:val="clear" w:color="auto" w:fill="auto"/>
            <w:vAlign w:val="center"/>
          </w:tcPr>
          <w:p w14:paraId="71AB051B" w14:textId="400C655E" w:rsidR="00A478D1" w:rsidRPr="001E53D4" w:rsidRDefault="00DA32DA" w:rsidP="00A478D1">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73"/>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73"/>
                <w14:textFill>
                  <w14:solidFill>
                    <w14:srgbClr w14:val="000000">
                      <w14:alpha w14:val="100000"/>
                    </w14:srgbClr>
                  </w14:solidFill>
                </w14:textFill>
              </w:rPr>
              <w:t>|</w:t>
            </w:r>
            <w:r w:rsidR="001E53D4" w:rsidRPr="001E53D4">
              <w:rPr>
                <w:rFonts w:cstheme="minorHAnsi"/>
                <w:szCs w:val="20"/>
                <w:vertAlign w:val="superscript"/>
              </w:rPr>
              <w:t>4</w:t>
            </w:r>
          </w:p>
        </w:tc>
        <w:tc>
          <w:tcPr>
            <w:tcW w:w="550" w:type="pct"/>
            <w:shd w:val="clear" w:color="auto" w:fill="auto"/>
            <w:vAlign w:val="center"/>
          </w:tcPr>
          <w:p w14:paraId="48EFE2B5" w14:textId="2337D717" w:rsidR="00A478D1" w:rsidRPr="001E53D4" w:rsidRDefault="00DA32DA" w:rsidP="00A478D1">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72"/>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72"/>
                <w14:textFill>
                  <w14:solidFill>
                    <w14:srgbClr w14:val="000000">
                      <w14:alpha w14:val="100000"/>
                    </w14:srgbClr>
                  </w14:solidFill>
                </w14:textFill>
              </w:rPr>
              <w:t>|</w:t>
            </w:r>
            <w:r w:rsidR="001E53D4" w:rsidRPr="001E53D4">
              <w:rPr>
                <w:rFonts w:cstheme="minorHAnsi"/>
                <w:szCs w:val="20"/>
                <w:vertAlign w:val="superscript"/>
              </w:rPr>
              <w:t>4</w:t>
            </w:r>
          </w:p>
        </w:tc>
        <w:tc>
          <w:tcPr>
            <w:tcW w:w="601" w:type="pct"/>
            <w:vAlign w:val="center"/>
          </w:tcPr>
          <w:p w14:paraId="35D90402" w14:textId="75C86BBA" w:rsidR="00A478D1" w:rsidRPr="001E53D4" w:rsidRDefault="00DA32DA" w:rsidP="00A478D1">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88"/>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88"/>
                <w14:textFill>
                  <w14:solidFill>
                    <w14:srgbClr w14:val="000000">
                      <w14:alpha w14:val="100000"/>
                    </w14:srgbClr>
                  </w14:solidFill>
                </w14:textFill>
              </w:rPr>
              <w:t>|</w:t>
            </w:r>
            <w:r w:rsidR="001E53D4" w:rsidRPr="001E53D4">
              <w:rPr>
                <w:rFonts w:cstheme="minorHAnsi"/>
                <w:szCs w:val="20"/>
                <w:vertAlign w:val="superscript"/>
              </w:rPr>
              <w:t>4</w:t>
            </w:r>
          </w:p>
        </w:tc>
      </w:tr>
      <w:tr w:rsidR="00181ADD" w:rsidRPr="0098262F" w14:paraId="1BB10303" w14:textId="77777777" w:rsidTr="00292513">
        <w:tc>
          <w:tcPr>
            <w:tcW w:w="1569" w:type="pct"/>
            <w:shd w:val="clear" w:color="auto" w:fill="auto"/>
            <w:vAlign w:val="center"/>
          </w:tcPr>
          <w:p w14:paraId="5DEE1DF5" w14:textId="5CB35AAE" w:rsidR="00181ADD" w:rsidRPr="0098262F" w:rsidRDefault="00032C19" w:rsidP="00181ADD">
            <w:pPr>
              <w:pStyle w:val="TableText0"/>
              <w:rPr>
                <w:rFonts w:ascii="Times" w:hAnsi="Times"/>
              </w:rPr>
            </w:pPr>
            <w:r>
              <w:t>n</w:t>
            </w:r>
            <w:r w:rsidR="00181ADD" w:rsidRPr="00B03301">
              <w:t>et impact to prescriptions processed</w:t>
            </w:r>
          </w:p>
        </w:tc>
        <w:tc>
          <w:tcPr>
            <w:tcW w:w="628" w:type="pct"/>
            <w:shd w:val="clear" w:color="auto" w:fill="auto"/>
            <w:vAlign w:val="center"/>
          </w:tcPr>
          <w:p w14:paraId="13003366" w14:textId="00D06019" w:rsidR="00181ADD" w:rsidRPr="001E53D4" w:rsidRDefault="00181ADD" w:rsidP="00181ADD">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87"/>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87"/>
                <w14:textFill>
                  <w14:solidFill>
                    <w14:srgbClr w14:val="000000">
                      <w14:alpha w14:val="100000"/>
                    </w14:srgbClr>
                  </w14:solidFill>
                </w14:textFill>
              </w:rPr>
              <w:t>|</w:t>
            </w:r>
            <w:r w:rsidRPr="001E53D4">
              <w:rPr>
                <w:rFonts w:cs="Arial"/>
                <w:szCs w:val="20"/>
              </w:rPr>
              <w:t xml:space="preserve"> </w:t>
            </w:r>
            <w:r w:rsidR="00A76A3F" w:rsidRPr="001E53D4">
              <w:rPr>
                <w:rFonts w:cstheme="minorHAnsi"/>
                <w:szCs w:val="20"/>
                <w:vertAlign w:val="superscript"/>
              </w:rPr>
              <w:t>1</w:t>
            </w:r>
          </w:p>
        </w:tc>
        <w:tc>
          <w:tcPr>
            <w:tcW w:w="551" w:type="pct"/>
            <w:shd w:val="clear" w:color="auto" w:fill="auto"/>
            <w:vAlign w:val="center"/>
          </w:tcPr>
          <w:p w14:paraId="09C0790B" w14:textId="3EAB1ECE" w:rsidR="00181ADD" w:rsidRPr="001E53D4" w:rsidRDefault="00181ADD" w:rsidP="00181ADD">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86"/>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86"/>
                <w14:textFill>
                  <w14:solidFill>
                    <w14:srgbClr w14:val="000000">
                      <w14:alpha w14:val="100000"/>
                    </w14:srgbClr>
                  </w14:solidFill>
                </w14:textFill>
              </w:rPr>
              <w:t>|</w:t>
            </w:r>
            <w:r w:rsidRPr="001E53D4">
              <w:rPr>
                <w:rFonts w:cs="Arial"/>
                <w:szCs w:val="20"/>
              </w:rPr>
              <w:t xml:space="preserve"> </w:t>
            </w:r>
            <w:r w:rsidR="00A76A3F" w:rsidRPr="001E53D4">
              <w:rPr>
                <w:rFonts w:cstheme="minorHAnsi"/>
                <w:szCs w:val="20"/>
                <w:vertAlign w:val="superscript"/>
              </w:rPr>
              <w:t>1</w:t>
            </w:r>
          </w:p>
        </w:tc>
        <w:tc>
          <w:tcPr>
            <w:tcW w:w="550" w:type="pct"/>
            <w:shd w:val="clear" w:color="auto" w:fill="auto"/>
            <w:vAlign w:val="center"/>
          </w:tcPr>
          <w:p w14:paraId="37F05C2F" w14:textId="73D23629" w:rsidR="00181ADD" w:rsidRPr="001E53D4" w:rsidRDefault="00181ADD" w:rsidP="00181ADD">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85"/>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85"/>
                <w14:textFill>
                  <w14:solidFill>
                    <w14:srgbClr w14:val="000000">
                      <w14:alpha w14:val="100000"/>
                    </w14:srgbClr>
                  </w14:solidFill>
                </w14:textFill>
              </w:rPr>
              <w:t>|</w:t>
            </w:r>
            <w:r w:rsidRPr="001E53D4">
              <w:rPr>
                <w:rFonts w:cs="Arial"/>
                <w:szCs w:val="20"/>
              </w:rPr>
              <w:t xml:space="preserve"> </w:t>
            </w:r>
            <w:r w:rsidR="00A76A3F" w:rsidRPr="001E53D4">
              <w:rPr>
                <w:rFonts w:cstheme="minorHAnsi"/>
                <w:szCs w:val="20"/>
                <w:vertAlign w:val="superscript"/>
              </w:rPr>
              <w:t>1</w:t>
            </w:r>
          </w:p>
        </w:tc>
        <w:tc>
          <w:tcPr>
            <w:tcW w:w="550" w:type="pct"/>
            <w:shd w:val="clear" w:color="auto" w:fill="auto"/>
            <w:vAlign w:val="center"/>
          </w:tcPr>
          <w:p w14:paraId="1B0D51F7" w14:textId="3A0666D7" w:rsidR="00181ADD" w:rsidRPr="001E53D4" w:rsidRDefault="00181ADD" w:rsidP="00181ADD">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84"/>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84"/>
                <w14:textFill>
                  <w14:solidFill>
                    <w14:srgbClr w14:val="000000">
                      <w14:alpha w14:val="100000"/>
                    </w14:srgbClr>
                  </w14:solidFill>
                </w14:textFill>
              </w:rPr>
              <w:t>|</w:t>
            </w:r>
            <w:r w:rsidRPr="001E53D4">
              <w:rPr>
                <w:rFonts w:cs="Arial"/>
                <w:szCs w:val="20"/>
              </w:rPr>
              <w:t xml:space="preserve"> </w:t>
            </w:r>
            <w:r w:rsidR="00A76A3F" w:rsidRPr="001E53D4">
              <w:rPr>
                <w:rFonts w:cstheme="minorHAnsi"/>
                <w:szCs w:val="20"/>
                <w:vertAlign w:val="superscript"/>
              </w:rPr>
              <w:t>1</w:t>
            </w:r>
          </w:p>
        </w:tc>
        <w:tc>
          <w:tcPr>
            <w:tcW w:w="550" w:type="pct"/>
            <w:shd w:val="clear" w:color="auto" w:fill="auto"/>
            <w:vAlign w:val="center"/>
          </w:tcPr>
          <w:p w14:paraId="690E30DE" w14:textId="2EDBC303" w:rsidR="00181ADD" w:rsidRPr="001E53D4" w:rsidRDefault="00181ADD" w:rsidP="00181ADD">
            <w:pPr>
              <w:pStyle w:val="TableText0"/>
              <w:jc w:val="center"/>
              <w:rPr>
                <w:szCs w:val="20"/>
              </w:rPr>
            </w:pPr>
            <w:r w:rsidRPr="001E53D4">
              <w:rPr>
                <w:rFonts w:cs="Arial"/>
                <w:szCs w:val="20"/>
              </w:rPr>
              <w:t>-</w:t>
            </w:r>
            <w:r w:rsidR="0057223D" w:rsidRPr="0057223D">
              <w:rPr>
                <w:rFonts w:cs="Arial"/>
                <w:color w:val="000000"/>
                <w:spacing w:val="53"/>
                <w:szCs w:val="20"/>
                <w:shd w:val="solid" w:color="000000" w:fill="000000"/>
                <w:fitText w:val="330" w:id="-663557883"/>
                <w14:textFill>
                  <w14:solidFill>
                    <w14:srgbClr w14:val="000000">
                      <w14:alpha w14:val="100000"/>
                    </w14:srgbClr>
                  </w14:solidFill>
                </w14:textFill>
              </w:rPr>
              <w:t>|||</w:t>
            </w:r>
            <w:r w:rsidR="0057223D" w:rsidRPr="0057223D">
              <w:rPr>
                <w:rFonts w:cs="Arial"/>
                <w:color w:val="000000"/>
                <w:spacing w:val="1"/>
                <w:szCs w:val="20"/>
                <w:shd w:val="solid" w:color="000000" w:fill="000000"/>
                <w:fitText w:val="330" w:id="-663557883"/>
                <w14:textFill>
                  <w14:solidFill>
                    <w14:srgbClr w14:val="000000">
                      <w14:alpha w14:val="100000"/>
                    </w14:srgbClr>
                  </w14:solidFill>
                </w14:textFill>
              </w:rPr>
              <w:t>|</w:t>
            </w:r>
            <w:r w:rsidRPr="001E53D4">
              <w:rPr>
                <w:rFonts w:cs="Arial"/>
                <w:szCs w:val="20"/>
              </w:rPr>
              <w:t xml:space="preserve"> </w:t>
            </w:r>
            <w:r w:rsidR="00A76A3F" w:rsidRPr="001E53D4">
              <w:rPr>
                <w:rFonts w:cstheme="minorHAnsi"/>
                <w:szCs w:val="20"/>
                <w:vertAlign w:val="superscript"/>
              </w:rPr>
              <w:t>1</w:t>
            </w:r>
          </w:p>
        </w:tc>
        <w:tc>
          <w:tcPr>
            <w:tcW w:w="601" w:type="pct"/>
            <w:vAlign w:val="center"/>
          </w:tcPr>
          <w:p w14:paraId="6075A111" w14:textId="71AA5BA9" w:rsidR="00181ADD" w:rsidRPr="001E53D4" w:rsidRDefault="00181ADD" w:rsidP="00181ADD">
            <w:pPr>
              <w:pStyle w:val="TableText0"/>
              <w:jc w:val="center"/>
              <w:rPr>
                <w:szCs w:val="20"/>
              </w:rPr>
            </w:pPr>
            <w:r w:rsidRPr="001E53D4">
              <w:rPr>
                <w:rFonts w:cs="Arial"/>
                <w:szCs w:val="20"/>
              </w:rPr>
              <w:t>-</w:t>
            </w:r>
            <w:r w:rsidR="0057223D" w:rsidRPr="00C42029">
              <w:rPr>
                <w:rFonts w:cs="Arial"/>
                <w:color w:val="000000"/>
                <w:spacing w:val="53"/>
                <w:szCs w:val="20"/>
                <w:shd w:val="solid" w:color="000000" w:fill="000000"/>
                <w:fitText w:val="330" w:id="-663557882"/>
                <w14:textFill>
                  <w14:solidFill>
                    <w14:srgbClr w14:val="000000">
                      <w14:alpha w14:val="100000"/>
                    </w14:srgbClr>
                  </w14:solidFill>
                </w14:textFill>
              </w:rPr>
              <w:t>|||</w:t>
            </w:r>
            <w:r w:rsidR="0057223D" w:rsidRPr="00C42029">
              <w:rPr>
                <w:rFonts w:cs="Arial"/>
                <w:color w:val="000000"/>
                <w:spacing w:val="1"/>
                <w:szCs w:val="20"/>
                <w:shd w:val="solid" w:color="000000" w:fill="000000"/>
                <w:fitText w:val="330" w:id="-663557882"/>
                <w14:textFill>
                  <w14:solidFill>
                    <w14:srgbClr w14:val="000000">
                      <w14:alpha w14:val="100000"/>
                    </w14:srgbClr>
                  </w14:solidFill>
                </w14:textFill>
              </w:rPr>
              <w:t>|</w:t>
            </w:r>
            <w:r w:rsidRPr="001E53D4">
              <w:rPr>
                <w:rFonts w:cs="Arial"/>
                <w:szCs w:val="20"/>
              </w:rPr>
              <w:t xml:space="preserve"> </w:t>
            </w:r>
            <w:r w:rsidR="00A76A3F" w:rsidRPr="001E53D4">
              <w:rPr>
                <w:rFonts w:cstheme="minorHAnsi"/>
                <w:szCs w:val="20"/>
                <w:vertAlign w:val="superscript"/>
              </w:rPr>
              <w:t>1</w:t>
            </w:r>
          </w:p>
        </w:tc>
      </w:tr>
      <w:tr w:rsidR="00181ADD" w:rsidRPr="0098262F" w14:paraId="293448D6" w14:textId="77777777" w:rsidTr="00292513">
        <w:tc>
          <w:tcPr>
            <w:tcW w:w="1569" w:type="pct"/>
            <w:shd w:val="clear" w:color="auto" w:fill="auto"/>
            <w:vAlign w:val="center"/>
          </w:tcPr>
          <w:p w14:paraId="17E2D127" w14:textId="67AABBD2" w:rsidR="00181ADD" w:rsidRPr="0098262F" w:rsidRDefault="00032C19" w:rsidP="00181ADD">
            <w:pPr>
              <w:pStyle w:val="TableText0"/>
              <w:rPr>
                <w:sz w:val="19"/>
                <w:szCs w:val="19"/>
              </w:rPr>
            </w:pPr>
            <w:r>
              <w:rPr>
                <w:sz w:val="19"/>
                <w:szCs w:val="19"/>
              </w:rPr>
              <w:t>n</w:t>
            </w:r>
            <w:r w:rsidR="00181ADD" w:rsidRPr="0098262F">
              <w:rPr>
                <w:sz w:val="19"/>
                <w:szCs w:val="19"/>
              </w:rPr>
              <w:t>et cost to MBS</w:t>
            </w:r>
            <w:r w:rsidR="00181ADD">
              <w:rPr>
                <w:sz w:val="19"/>
                <w:szCs w:val="19"/>
              </w:rPr>
              <w:t xml:space="preserve"> </w:t>
            </w:r>
          </w:p>
        </w:tc>
        <w:tc>
          <w:tcPr>
            <w:tcW w:w="628" w:type="pct"/>
            <w:shd w:val="clear" w:color="auto" w:fill="auto"/>
            <w:vAlign w:val="center"/>
          </w:tcPr>
          <w:p w14:paraId="737E9244" w14:textId="6FE3B20C" w:rsidR="00181ADD" w:rsidRDefault="00181ADD" w:rsidP="00181ADD">
            <w:pPr>
              <w:pStyle w:val="TableText0"/>
              <w:jc w:val="center"/>
            </w:pPr>
            <w:r w:rsidRPr="00CA6FDA">
              <w:rPr>
                <w:rFonts w:cs="Arial"/>
              </w:rPr>
              <w:t>$0</w:t>
            </w:r>
          </w:p>
        </w:tc>
        <w:tc>
          <w:tcPr>
            <w:tcW w:w="551" w:type="pct"/>
            <w:shd w:val="clear" w:color="auto" w:fill="auto"/>
            <w:vAlign w:val="center"/>
          </w:tcPr>
          <w:p w14:paraId="59BE3762" w14:textId="0D3261CF" w:rsidR="00181ADD" w:rsidRPr="00CE329A" w:rsidRDefault="00181ADD" w:rsidP="00181ADD">
            <w:pPr>
              <w:pStyle w:val="TableText0"/>
              <w:jc w:val="center"/>
            </w:pPr>
            <w:r w:rsidRPr="00CA6FDA">
              <w:rPr>
                <w:rFonts w:cs="Arial"/>
              </w:rPr>
              <w:t>$0</w:t>
            </w:r>
          </w:p>
        </w:tc>
        <w:tc>
          <w:tcPr>
            <w:tcW w:w="550" w:type="pct"/>
            <w:shd w:val="clear" w:color="auto" w:fill="auto"/>
            <w:vAlign w:val="center"/>
          </w:tcPr>
          <w:p w14:paraId="715F8E07" w14:textId="60DF07F5" w:rsidR="00181ADD" w:rsidRPr="00CE329A" w:rsidRDefault="00181ADD" w:rsidP="00181ADD">
            <w:pPr>
              <w:pStyle w:val="TableText0"/>
              <w:jc w:val="center"/>
            </w:pPr>
            <w:r w:rsidRPr="00CA6FDA">
              <w:rPr>
                <w:rFonts w:cs="Arial"/>
              </w:rPr>
              <w:t>$0</w:t>
            </w:r>
          </w:p>
        </w:tc>
        <w:tc>
          <w:tcPr>
            <w:tcW w:w="550" w:type="pct"/>
            <w:shd w:val="clear" w:color="auto" w:fill="auto"/>
            <w:vAlign w:val="center"/>
          </w:tcPr>
          <w:p w14:paraId="79D8A42A" w14:textId="67411FF6" w:rsidR="00181ADD" w:rsidRPr="00CE329A" w:rsidRDefault="00181ADD" w:rsidP="00181ADD">
            <w:pPr>
              <w:pStyle w:val="TableText0"/>
              <w:jc w:val="center"/>
            </w:pPr>
            <w:r w:rsidRPr="00CA6FDA">
              <w:rPr>
                <w:rFonts w:cs="Arial"/>
              </w:rPr>
              <w:t>$0</w:t>
            </w:r>
          </w:p>
        </w:tc>
        <w:tc>
          <w:tcPr>
            <w:tcW w:w="550" w:type="pct"/>
            <w:shd w:val="clear" w:color="auto" w:fill="auto"/>
            <w:vAlign w:val="center"/>
          </w:tcPr>
          <w:p w14:paraId="071EE8C1" w14:textId="48741807" w:rsidR="00181ADD" w:rsidRPr="00CE329A" w:rsidRDefault="00181ADD" w:rsidP="00181ADD">
            <w:pPr>
              <w:pStyle w:val="TableText0"/>
              <w:jc w:val="center"/>
            </w:pPr>
            <w:r w:rsidRPr="00CA6FDA">
              <w:rPr>
                <w:rFonts w:cs="Arial"/>
              </w:rPr>
              <w:t>$0</w:t>
            </w:r>
          </w:p>
        </w:tc>
        <w:tc>
          <w:tcPr>
            <w:tcW w:w="601" w:type="pct"/>
            <w:vAlign w:val="center"/>
          </w:tcPr>
          <w:p w14:paraId="47D3F394" w14:textId="28CAA175" w:rsidR="00181ADD" w:rsidRPr="00CE329A" w:rsidRDefault="00181ADD" w:rsidP="00181ADD">
            <w:pPr>
              <w:pStyle w:val="TableText0"/>
              <w:jc w:val="center"/>
            </w:pPr>
            <w:r w:rsidRPr="00CA6FDA">
              <w:rPr>
                <w:rFonts w:cs="Arial"/>
              </w:rPr>
              <w:t>$0</w:t>
            </w:r>
          </w:p>
        </w:tc>
      </w:tr>
      <w:tr w:rsidR="00A478D1" w:rsidRPr="0098262F" w14:paraId="232C359D" w14:textId="77777777" w:rsidTr="00292513">
        <w:tc>
          <w:tcPr>
            <w:tcW w:w="1569" w:type="pct"/>
            <w:shd w:val="clear" w:color="auto" w:fill="auto"/>
            <w:vAlign w:val="center"/>
          </w:tcPr>
          <w:p w14:paraId="70CD4AE6" w14:textId="00204CB2" w:rsidR="00A478D1" w:rsidRPr="0098262F" w:rsidRDefault="00032C19" w:rsidP="00A478D1">
            <w:pPr>
              <w:pStyle w:val="TableText0"/>
              <w:rPr>
                <w:sz w:val="19"/>
                <w:szCs w:val="19"/>
              </w:rPr>
            </w:pPr>
            <w:r>
              <w:rPr>
                <w:sz w:val="19"/>
                <w:szCs w:val="19"/>
              </w:rPr>
              <w:t>n</w:t>
            </w:r>
            <w:r w:rsidR="00A478D1" w:rsidRPr="0098262F">
              <w:rPr>
                <w:sz w:val="19"/>
                <w:szCs w:val="19"/>
              </w:rPr>
              <w:t>et cost to PBS/RPBS/MBS/Services Australia</w:t>
            </w:r>
          </w:p>
        </w:tc>
        <w:tc>
          <w:tcPr>
            <w:tcW w:w="628" w:type="pct"/>
            <w:shd w:val="clear" w:color="auto" w:fill="auto"/>
            <w:vAlign w:val="center"/>
          </w:tcPr>
          <w:p w14:paraId="0EBF5E55" w14:textId="006C5268" w:rsidR="00A478D1" w:rsidRPr="0098262F" w:rsidRDefault="00A478D1" w:rsidP="00A478D1">
            <w:pPr>
              <w:pStyle w:val="TableText0"/>
              <w:jc w:val="center"/>
            </w:pPr>
            <w:r>
              <w:t>NA</w:t>
            </w:r>
          </w:p>
        </w:tc>
        <w:tc>
          <w:tcPr>
            <w:tcW w:w="551" w:type="pct"/>
            <w:shd w:val="clear" w:color="auto" w:fill="auto"/>
            <w:vAlign w:val="center"/>
          </w:tcPr>
          <w:p w14:paraId="5E929142" w14:textId="51905420" w:rsidR="00A478D1" w:rsidRPr="0098262F" w:rsidRDefault="00A478D1" w:rsidP="00A478D1">
            <w:pPr>
              <w:pStyle w:val="TableText0"/>
              <w:jc w:val="center"/>
            </w:pPr>
            <w:r w:rsidRPr="00CE329A">
              <w:t>NA</w:t>
            </w:r>
          </w:p>
        </w:tc>
        <w:tc>
          <w:tcPr>
            <w:tcW w:w="550" w:type="pct"/>
            <w:shd w:val="clear" w:color="auto" w:fill="auto"/>
            <w:vAlign w:val="center"/>
          </w:tcPr>
          <w:p w14:paraId="37DB7B87" w14:textId="28F835E7" w:rsidR="00A478D1" w:rsidRPr="0098262F" w:rsidRDefault="00A478D1" w:rsidP="00A478D1">
            <w:pPr>
              <w:pStyle w:val="TableText0"/>
              <w:jc w:val="center"/>
            </w:pPr>
            <w:r w:rsidRPr="00CE329A">
              <w:t>NA</w:t>
            </w:r>
          </w:p>
        </w:tc>
        <w:tc>
          <w:tcPr>
            <w:tcW w:w="550" w:type="pct"/>
            <w:shd w:val="clear" w:color="auto" w:fill="auto"/>
            <w:vAlign w:val="center"/>
          </w:tcPr>
          <w:p w14:paraId="7A1EA8C1" w14:textId="5538B66F" w:rsidR="00A478D1" w:rsidRPr="0098262F" w:rsidRDefault="00A478D1" w:rsidP="00A478D1">
            <w:pPr>
              <w:pStyle w:val="TableText0"/>
              <w:jc w:val="center"/>
            </w:pPr>
            <w:r w:rsidRPr="00CE329A">
              <w:t>NA</w:t>
            </w:r>
          </w:p>
        </w:tc>
        <w:tc>
          <w:tcPr>
            <w:tcW w:w="550" w:type="pct"/>
            <w:shd w:val="clear" w:color="auto" w:fill="auto"/>
            <w:vAlign w:val="center"/>
          </w:tcPr>
          <w:p w14:paraId="053CF598" w14:textId="7BBBA027" w:rsidR="00A478D1" w:rsidRPr="0098262F" w:rsidRDefault="00A478D1" w:rsidP="00A478D1">
            <w:pPr>
              <w:pStyle w:val="TableText0"/>
              <w:jc w:val="center"/>
            </w:pPr>
            <w:r w:rsidRPr="00CE329A">
              <w:t>NA</w:t>
            </w:r>
          </w:p>
        </w:tc>
        <w:tc>
          <w:tcPr>
            <w:tcW w:w="601" w:type="pct"/>
            <w:vAlign w:val="center"/>
          </w:tcPr>
          <w:p w14:paraId="0EA676E7" w14:textId="67FC0495" w:rsidR="00A478D1" w:rsidRPr="0098262F" w:rsidRDefault="00A478D1" w:rsidP="00A478D1">
            <w:pPr>
              <w:pStyle w:val="TableText0"/>
              <w:jc w:val="center"/>
            </w:pPr>
            <w:r w:rsidRPr="00CE329A">
              <w:t>NA</w:t>
            </w:r>
          </w:p>
        </w:tc>
      </w:tr>
    </w:tbl>
    <w:p w14:paraId="35B8C392" w14:textId="318AADFE" w:rsidR="00DD0702" w:rsidRDefault="00591AF0" w:rsidP="00F511D9">
      <w:pPr>
        <w:pStyle w:val="TableFigureFooter"/>
      </w:pPr>
      <w:r w:rsidRPr="009B31F3">
        <w:t>Source: Table</w:t>
      </w:r>
      <w:r w:rsidR="00A478D1" w:rsidRPr="009B31F3">
        <w:t xml:space="preserve"> 60,</w:t>
      </w:r>
      <w:r w:rsidR="00DD0702" w:rsidRPr="009B31F3">
        <w:t xml:space="preserve"> </w:t>
      </w:r>
      <w:r w:rsidR="00A478D1" w:rsidRPr="009B31F3">
        <w:t>62,</w:t>
      </w:r>
      <w:r w:rsidR="00DD0702" w:rsidRPr="009B31F3">
        <w:t xml:space="preserve"> </w:t>
      </w:r>
      <w:r w:rsidR="00A478D1" w:rsidRPr="009B31F3">
        <w:t>65,</w:t>
      </w:r>
      <w:r w:rsidR="00DD0702" w:rsidRPr="009B31F3">
        <w:t xml:space="preserve"> </w:t>
      </w:r>
      <w:r w:rsidR="00181ADD" w:rsidRPr="009B31F3">
        <w:t>68</w:t>
      </w:r>
      <w:r w:rsidR="00A478D1" w:rsidRPr="009B31F3">
        <w:t xml:space="preserve"> </w:t>
      </w:r>
      <w:r w:rsidRPr="009B31F3">
        <w:t>of the submission</w:t>
      </w:r>
      <w:r w:rsidR="00A478D1" w:rsidRPr="009B31F3">
        <w:t>.</w:t>
      </w:r>
      <w:r w:rsidR="00181ADD">
        <w:t xml:space="preserve"> </w:t>
      </w:r>
    </w:p>
    <w:p w14:paraId="677ED926" w14:textId="79D24EB6" w:rsidR="00591AF0" w:rsidRDefault="00181ADD" w:rsidP="00F511D9">
      <w:pPr>
        <w:pStyle w:val="TableFigureFooter"/>
      </w:pPr>
      <w:r w:rsidRPr="007B43CE">
        <w:t>Note</w:t>
      </w:r>
      <w:r w:rsidR="00387ED8" w:rsidRPr="007B43CE">
        <w:t>s</w:t>
      </w:r>
      <w:r w:rsidRPr="007B43CE">
        <w:t>:</w:t>
      </w:r>
      <w:r>
        <w:t xml:space="preserve"> </w:t>
      </w:r>
      <w:r w:rsidR="007B43CE">
        <w:t xml:space="preserve">The submission did not calculate the net cost to Service </w:t>
      </w:r>
      <w:proofErr w:type="gramStart"/>
      <w:r w:rsidR="007B43CE">
        <w:t>Australia, but</w:t>
      </w:r>
      <w:proofErr w:type="gramEnd"/>
      <w:r w:rsidR="007B43CE">
        <w:t xml:space="preserve"> presented a net impact to prescriptions processed.</w:t>
      </w:r>
    </w:p>
    <w:p w14:paraId="51DD689B" w14:textId="77777777" w:rsidR="00F63125" w:rsidRPr="00F56B14" w:rsidRDefault="00F63125" w:rsidP="00F63125">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4B0C62A2" w14:textId="0E1F1645" w:rsidR="00A76A3F" w:rsidRDefault="00F63125" w:rsidP="009D2562">
      <w:pPr>
        <w:pStyle w:val="TableText0"/>
        <w:rPr>
          <w:rFonts w:cstheme="minorHAnsi"/>
          <w:i/>
          <w:iCs/>
          <w:sz w:val="18"/>
          <w:szCs w:val="18"/>
          <w:vertAlign w:val="superscript"/>
        </w:rPr>
      </w:pPr>
      <w:r w:rsidRPr="00792EB7">
        <w:rPr>
          <w:rFonts w:cstheme="minorHAnsi"/>
          <w:i/>
          <w:iCs/>
          <w:sz w:val="18"/>
          <w:szCs w:val="18"/>
          <w:vertAlign w:val="superscript"/>
        </w:rPr>
        <w:t>1</w:t>
      </w:r>
      <w:r w:rsidR="00FE6A94">
        <w:rPr>
          <w:rFonts w:cstheme="minorHAnsi"/>
          <w:i/>
          <w:iCs/>
          <w:sz w:val="18"/>
          <w:szCs w:val="18"/>
          <w:vertAlign w:val="superscript"/>
        </w:rPr>
        <w:t xml:space="preserve"> </w:t>
      </w:r>
      <w:r w:rsidR="00A76A3F" w:rsidRPr="00FE6A94">
        <w:rPr>
          <w:rFonts w:cstheme="minorHAnsi"/>
          <w:i/>
          <w:iCs/>
          <w:sz w:val="18"/>
          <w:szCs w:val="18"/>
        </w:rPr>
        <w:t>&lt; 500</w:t>
      </w:r>
    </w:p>
    <w:p w14:paraId="66C885AF" w14:textId="77777777" w:rsidR="005222AD" w:rsidRDefault="00A76A3F" w:rsidP="004F2D62">
      <w:pPr>
        <w:pStyle w:val="TableText0"/>
        <w:rPr>
          <w:rFonts w:cstheme="minorHAnsi"/>
          <w:i/>
          <w:iCs/>
          <w:sz w:val="18"/>
          <w:szCs w:val="18"/>
          <w:vertAlign w:val="superscript"/>
        </w:rPr>
      </w:pPr>
      <w:r w:rsidRPr="00A76A3F">
        <w:rPr>
          <w:rFonts w:cstheme="minorHAnsi"/>
          <w:i/>
          <w:iCs/>
          <w:sz w:val="18"/>
          <w:szCs w:val="18"/>
          <w:vertAlign w:val="superscript"/>
        </w:rPr>
        <w:t>2</w:t>
      </w:r>
      <w:r w:rsidR="00F63125" w:rsidRPr="00792EB7">
        <w:rPr>
          <w:rFonts w:cstheme="minorHAnsi"/>
          <w:i/>
          <w:iCs/>
          <w:sz w:val="18"/>
          <w:szCs w:val="18"/>
        </w:rPr>
        <w:t xml:space="preserve"> </w:t>
      </w:r>
      <w:r w:rsidR="009D2562" w:rsidRPr="00FE6A94">
        <w:rPr>
          <w:rFonts w:cstheme="minorHAnsi"/>
          <w:i/>
          <w:iCs/>
          <w:sz w:val="18"/>
          <w:szCs w:val="18"/>
        </w:rPr>
        <w:t>500 to &lt; 5,00</w:t>
      </w:r>
      <w:r w:rsidR="00D55DE5" w:rsidRPr="00FE6A94">
        <w:rPr>
          <w:rFonts w:cstheme="minorHAnsi"/>
          <w:i/>
          <w:iCs/>
          <w:sz w:val="18"/>
          <w:szCs w:val="18"/>
        </w:rPr>
        <w:t>0</w:t>
      </w:r>
    </w:p>
    <w:p w14:paraId="673E139B" w14:textId="3413F810" w:rsidR="00095D39" w:rsidRPr="00F511D9" w:rsidRDefault="00A76A3F" w:rsidP="004F2D62">
      <w:pPr>
        <w:pStyle w:val="TableText0"/>
        <w:rPr>
          <w:rFonts w:cstheme="minorHAnsi"/>
          <w:i/>
          <w:iCs/>
          <w:sz w:val="18"/>
          <w:szCs w:val="18"/>
        </w:rPr>
      </w:pPr>
      <w:r>
        <w:rPr>
          <w:rFonts w:cstheme="minorHAnsi"/>
          <w:i/>
          <w:iCs/>
          <w:sz w:val="18"/>
          <w:szCs w:val="18"/>
          <w:vertAlign w:val="superscript"/>
        </w:rPr>
        <w:t>3</w:t>
      </w:r>
      <w:r w:rsidR="00F63125" w:rsidRPr="004F2D62">
        <w:rPr>
          <w:rFonts w:cstheme="minorHAnsi"/>
          <w:i/>
          <w:iCs/>
          <w:sz w:val="18"/>
          <w:szCs w:val="18"/>
          <w:vertAlign w:val="superscript"/>
        </w:rPr>
        <w:t xml:space="preserve"> </w:t>
      </w:r>
      <w:r w:rsidR="004F2D62" w:rsidRPr="00F511D9">
        <w:rPr>
          <w:rFonts w:cstheme="minorHAnsi"/>
          <w:i/>
          <w:iCs/>
          <w:sz w:val="18"/>
          <w:szCs w:val="18"/>
        </w:rPr>
        <w:t>$0 to &lt; $10 million</w:t>
      </w:r>
    </w:p>
    <w:p w14:paraId="10DD76DA" w14:textId="77777777" w:rsidR="00B16794" w:rsidRDefault="00B16794" w:rsidP="001E53D4">
      <w:pPr>
        <w:pStyle w:val="TableText0"/>
        <w:rPr>
          <w:rFonts w:cstheme="minorHAnsi"/>
          <w:i/>
          <w:iCs/>
          <w:sz w:val="18"/>
          <w:szCs w:val="18"/>
        </w:rPr>
      </w:pPr>
      <w:r w:rsidRPr="002F2738">
        <w:rPr>
          <w:rFonts w:cstheme="minorHAnsi"/>
          <w:i/>
          <w:iCs/>
          <w:sz w:val="18"/>
          <w:szCs w:val="18"/>
          <w:vertAlign w:val="superscript"/>
        </w:rPr>
        <w:t>4</w:t>
      </w:r>
      <w:r w:rsidRPr="00F511D9">
        <w:rPr>
          <w:rFonts w:cstheme="minorHAnsi"/>
          <w:i/>
          <w:iCs/>
          <w:sz w:val="18"/>
          <w:szCs w:val="18"/>
        </w:rPr>
        <w:t xml:space="preserve"> net cost saving</w:t>
      </w:r>
    </w:p>
    <w:p w14:paraId="2B7783B8" w14:textId="0B03C69B" w:rsidR="007B6015" w:rsidRPr="007A38AF" w:rsidRDefault="0099757E" w:rsidP="00940787">
      <w:pPr>
        <w:pStyle w:val="3-BodyText"/>
        <w:rPr>
          <w:lang w:val="en-GB"/>
        </w:rPr>
      </w:pPr>
      <w:r w:rsidRPr="007A38AF">
        <w:rPr>
          <w:lang w:val="en-GB"/>
        </w:rPr>
        <w:t>A</w:t>
      </w:r>
      <w:r w:rsidR="007B6015" w:rsidRPr="007A38AF">
        <w:rPr>
          <w:lang w:val="en-GB"/>
        </w:rPr>
        <w:t xml:space="preserve"> major issue of the </w:t>
      </w:r>
      <w:r w:rsidRPr="007A38AF">
        <w:rPr>
          <w:lang w:val="en-GB"/>
        </w:rPr>
        <w:t>estimates</w:t>
      </w:r>
      <w:r w:rsidR="007B6015" w:rsidRPr="007A38AF">
        <w:rPr>
          <w:lang w:val="en-GB"/>
        </w:rPr>
        <w:t xml:space="preserve"> is that </w:t>
      </w:r>
      <w:r w:rsidRPr="007A38AF">
        <w:rPr>
          <w:lang w:val="en-GB"/>
        </w:rPr>
        <w:t>they</w:t>
      </w:r>
      <w:r w:rsidR="007B6015" w:rsidRPr="007A38AF">
        <w:rPr>
          <w:lang w:val="en-GB"/>
        </w:rPr>
        <w:t xml:space="preserve"> unreasonably substituted </w:t>
      </w:r>
      <w:r w:rsidR="00DA36A0" w:rsidRPr="007A38AF">
        <w:rPr>
          <w:lang w:val="en-GB"/>
        </w:rPr>
        <w:t>e</w:t>
      </w:r>
      <w:r w:rsidR="007B6015" w:rsidRPr="007A38AF">
        <w:rPr>
          <w:lang w:val="en-GB"/>
        </w:rPr>
        <w:t>ntrectinib 600</w:t>
      </w:r>
      <w:r w:rsidR="00265CCF">
        <w:rPr>
          <w:lang w:val="en-GB"/>
        </w:rPr>
        <w:t> </w:t>
      </w:r>
      <w:r w:rsidR="007B6015" w:rsidRPr="007A38AF">
        <w:rPr>
          <w:lang w:val="en-GB"/>
        </w:rPr>
        <w:t>mg, 90 pack</w:t>
      </w:r>
      <w:r w:rsidR="00DA36A0" w:rsidRPr="007A38AF">
        <w:rPr>
          <w:lang w:val="en-GB"/>
        </w:rPr>
        <w:t>,</w:t>
      </w:r>
      <w:r w:rsidR="007B6015" w:rsidRPr="007A38AF">
        <w:rPr>
          <w:lang w:val="en-GB"/>
        </w:rPr>
        <w:t xml:space="preserve"> with repotrectinib 40 mg, 120 pack</w:t>
      </w:r>
      <w:r w:rsidR="00AF40F8" w:rsidRPr="007A38AF">
        <w:rPr>
          <w:lang w:val="en-GB"/>
        </w:rPr>
        <w:t>,</w:t>
      </w:r>
      <w:r w:rsidR="007B6015" w:rsidRPr="007A38AF">
        <w:rPr>
          <w:lang w:val="en-GB"/>
        </w:rPr>
        <w:t xml:space="preserve"> in 40.1% of patients who need a dose reduction, </w:t>
      </w:r>
      <w:r w:rsidR="00032B46" w:rsidRPr="007A38AF">
        <w:rPr>
          <w:lang w:val="en-GB"/>
        </w:rPr>
        <w:t xml:space="preserve">thereby </w:t>
      </w:r>
      <w:r w:rsidR="007B6015" w:rsidRPr="007A38AF">
        <w:rPr>
          <w:lang w:val="en-GB"/>
        </w:rPr>
        <w:t>significantly underestimating the cost of repotrectinib</w:t>
      </w:r>
      <w:r w:rsidR="009B56E4" w:rsidRPr="007A38AF">
        <w:rPr>
          <w:lang w:val="en-GB"/>
        </w:rPr>
        <w:t xml:space="preserve"> based on the proposed flat pricing across forms</w:t>
      </w:r>
      <w:r w:rsidR="007B6015" w:rsidRPr="007A38AF">
        <w:rPr>
          <w:lang w:val="en-GB"/>
        </w:rPr>
        <w:t>.</w:t>
      </w:r>
      <w:r w:rsidR="00134745" w:rsidRPr="007A38AF">
        <w:rPr>
          <w:lang w:val="en-GB"/>
        </w:rPr>
        <w:t xml:space="preserve"> </w:t>
      </w:r>
      <w:r w:rsidR="00DA34EC" w:rsidRPr="007A38AF">
        <w:rPr>
          <w:lang w:val="en-GB"/>
        </w:rPr>
        <w:t>Based on the</w:t>
      </w:r>
      <w:r w:rsidR="00134745" w:rsidRPr="007A38AF">
        <w:rPr>
          <w:lang w:val="en-GB"/>
        </w:rPr>
        <w:t xml:space="preserve"> ratio</w:t>
      </w:r>
      <w:r w:rsidR="00DA34EC" w:rsidRPr="007A38AF">
        <w:rPr>
          <w:lang w:val="en-GB"/>
        </w:rPr>
        <w:t>s</w:t>
      </w:r>
      <w:r w:rsidR="00134745" w:rsidRPr="007A38AF">
        <w:rPr>
          <w:lang w:val="en-GB"/>
        </w:rPr>
        <w:t xml:space="preserve"> of script duration</w:t>
      </w:r>
      <w:r w:rsidR="00DA34EC" w:rsidRPr="007A38AF">
        <w:rPr>
          <w:lang w:val="en-GB"/>
        </w:rPr>
        <w:t xml:space="preserve">, one </w:t>
      </w:r>
      <w:r w:rsidR="00134745" w:rsidRPr="007A38AF">
        <w:rPr>
          <w:lang w:val="en-GB"/>
        </w:rPr>
        <w:t xml:space="preserve">entrectinib </w:t>
      </w:r>
      <w:r w:rsidR="00DA34EC" w:rsidRPr="007A38AF">
        <w:rPr>
          <w:lang w:val="en-GB"/>
        </w:rPr>
        <w:t xml:space="preserve">600 mg, 90 pack should be substituted with 2.25 </w:t>
      </w:r>
      <w:r w:rsidR="00134745" w:rsidRPr="007A38AF">
        <w:rPr>
          <w:lang w:val="en-GB"/>
        </w:rPr>
        <w:t xml:space="preserve">repotrectinib </w:t>
      </w:r>
      <w:r w:rsidR="00DA34EC" w:rsidRPr="007A38AF">
        <w:rPr>
          <w:lang w:val="en-GB"/>
        </w:rPr>
        <w:t>40 mg, 120</w:t>
      </w:r>
      <w:r w:rsidR="00265CCF">
        <w:rPr>
          <w:lang w:val="en-GB"/>
        </w:rPr>
        <w:t> </w:t>
      </w:r>
      <w:r w:rsidR="00DA34EC" w:rsidRPr="007A38AF">
        <w:rPr>
          <w:lang w:val="en-GB"/>
        </w:rPr>
        <w:t xml:space="preserve">pack </w:t>
      </w:r>
      <w:r w:rsidR="00134745" w:rsidRPr="007A38AF">
        <w:rPr>
          <w:lang w:val="en-GB"/>
        </w:rPr>
        <w:t xml:space="preserve">for the first dose reduction and </w:t>
      </w:r>
      <w:r w:rsidR="00DA34EC" w:rsidRPr="007A38AF">
        <w:rPr>
          <w:lang w:val="en-GB"/>
        </w:rPr>
        <w:t>3</w:t>
      </w:r>
      <w:r w:rsidR="00134745" w:rsidRPr="007A38AF">
        <w:rPr>
          <w:lang w:val="en-GB"/>
        </w:rPr>
        <w:t xml:space="preserve"> for the second dose reduction.</w:t>
      </w:r>
      <w:r w:rsidR="00F53B2B">
        <w:rPr>
          <w:lang w:val="en-GB"/>
        </w:rPr>
        <w:t xml:space="preserve"> The ESC </w:t>
      </w:r>
      <w:r w:rsidR="00041C5D">
        <w:rPr>
          <w:lang w:val="en-GB"/>
        </w:rPr>
        <w:t>considered</w:t>
      </w:r>
      <w:r w:rsidR="00F53B2B">
        <w:rPr>
          <w:lang w:val="en-GB"/>
        </w:rPr>
        <w:t xml:space="preserve"> the </w:t>
      </w:r>
      <w:r w:rsidR="00F53B2B" w:rsidRPr="007A38AF">
        <w:rPr>
          <w:lang w:val="en-GB"/>
        </w:rPr>
        <w:t xml:space="preserve">entrectinib </w:t>
      </w:r>
      <w:r w:rsidR="00F53B2B">
        <w:rPr>
          <w:lang w:val="en-GB"/>
        </w:rPr>
        <w:t>prescriptions should be substituted with repotrectinib at 4:9 in the first dose reduction, then 1:3 in the second dose reduction.</w:t>
      </w:r>
    </w:p>
    <w:p w14:paraId="2304E929" w14:textId="1D653DC0" w:rsidR="007B6015" w:rsidRPr="001A2B90" w:rsidRDefault="007B6015" w:rsidP="00940787">
      <w:pPr>
        <w:pStyle w:val="3-BodyText"/>
        <w:rPr>
          <w:szCs w:val="24"/>
        </w:rPr>
      </w:pPr>
      <w:r w:rsidRPr="007A38AF">
        <w:rPr>
          <w:szCs w:val="24"/>
        </w:rPr>
        <w:t xml:space="preserve">This issue </w:t>
      </w:r>
      <w:r w:rsidR="00A77510">
        <w:rPr>
          <w:szCs w:val="24"/>
        </w:rPr>
        <w:t xml:space="preserve">of a 1:1 substitution ration is that it </w:t>
      </w:r>
      <w:r w:rsidR="0062654A" w:rsidRPr="007A38AF">
        <w:rPr>
          <w:szCs w:val="24"/>
        </w:rPr>
        <w:t>creates a</w:t>
      </w:r>
      <w:r w:rsidRPr="007A38AF">
        <w:rPr>
          <w:szCs w:val="24"/>
        </w:rPr>
        <w:t xml:space="preserve"> false negative net cost,</w:t>
      </w:r>
      <w:r w:rsidR="00F72C43" w:rsidRPr="007A38AF">
        <w:rPr>
          <w:szCs w:val="24"/>
        </w:rPr>
        <w:t xml:space="preserve"> as due to the proposed flat pricing structure</w:t>
      </w:r>
      <w:r w:rsidR="008A261F" w:rsidRPr="007A38AF">
        <w:rPr>
          <w:szCs w:val="24"/>
        </w:rPr>
        <w:t xml:space="preserve"> in the submission</w:t>
      </w:r>
      <w:r w:rsidR="00F72C43" w:rsidRPr="007A38AF">
        <w:rPr>
          <w:szCs w:val="24"/>
        </w:rPr>
        <w:t xml:space="preserve">, </w:t>
      </w:r>
      <w:r w:rsidR="00D712F3" w:rsidRPr="007A38AF">
        <w:rPr>
          <w:szCs w:val="24"/>
        </w:rPr>
        <w:t xml:space="preserve">repotrectinib is more costly than entrectinib in dose reduction scenarios. </w:t>
      </w:r>
      <w:r w:rsidR="00612C1D" w:rsidRPr="007A38AF">
        <w:rPr>
          <w:szCs w:val="24"/>
        </w:rPr>
        <w:t>Given it was estimated that ~40% of patients treated with repotrectinib would require dose reductions, the financial implications of this may be substantial, but are unable to be estimated, as entrectinib dose reductions are achieved by taking fewer capsules (and extending how long a prescription lasts) and no specific dose reduction form is separately listed on the PBS</w:t>
      </w:r>
      <w:r w:rsidR="00CF3262" w:rsidRPr="007A38AF">
        <w:rPr>
          <w:szCs w:val="24"/>
        </w:rPr>
        <w:t>).</w:t>
      </w:r>
    </w:p>
    <w:p w14:paraId="1DDD1E3E" w14:textId="5773496E" w:rsidR="007B6015" w:rsidRPr="0098262F" w:rsidRDefault="007B6015" w:rsidP="007B6015">
      <w:pPr>
        <w:pStyle w:val="4-SubsectionHeading"/>
      </w:pPr>
      <w:bookmarkStart w:id="78" w:name="_Toc193124298"/>
      <w:r w:rsidRPr="0098262F">
        <w:t>Quality Use of Medicines</w:t>
      </w:r>
      <w:bookmarkEnd w:id="58"/>
      <w:bookmarkEnd w:id="78"/>
    </w:p>
    <w:p w14:paraId="204A8405" w14:textId="50DB4E35" w:rsidR="006E74D9" w:rsidRDefault="0059138D" w:rsidP="0059138D">
      <w:pPr>
        <w:pStyle w:val="3-BodyText"/>
      </w:pPr>
      <w:r w:rsidRPr="0059138D">
        <w:t xml:space="preserve">Repotrectinib is a TKI, and with TKIs already PBS-listed for </w:t>
      </w:r>
      <w:r w:rsidRPr="002777AB">
        <w:rPr>
          <w:i/>
          <w:iCs/>
        </w:rPr>
        <w:t>ROS1</w:t>
      </w:r>
      <w:r w:rsidRPr="00E36453">
        <w:t>-positive</w:t>
      </w:r>
      <w:r w:rsidRPr="0059138D">
        <w:t xml:space="preserve"> NSCLC, Australian clinicians have extensive experience managing these patients.</w:t>
      </w:r>
    </w:p>
    <w:p w14:paraId="34878FCC" w14:textId="77777777" w:rsidR="001C0CF4" w:rsidRDefault="00920BAE" w:rsidP="001C0CF4">
      <w:pPr>
        <w:pStyle w:val="3-BodyText"/>
      </w:pPr>
      <w:r>
        <w:t>S</w:t>
      </w:r>
      <w:r w:rsidR="00A72EFD" w:rsidRPr="00A72EFD">
        <w:t>afety concerns for repotrectinib are intended to be managed via routine risk minimisation measures</w:t>
      </w:r>
      <w:r w:rsidR="006673F2">
        <w:t xml:space="preserve"> as </w:t>
      </w:r>
      <w:r w:rsidR="00FD5D72">
        <w:t xml:space="preserve">presented in the </w:t>
      </w:r>
      <w:r>
        <w:t xml:space="preserve">Product Information </w:t>
      </w:r>
      <w:r w:rsidR="00FD5D72">
        <w:t xml:space="preserve">and </w:t>
      </w:r>
      <w:r>
        <w:t>Consumer Medicines Information</w:t>
      </w:r>
      <w:r w:rsidR="00FD5D72">
        <w:t xml:space="preserve"> documents.</w:t>
      </w:r>
      <w:bookmarkStart w:id="79" w:name="_Hlk103934877"/>
      <w:bookmarkStart w:id="80" w:name="_Toc193124301"/>
      <w:bookmarkEnd w:id="47"/>
    </w:p>
    <w:p w14:paraId="73EBA6D7" w14:textId="769CE719" w:rsidR="00EE732E" w:rsidRPr="00804F3F" w:rsidRDefault="00EE732E" w:rsidP="00EE732E">
      <w:pPr>
        <w:keepNext/>
        <w:numPr>
          <w:ilvl w:val="0"/>
          <w:numId w:val="1"/>
        </w:numPr>
        <w:spacing w:before="240" w:after="120"/>
        <w:jc w:val="left"/>
        <w:outlineLvl w:val="0"/>
        <w:rPr>
          <w:rFonts w:asciiTheme="minorHAnsi" w:hAnsiTheme="minorHAnsi"/>
          <w:b/>
          <w:snapToGrid w:val="0"/>
          <w:sz w:val="32"/>
          <w:szCs w:val="32"/>
        </w:rPr>
      </w:pPr>
      <w:bookmarkStart w:id="81" w:name="_Hlk76381249"/>
      <w:bookmarkEnd w:id="79"/>
      <w:r w:rsidRPr="00804F3F">
        <w:rPr>
          <w:rFonts w:asciiTheme="minorHAnsi" w:hAnsiTheme="minorHAnsi"/>
          <w:b/>
          <w:snapToGrid w:val="0"/>
          <w:sz w:val="32"/>
          <w:szCs w:val="32"/>
        </w:rPr>
        <w:lastRenderedPageBreak/>
        <w:t>PBAC Outcome</w:t>
      </w:r>
      <w:r>
        <w:rPr>
          <w:i/>
          <w:iCs/>
        </w:rPr>
        <w:t xml:space="preserve"> </w:t>
      </w:r>
    </w:p>
    <w:p w14:paraId="326C7B85" w14:textId="6077C49E" w:rsidR="00EE732E" w:rsidRPr="001A2B90" w:rsidRDefault="00EE732E" w:rsidP="00940787">
      <w:pPr>
        <w:pStyle w:val="3-BodyText"/>
        <w:numPr>
          <w:ilvl w:val="1"/>
          <w:numId w:val="1"/>
        </w:numPr>
        <w:rPr>
          <w:szCs w:val="24"/>
        </w:rPr>
      </w:pPr>
      <w:r w:rsidRPr="001A2B90">
        <w:rPr>
          <w:szCs w:val="24"/>
        </w:rPr>
        <w:t>The PBAC recommended</w:t>
      </w:r>
      <w:r w:rsidR="00F31FBC" w:rsidRPr="001A2B90">
        <w:rPr>
          <w:szCs w:val="24"/>
        </w:rPr>
        <w:t xml:space="preserve"> the General Schedule,</w:t>
      </w:r>
      <w:r w:rsidRPr="001A2B90">
        <w:rPr>
          <w:szCs w:val="24"/>
        </w:rPr>
        <w:t xml:space="preserve"> Authority Required</w:t>
      </w:r>
      <w:r w:rsidR="00E073BA" w:rsidRPr="001A2B90">
        <w:rPr>
          <w:szCs w:val="24"/>
        </w:rPr>
        <w:t xml:space="preserve"> (</w:t>
      </w:r>
      <w:r w:rsidR="002F5660">
        <w:rPr>
          <w:szCs w:val="24"/>
        </w:rPr>
        <w:t>written/</w:t>
      </w:r>
      <w:r w:rsidR="003338DB">
        <w:rPr>
          <w:szCs w:val="24"/>
        </w:rPr>
        <w:t xml:space="preserve">online PBS </w:t>
      </w:r>
      <w:proofErr w:type="gramStart"/>
      <w:r w:rsidR="003338DB">
        <w:rPr>
          <w:szCs w:val="24"/>
        </w:rPr>
        <w:t>authorities</w:t>
      </w:r>
      <w:proofErr w:type="gramEnd"/>
      <w:r w:rsidR="003338DB">
        <w:rPr>
          <w:szCs w:val="24"/>
        </w:rPr>
        <w:t xml:space="preserve"> system</w:t>
      </w:r>
      <w:r w:rsidR="00E073BA" w:rsidRPr="001A2B90">
        <w:rPr>
          <w:szCs w:val="24"/>
        </w:rPr>
        <w:t>)</w:t>
      </w:r>
      <w:r w:rsidRPr="001A2B90">
        <w:rPr>
          <w:szCs w:val="24"/>
        </w:rPr>
        <w:t xml:space="preserve"> </w:t>
      </w:r>
      <w:r w:rsidR="005D752B" w:rsidRPr="001A2B90">
        <w:rPr>
          <w:szCs w:val="24"/>
        </w:rPr>
        <w:t xml:space="preserve">PBS </w:t>
      </w:r>
      <w:r w:rsidRPr="001A2B90">
        <w:rPr>
          <w:szCs w:val="24"/>
        </w:rPr>
        <w:t>listing of repotrectinib for the treatment of adult patients with locally advanced (Stage IIIB) or metastatic (Stage IV) c-ROS proto-oncogene 1 (</w:t>
      </w:r>
      <w:r w:rsidRPr="001A2B90">
        <w:rPr>
          <w:i/>
          <w:iCs/>
          <w:szCs w:val="24"/>
        </w:rPr>
        <w:t>ROS1</w:t>
      </w:r>
      <w:r w:rsidRPr="001A2B90">
        <w:rPr>
          <w:szCs w:val="24"/>
        </w:rPr>
        <w:t xml:space="preserve">) positive non-small cell lung cancer (NSCLC). The PBAC considered that, </w:t>
      </w:r>
      <w:r w:rsidR="00E073BA" w:rsidRPr="001A2B90">
        <w:rPr>
          <w:szCs w:val="24"/>
        </w:rPr>
        <w:t>whilst there was</w:t>
      </w:r>
      <w:r w:rsidRPr="001A2B90">
        <w:rPr>
          <w:szCs w:val="24"/>
        </w:rPr>
        <w:t xml:space="preserve"> considerable heterogeneity and </w:t>
      </w:r>
      <w:r w:rsidR="005D752B" w:rsidRPr="001A2B90">
        <w:rPr>
          <w:szCs w:val="24"/>
        </w:rPr>
        <w:t xml:space="preserve">the </w:t>
      </w:r>
      <w:r w:rsidRPr="001A2B90">
        <w:rPr>
          <w:szCs w:val="24"/>
        </w:rPr>
        <w:t xml:space="preserve">uncertainty </w:t>
      </w:r>
      <w:r w:rsidR="005D752B" w:rsidRPr="001A2B90">
        <w:rPr>
          <w:szCs w:val="24"/>
        </w:rPr>
        <w:t xml:space="preserve">associated </w:t>
      </w:r>
      <w:r w:rsidR="005A14E4" w:rsidRPr="001A2B90">
        <w:rPr>
          <w:szCs w:val="24"/>
        </w:rPr>
        <w:t xml:space="preserve">with the </w:t>
      </w:r>
      <w:r w:rsidRPr="001A2B90">
        <w:rPr>
          <w:szCs w:val="24"/>
        </w:rPr>
        <w:t xml:space="preserve">clinical comparison, on balance it was likely repotrectinib provided similar health outcomes to entrectinib in the proposed population. </w:t>
      </w:r>
      <w:r w:rsidR="00A05B59" w:rsidRPr="001A2B90">
        <w:rPr>
          <w:szCs w:val="24"/>
        </w:rPr>
        <w:t xml:space="preserve">The PBAC’s recommendation was based </w:t>
      </w:r>
      <w:r w:rsidR="00E75C03" w:rsidRPr="001A2B90">
        <w:rPr>
          <w:szCs w:val="24"/>
        </w:rPr>
        <w:t>on, among other matters, its assessment that the cost effectiveness of repotrectinib would be acceptable if it were cost minimised to entrectinib</w:t>
      </w:r>
      <w:r w:rsidR="00C649F5" w:rsidRPr="001A2B90">
        <w:rPr>
          <w:szCs w:val="24"/>
        </w:rPr>
        <w:t>.</w:t>
      </w:r>
    </w:p>
    <w:p w14:paraId="6C017571" w14:textId="1A92012C" w:rsidR="00192F10" w:rsidRDefault="00192F10" w:rsidP="00940787">
      <w:pPr>
        <w:pStyle w:val="3-BodyText"/>
        <w:numPr>
          <w:ilvl w:val="1"/>
          <w:numId w:val="1"/>
        </w:numPr>
        <w:rPr>
          <w:snapToGrid w:val="0"/>
          <w:lang w:val="en-GB" w:eastAsia="en-US"/>
        </w:rPr>
      </w:pPr>
      <w:r>
        <w:rPr>
          <w:snapToGrid w:val="0"/>
          <w:lang w:val="en-GB" w:eastAsia="en-US"/>
        </w:rPr>
        <w:t xml:space="preserve">The PBAC considered the </w:t>
      </w:r>
      <w:proofErr w:type="spellStart"/>
      <w:r>
        <w:rPr>
          <w:snapToGrid w:val="0"/>
          <w:lang w:val="en-GB" w:eastAsia="en-US"/>
        </w:rPr>
        <w:t>equi</w:t>
      </w:r>
      <w:proofErr w:type="spellEnd"/>
      <w:r>
        <w:rPr>
          <w:snapToGrid w:val="0"/>
          <w:lang w:val="en-GB" w:eastAsia="en-US"/>
        </w:rPr>
        <w:t xml:space="preserve">-effective doses for the standard </w:t>
      </w:r>
      <w:r w:rsidR="00F72F0A">
        <w:rPr>
          <w:snapToGrid w:val="0"/>
          <w:lang w:val="en-GB" w:eastAsia="en-US"/>
        </w:rPr>
        <w:t xml:space="preserve">dosing regimen </w:t>
      </w:r>
      <w:r w:rsidR="003F7651">
        <w:rPr>
          <w:snapToGrid w:val="0"/>
          <w:lang w:val="en-GB" w:eastAsia="en-US"/>
        </w:rPr>
        <w:t>were</w:t>
      </w:r>
      <w:r w:rsidR="00F72F0A">
        <w:rPr>
          <w:snapToGrid w:val="0"/>
          <w:lang w:val="en-GB" w:eastAsia="en-US"/>
        </w:rPr>
        <w:t>:</w:t>
      </w:r>
    </w:p>
    <w:p w14:paraId="4051CC7C" w14:textId="7FAB9668" w:rsidR="00837412" w:rsidRDefault="00837412" w:rsidP="00940787">
      <w:pPr>
        <w:pStyle w:val="3-BodyText"/>
        <w:numPr>
          <w:ilvl w:val="0"/>
          <w:numId w:val="36"/>
        </w:numPr>
        <w:ind w:left="1134"/>
        <w:rPr>
          <w:snapToGrid w:val="0"/>
          <w:lang w:val="en-GB" w:eastAsia="en-US"/>
        </w:rPr>
      </w:pPr>
      <w:r w:rsidRPr="00837412">
        <w:rPr>
          <w:snapToGrid w:val="0"/>
          <w:lang w:val="en-GB" w:eastAsia="en-US"/>
        </w:rPr>
        <w:t>Repotrectinib 320 mg daily (given as 2</w:t>
      </w:r>
      <w:r w:rsidR="00F34DB6">
        <w:rPr>
          <w:snapToGrid w:val="0"/>
          <w:lang w:val="en-GB" w:eastAsia="en-US"/>
        </w:rPr>
        <w:t xml:space="preserve"> </w:t>
      </w:r>
      <w:r w:rsidR="00C649F5">
        <w:rPr>
          <w:snapToGrid w:val="0"/>
          <w:lang w:val="en-GB" w:eastAsia="en-US"/>
        </w:rPr>
        <w:t>x</w:t>
      </w:r>
      <w:r w:rsidRPr="00837412">
        <w:rPr>
          <w:snapToGrid w:val="0"/>
          <w:lang w:val="en-GB" w:eastAsia="en-US"/>
        </w:rPr>
        <w:t xml:space="preserve"> 160 mg doses); and</w:t>
      </w:r>
    </w:p>
    <w:p w14:paraId="33663830" w14:textId="36F7C6F3" w:rsidR="00837412" w:rsidRDefault="00C649F5" w:rsidP="00940787">
      <w:pPr>
        <w:pStyle w:val="3-BodyText"/>
        <w:numPr>
          <w:ilvl w:val="0"/>
          <w:numId w:val="36"/>
        </w:numPr>
        <w:ind w:left="1134"/>
        <w:rPr>
          <w:snapToGrid w:val="0"/>
          <w:lang w:val="en-GB" w:eastAsia="en-US"/>
        </w:rPr>
      </w:pPr>
      <w:r w:rsidRPr="00C649F5">
        <w:rPr>
          <w:snapToGrid w:val="0"/>
          <w:lang w:val="en-GB" w:eastAsia="en-US"/>
        </w:rPr>
        <w:t>Entrectinib 600 mg (once daily).</w:t>
      </w:r>
    </w:p>
    <w:p w14:paraId="4CB1F0A6" w14:textId="2755B120" w:rsidR="00C649F5" w:rsidRDefault="00C649F5" w:rsidP="00940787">
      <w:pPr>
        <w:pStyle w:val="3-BodyText"/>
        <w:numPr>
          <w:ilvl w:val="0"/>
          <w:numId w:val="0"/>
        </w:numPr>
        <w:ind w:left="720"/>
        <w:rPr>
          <w:snapToGrid w:val="0"/>
          <w:lang w:val="en-GB" w:eastAsia="en-US"/>
        </w:rPr>
      </w:pPr>
      <w:r>
        <w:rPr>
          <w:snapToGrid w:val="0"/>
          <w:lang w:val="en-GB" w:eastAsia="en-US"/>
        </w:rPr>
        <w:t>The PBAC considered it was reasonable for the</w:t>
      </w:r>
      <w:r w:rsidRPr="00C649F5">
        <w:rPr>
          <w:snapToGrid w:val="0"/>
          <w:lang w:val="en-GB" w:eastAsia="en-US"/>
        </w:rPr>
        <w:t xml:space="preserve"> cost of the</w:t>
      </w:r>
      <w:r>
        <w:rPr>
          <w:snapToGrid w:val="0"/>
          <w:lang w:val="en-GB" w:eastAsia="en-US"/>
        </w:rPr>
        <w:t xml:space="preserve"> repotrectinib</w:t>
      </w:r>
      <w:r w:rsidRPr="00C649F5">
        <w:rPr>
          <w:snapToGrid w:val="0"/>
          <w:lang w:val="en-GB" w:eastAsia="en-US"/>
        </w:rPr>
        <w:t xml:space="preserve"> dose reduction pack </w:t>
      </w:r>
      <w:r>
        <w:rPr>
          <w:snapToGrid w:val="0"/>
          <w:lang w:val="en-GB" w:eastAsia="en-US"/>
        </w:rPr>
        <w:t>to not</w:t>
      </w:r>
      <w:r w:rsidRPr="00C649F5">
        <w:rPr>
          <w:snapToGrid w:val="0"/>
          <w:lang w:val="en-GB" w:eastAsia="en-US"/>
        </w:rPr>
        <w:t xml:space="preserve"> exceed that of the standard dose pack on a cost per day basis.</w:t>
      </w:r>
    </w:p>
    <w:p w14:paraId="437258FD" w14:textId="70C5D9AE" w:rsidR="00344084" w:rsidRDefault="00344084" w:rsidP="00940787">
      <w:pPr>
        <w:pStyle w:val="3-BodyText"/>
        <w:numPr>
          <w:ilvl w:val="1"/>
          <w:numId w:val="1"/>
        </w:numPr>
        <w:rPr>
          <w:snapToGrid w:val="0"/>
          <w:lang w:val="en-GB" w:eastAsia="en-US"/>
        </w:rPr>
      </w:pPr>
      <w:r>
        <w:rPr>
          <w:snapToGrid w:val="0"/>
          <w:lang w:val="en-GB" w:eastAsia="en-US"/>
        </w:rPr>
        <w:t xml:space="preserve">For the purposes of Section 101(3B) of the </w:t>
      </w:r>
      <w:r>
        <w:rPr>
          <w:i/>
          <w:iCs/>
          <w:snapToGrid w:val="0"/>
          <w:lang w:val="en-GB" w:eastAsia="en-US"/>
        </w:rPr>
        <w:t>National Health Act 1953</w:t>
      </w:r>
      <w:r>
        <w:rPr>
          <w:snapToGrid w:val="0"/>
          <w:lang w:val="en-GB" w:eastAsia="en-US"/>
        </w:rPr>
        <w:t>, the PBAC considered crizotinib was not an alternative therapy to repotrectinib</w:t>
      </w:r>
      <w:r w:rsidR="004C46A8">
        <w:rPr>
          <w:snapToGrid w:val="0"/>
          <w:lang w:val="en-GB" w:eastAsia="en-US"/>
        </w:rPr>
        <w:t>.</w:t>
      </w:r>
      <w:r>
        <w:rPr>
          <w:snapToGrid w:val="0"/>
          <w:lang w:val="en-GB" w:eastAsia="en-US"/>
        </w:rPr>
        <w:t xml:space="preserve"> </w:t>
      </w:r>
      <w:r w:rsidR="004C46A8">
        <w:rPr>
          <w:snapToGrid w:val="0"/>
          <w:lang w:val="en-GB" w:eastAsia="en-US"/>
        </w:rPr>
        <w:t>The PBAC noted the nominated comparator, entrectinib, was listed on a cost minimisation basis with crizotinib, however considered that clinical guidelines have evolved and crizotinib</w:t>
      </w:r>
      <w:r w:rsidR="00636455">
        <w:rPr>
          <w:snapToGrid w:val="0"/>
          <w:lang w:val="en-GB" w:eastAsia="en-US"/>
        </w:rPr>
        <w:t xml:space="preserve"> is no longer considered a standard therapy</w:t>
      </w:r>
      <w:r w:rsidR="00EE7D71">
        <w:rPr>
          <w:snapToGrid w:val="0"/>
          <w:lang w:val="en-GB" w:eastAsia="en-US"/>
        </w:rPr>
        <w:t>. In addition, t</w:t>
      </w:r>
      <w:r w:rsidR="00636455">
        <w:rPr>
          <w:snapToGrid w:val="0"/>
          <w:lang w:val="en-GB" w:eastAsia="en-US"/>
        </w:rPr>
        <w:t>he Committee considered that</w:t>
      </w:r>
      <w:r w:rsidR="004C46A8">
        <w:rPr>
          <w:snapToGrid w:val="0"/>
          <w:lang w:val="en-GB" w:eastAsia="en-US"/>
        </w:rPr>
        <w:t xml:space="preserve"> </w:t>
      </w:r>
      <w:r w:rsidR="00636455">
        <w:rPr>
          <w:snapToGrid w:val="0"/>
          <w:lang w:val="en-GB" w:eastAsia="en-US"/>
        </w:rPr>
        <w:t>there are differences between</w:t>
      </w:r>
      <w:r w:rsidRPr="00344084">
        <w:rPr>
          <w:snapToGrid w:val="0"/>
          <w:lang w:val="en-GB" w:eastAsia="en-US"/>
        </w:rPr>
        <w:t xml:space="preserve"> repotrectinib and crizotinib, particularly with respect to their effectiveness in intracranial disease (with crizotinib being less effective in this context)</w:t>
      </w:r>
      <w:r w:rsidR="00636455">
        <w:rPr>
          <w:snapToGrid w:val="0"/>
          <w:lang w:val="en-GB" w:eastAsia="en-US"/>
        </w:rPr>
        <w:t>, and</w:t>
      </w:r>
      <w:r w:rsidR="00EE7D71">
        <w:rPr>
          <w:snapToGrid w:val="0"/>
          <w:lang w:val="en-GB" w:eastAsia="en-US"/>
        </w:rPr>
        <w:t xml:space="preserve"> there is a high risk of </w:t>
      </w:r>
      <w:r w:rsidR="00EE7D71">
        <w:rPr>
          <w:i/>
          <w:iCs/>
          <w:snapToGrid w:val="0"/>
          <w:lang w:val="en-GB" w:eastAsia="en-US"/>
        </w:rPr>
        <w:t>ROS1</w:t>
      </w:r>
      <w:r w:rsidR="00EE7D71">
        <w:rPr>
          <w:snapToGrid w:val="0"/>
          <w:lang w:val="en-GB" w:eastAsia="en-US"/>
        </w:rPr>
        <w:t xml:space="preserve"> NSCLC spreading to the central nervous system</w:t>
      </w:r>
      <w:r w:rsidRPr="00344084">
        <w:rPr>
          <w:snapToGrid w:val="0"/>
          <w:lang w:val="en-GB" w:eastAsia="en-US"/>
        </w:rPr>
        <w:t>.</w:t>
      </w:r>
      <w:r w:rsidR="007B2C3D">
        <w:rPr>
          <w:snapToGrid w:val="0"/>
          <w:lang w:val="en-GB" w:eastAsia="en-US"/>
        </w:rPr>
        <w:t xml:space="preserve"> </w:t>
      </w:r>
    </w:p>
    <w:p w14:paraId="06CB6913" w14:textId="260C5DAC" w:rsidR="00EE732E" w:rsidRDefault="00EE732E" w:rsidP="00940787">
      <w:pPr>
        <w:pStyle w:val="3-BodyText"/>
        <w:numPr>
          <w:ilvl w:val="1"/>
          <w:numId w:val="1"/>
        </w:numPr>
        <w:rPr>
          <w:snapToGrid w:val="0"/>
          <w:lang w:val="en-GB" w:eastAsia="en-US"/>
        </w:rPr>
      </w:pPr>
      <w:r w:rsidRPr="00874E8D">
        <w:rPr>
          <w:snapToGrid w:val="0"/>
          <w:lang w:val="en-GB" w:eastAsia="en-US"/>
        </w:rPr>
        <w:t xml:space="preserve">The PBAC noted the rarity of </w:t>
      </w:r>
      <w:r w:rsidRPr="00874E8D">
        <w:rPr>
          <w:i/>
          <w:iCs/>
          <w:snapToGrid w:val="0"/>
          <w:lang w:val="en-GB" w:eastAsia="en-US"/>
        </w:rPr>
        <w:t>ROS1</w:t>
      </w:r>
      <w:r w:rsidRPr="00874E8D">
        <w:rPr>
          <w:snapToGrid w:val="0"/>
          <w:lang w:val="en-GB" w:eastAsia="en-US"/>
        </w:rPr>
        <w:t xml:space="preserve"> positive NSCLC and</w:t>
      </w:r>
      <w:r w:rsidR="008E276A">
        <w:rPr>
          <w:snapToGrid w:val="0"/>
          <w:lang w:val="en-GB" w:eastAsia="en-US"/>
        </w:rPr>
        <w:t xml:space="preserve"> considered there remained a moderate clinical</w:t>
      </w:r>
      <w:r w:rsidRPr="00874E8D">
        <w:rPr>
          <w:snapToGrid w:val="0"/>
          <w:lang w:val="en-GB" w:eastAsia="en-US"/>
        </w:rPr>
        <w:t xml:space="preserve"> need for additional</w:t>
      </w:r>
      <w:r w:rsidR="008E276A">
        <w:rPr>
          <w:snapToGrid w:val="0"/>
          <w:lang w:val="en-GB" w:eastAsia="en-US"/>
        </w:rPr>
        <w:t xml:space="preserve"> effective</w:t>
      </w:r>
      <w:r w:rsidRPr="00874E8D">
        <w:rPr>
          <w:snapToGrid w:val="0"/>
          <w:lang w:val="en-GB" w:eastAsia="en-US"/>
        </w:rPr>
        <w:t xml:space="preserve"> therapies, which was supported by the consumer comments received. </w:t>
      </w:r>
    </w:p>
    <w:p w14:paraId="5FDBDC57" w14:textId="171CFDE0" w:rsidR="008E276A" w:rsidRPr="00874E8D" w:rsidRDefault="008E276A" w:rsidP="00940787">
      <w:pPr>
        <w:pStyle w:val="3-BodyText"/>
        <w:numPr>
          <w:ilvl w:val="1"/>
          <w:numId w:val="1"/>
        </w:numPr>
        <w:rPr>
          <w:snapToGrid w:val="0"/>
          <w:lang w:val="en-GB" w:eastAsia="en-US"/>
        </w:rPr>
      </w:pPr>
      <w:r>
        <w:rPr>
          <w:snapToGrid w:val="0"/>
          <w:lang w:val="en-GB" w:eastAsia="en-US"/>
        </w:rPr>
        <w:t xml:space="preserve">The PBAC noted the TGA Delegate’s Overview was received </w:t>
      </w:r>
      <w:r w:rsidR="00AB5EF8">
        <w:rPr>
          <w:snapToGrid w:val="0"/>
          <w:lang w:val="en-GB" w:eastAsia="en-US"/>
        </w:rPr>
        <w:t xml:space="preserve">after the ESC had provided its advice, </w:t>
      </w:r>
      <w:r w:rsidR="00000B19">
        <w:rPr>
          <w:snapToGrid w:val="0"/>
          <w:lang w:val="en-GB" w:eastAsia="en-US"/>
        </w:rPr>
        <w:t xml:space="preserve">and </w:t>
      </w:r>
      <w:r w:rsidR="00A517B1">
        <w:rPr>
          <w:snapToGrid w:val="0"/>
          <w:lang w:val="en-GB" w:eastAsia="en-US"/>
        </w:rPr>
        <w:t>noted</w:t>
      </w:r>
      <w:r w:rsidR="00000B19">
        <w:rPr>
          <w:snapToGrid w:val="0"/>
          <w:lang w:val="en-GB" w:eastAsia="en-US"/>
        </w:rPr>
        <w:t xml:space="preserve"> the Delegate considered that </w:t>
      </w:r>
      <w:r w:rsidR="004C44D9">
        <w:rPr>
          <w:snapToGrid w:val="0"/>
          <w:lang w:val="en-GB" w:eastAsia="en-US"/>
        </w:rPr>
        <w:t xml:space="preserve">as a package, the available data supports approval of an indication that is line agnostic (i.e. can be used after progression with another </w:t>
      </w:r>
      <w:r w:rsidR="004C44D9">
        <w:rPr>
          <w:i/>
          <w:iCs/>
          <w:snapToGrid w:val="0"/>
          <w:lang w:val="en-GB" w:eastAsia="en-US"/>
        </w:rPr>
        <w:t>ROS-1</w:t>
      </w:r>
      <w:r w:rsidR="004C44D9">
        <w:rPr>
          <w:snapToGrid w:val="0"/>
          <w:lang w:val="en-GB" w:eastAsia="en-US"/>
        </w:rPr>
        <w:t xml:space="preserve"> </w:t>
      </w:r>
      <w:r w:rsidR="000F0743">
        <w:rPr>
          <w:snapToGrid w:val="0"/>
          <w:lang w:val="en-GB" w:eastAsia="en-US"/>
        </w:rPr>
        <w:t xml:space="preserve">tyrosine kinase inhibitor (TKI)). On that basis, the PBAC considered it was reasonable to recommend a line agnostic listing for repotrectinib for </w:t>
      </w:r>
      <w:r w:rsidR="000F0743">
        <w:rPr>
          <w:i/>
          <w:iCs/>
          <w:snapToGrid w:val="0"/>
          <w:lang w:val="en-GB" w:eastAsia="en-US"/>
        </w:rPr>
        <w:t xml:space="preserve">ROS-1 </w:t>
      </w:r>
      <w:r w:rsidR="000F0743">
        <w:rPr>
          <w:snapToGrid w:val="0"/>
          <w:lang w:val="en-GB" w:eastAsia="en-US"/>
        </w:rPr>
        <w:t>NSCLC</w:t>
      </w:r>
      <w:r w:rsidR="00BB0ED3">
        <w:rPr>
          <w:snapToGrid w:val="0"/>
          <w:lang w:val="en-GB" w:eastAsia="en-US"/>
        </w:rPr>
        <w:t>, which would allow patients to use repotrectinib either as a first line option, or after progression with entrectinib or crizotinib</w:t>
      </w:r>
      <w:r w:rsidR="00E55D0E">
        <w:rPr>
          <w:snapToGrid w:val="0"/>
          <w:lang w:val="en-GB" w:eastAsia="en-US"/>
        </w:rPr>
        <w:t xml:space="preserve">, and acknowledged this would add an additional line of therapy for some patients. </w:t>
      </w:r>
      <w:r w:rsidR="0035524C">
        <w:rPr>
          <w:snapToGrid w:val="0"/>
          <w:lang w:val="en-GB" w:eastAsia="en-US"/>
        </w:rPr>
        <w:t xml:space="preserve">The Committee also noted a line agnostic listing would be consistent with the NCCN </w:t>
      </w:r>
      <w:r w:rsidR="00AE3DAF">
        <w:rPr>
          <w:snapToGrid w:val="0"/>
          <w:lang w:val="en-GB" w:eastAsia="en-US"/>
        </w:rPr>
        <w:t xml:space="preserve">clinical guidelines. </w:t>
      </w:r>
      <w:r w:rsidR="0004387B">
        <w:rPr>
          <w:snapToGrid w:val="0"/>
          <w:lang w:val="en-GB" w:eastAsia="en-US"/>
        </w:rPr>
        <w:t xml:space="preserve">However, the PBAC noted this recommendation was based on the Delegate’s Overview and may not reflect the final conditions of TGA </w:t>
      </w:r>
      <w:r w:rsidR="00616D45">
        <w:rPr>
          <w:snapToGrid w:val="0"/>
          <w:lang w:val="en-GB" w:eastAsia="en-US"/>
        </w:rPr>
        <w:t>registration and</w:t>
      </w:r>
      <w:r w:rsidR="0004387B">
        <w:rPr>
          <w:snapToGrid w:val="0"/>
          <w:lang w:val="en-GB" w:eastAsia="en-US"/>
        </w:rPr>
        <w:t xml:space="preserve"> considered that a first line listing of repotrectinib (as currently exists for crizotinib and entrectinib) was acceptable if the finalised TGA indication is limited </w:t>
      </w:r>
      <w:r w:rsidR="002E7F67">
        <w:rPr>
          <w:snapToGrid w:val="0"/>
          <w:lang w:val="en-GB" w:eastAsia="en-US"/>
        </w:rPr>
        <w:t xml:space="preserve">in such a </w:t>
      </w:r>
      <w:r w:rsidR="00F943CB">
        <w:rPr>
          <w:snapToGrid w:val="0"/>
          <w:lang w:val="en-GB" w:eastAsia="en-US"/>
        </w:rPr>
        <w:t>manner</w:t>
      </w:r>
      <w:r w:rsidR="002E7F67">
        <w:rPr>
          <w:snapToGrid w:val="0"/>
          <w:lang w:val="en-GB" w:eastAsia="en-US"/>
        </w:rPr>
        <w:t xml:space="preserve">. </w:t>
      </w:r>
      <w:r w:rsidR="001A6CA3">
        <w:rPr>
          <w:snapToGrid w:val="0"/>
          <w:lang w:val="en-GB" w:eastAsia="en-US"/>
        </w:rPr>
        <w:lastRenderedPageBreak/>
        <w:t>Hence</w:t>
      </w:r>
      <w:r w:rsidR="00BE760B">
        <w:rPr>
          <w:snapToGrid w:val="0"/>
          <w:lang w:val="en-GB" w:eastAsia="en-US"/>
        </w:rPr>
        <w:t xml:space="preserve"> </w:t>
      </w:r>
      <w:r w:rsidR="001A6CA3">
        <w:rPr>
          <w:snapToGrid w:val="0"/>
          <w:lang w:val="en-GB" w:eastAsia="en-US"/>
        </w:rPr>
        <w:t xml:space="preserve">the restrictions upon implementation </w:t>
      </w:r>
      <w:r w:rsidR="00BE760B">
        <w:rPr>
          <w:snapToGrid w:val="0"/>
          <w:lang w:val="en-GB" w:eastAsia="en-US"/>
        </w:rPr>
        <w:t xml:space="preserve">will </w:t>
      </w:r>
      <w:r w:rsidR="001A6CA3">
        <w:rPr>
          <w:snapToGrid w:val="0"/>
          <w:lang w:val="en-GB" w:eastAsia="en-US"/>
        </w:rPr>
        <w:t xml:space="preserve">reflect the final TGA </w:t>
      </w:r>
      <w:r w:rsidR="00BE760B">
        <w:rPr>
          <w:snapToGrid w:val="0"/>
          <w:lang w:val="en-GB" w:eastAsia="en-US"/>
        </w:rPr>
        <w:t>registration</w:t>
      </w:r>
      <w:r w:rsidR="00547F9D">
        <w:rPr>
          <w:snapToGrid w:val="0"/>
          <w:lang w:val="en-GB" w:eastAsia="en-US"/>
        </w:rPr>
        <w:t xml:space="preserve"> of either first line treatment or line agnostic listing</w:t>
      </w:r>
      <w:r w:rsidR="00BE760B">
        <w:rPr>
          <w:snapToGrid w:val="0"/>
          <w:lang w:val="en-GB" w:eastAsia="en-US"/>
        </w:rPr>
        <w:t>.</w:t>
      </w:r>
    </w:p>
    <w:p w14:paraId="2084035D" w14:textId="3182A679" w:rsidR="0016370A" w:rsidRPr="00646CF4" w:rsidRDefault="0016370A" w:rsidP="00940787">
      <w:pPr>
        <w:pStyle w:val="3-BodyText"/>
        <w:numPr>
          <w:ilvl w:val="1"/>
          <w:numId w:val="1"/>
        </w:numPr>
        <w:rPr>
          <w:snapToGrid w:val="0"/>
          <w:lang w:val="en-GB" w:eastAsia="en-US"/>
        </w:rPr>
      </w:pPr>
      <w:r w:rsidRPr="00874E8D">
        <w:rPr>
          <w:snapToGrid w:val="0"/>
          <w:lang w:val="en-GB" w:eastAsia="en-US"/>
        </w:rPr>
        <w:t xml:space="preserve">The PBAC noted the submission nominated </w:t>
      </w:r>
      <w:r>
        <w:t>e</w:t>
      </w:r>
      <w:r w:rsidRPr="007A38AF">
        <w:t xml:space="preserve">ntrectinib </w:t>
      </w:r>
      <w:r w:rsidRPr="00874E8D">
        <w:rPr>
          <w:snapToGrid w:val="0"/>
          <w:lang w:val="en-GB" w:eastAsia="en-US"/>
        </w:rPr>
        <w:t xml:space="preserve">as the main comparator </w:t>
      </w:r>
      <w:r>
        <w:rPr>
          <w:snapToGrid w:val="0"/>
          <w:lang w:val="en-GB" w:eastAsia="en-US"/>
        </w:rPr>
        <w:t xml:space="preserve">and considered this was reasonable. </w:t>
      </w:r>
    </w:p>
    <w:p w14:paraId="2C827D1F" w14:textId="2AE6D6EA" w:rsidR="00C24823" w:rsidRDefault="00646CF4" w:rsidP="00940787">
      <w:pPr>
        <w:pStyle w:val="3-BodyText"/>
        <w:numPr>
          <w:ilvl w:val="1"/>
          <w:numId w:val="1"/>
        </w:numPr>
      </w:pPr>
      <w:r>
        <w:t xml:space="preserve">The PBAC noted the clinical evidence </w:t>
      </w:r>
      <w:r w:rsidR="005742FA">
        <w:t xml:space="preserve">for </w:t>
      </w:r>
      <w:r>
        <w:t>repotrectinib was based on a non-comparative, open-label, multicentre phase 1/2 trial</w:t>
      </w:r>
      <w:r w:rsidR="00AB1670">
        <w:t xml:space="preserve">, </w:t>
      </w:r>
      <w:r w:rsidR="00DB58B5">
        <w:t>(</w:t>
      </w:r>
      <w:r w:rsidR="00AB1670">
        <w:t>TRIDENT-1</w:t>
      </w:r>
      <w:r w:rsidR="00DB58B5">
        <w:t xml:space="preserve"> - </w:t>
      </w:r>
      <w:r w:rsidR="00AB1670">
        <w:t>phase 2, n = 63 participants; phase 1 + phase 2, n = 71 participants)</w:t>
      </w:r>
      <w:r w:rsidR="00B23BAB">
        <w:t xml:space="preserve">. </w:t>
      </w:r>
      <w:r w:rsidR="00896F5D">
        <w:t>The PBAC noted the</w:t>
      </w:r>
      <w:r w:rsidR="00C24823">
        <w:t xml:space="preserve"> primary endpoint was objective response rate</w:t>
      </w:r>
      <w:r w:rsidR="00286CB2">
        <w:t xml:space="preserve">, resulting in </w:t>
      </w:r>
      <w:r w:rsidR="005F7877">
        <w:t>79% based on the data cut off of 3</w:t>
      </w:r>
      <w:r w:rsidR="003B2259">
        <w:t> </w:t>
      </w:r>
      <w:r w:rsidR="005F7877">
        <w:t xml:space="preserve">September </w:t>
      </w:r>
      <w:r w:rsidR="005F7877" w:rsidRPr="00790870">
        <w:t>2024.</w:t>
      </w:r>
      <w:r w:rsidR="004B1D86" w:rsidRPr="00790870">
        <w:t xml:space="preserve"> </w:t>
      </w:r>
      <w:r w:rsidR="00790870" w:rsidRPr="00790870">
        <w:t xml:space="preserve">It was further noted the sponsor </w:t>
      </w:r>
      <w:r w:rsidR="004B1D86" w:rsidRPr="00790870">
        <w:t>is currently recruiting participants for a randomised controlled trial comparing repotrectinib to crizotinib in patients with locally advanced or metastatic TKI-naïve ROS1-positive NSCLC</w:t>
      </w:r>
      <w:r w:rsidR="00790870" w:rsidRPr="00790870">
        <w:t xml:space="preserve">, named </w:t>
      </w:r>
      <w:r w:rsidR="004B1D86" w:rsidRPr="00790870">
        <w:t>TRIDENT-3</w:t>
      </w:r>
      <w:r w:rsidR="00790870" w:rsidRPr="00790870">
        <w:t>.</w:t>
      </w:r>
      <w:r w:rsidR="00790870">
        <w:t xml:space="preserve">  </w:t>
      </w:r>
    </w:p>
    <w:p w14:paraId="0800D124" w14:textId="594088DA" w:rsidR="00B23BAB" w:rsidRDefault="00792F16" w:rsidP="00940787">
      <w:pPr>
        <w:pStyle w:val="3-BodyText"/>
        <w:numPr>
          <w:ilvl w:val="1"/>
          <w:numId w:val="1"/>
        </w:numPr>
      </w:pPr>
      <w:r>
        <w:t xml:space="preserve">The PBAC noted the </w:t>
      </w:r>
      <w:r w:rsidRPr="002777AB">
        <w:t xml:space="preserve">considerable heterogeneity in terms of patient demographics, disease characteristics, and study follow-up durations, both between the repotrectinib and entrectinib studies, and between the entrectinib studies themselves, </w:t>
      </w:r>
      <w:proofErr w:type="gramStart"/>
      <w:r w:rsidRPr="002777AB">
        <w:t>making an assessment of</w:t>
      </w:r>
      <w:proofErr w:type="gramEnd"/>
      <w:r w:rsidRPr="002777AB">
        <w:t xml:space="preserve"> comparative effectiveness and safety difficult.</w:t>
      </w:r>
      <w:r w:rsidR="00B62589">
        <w:t xml:space="preserve"> The PBAC </w:t>
      </w:r>
      <w:r w:rsidR="00B23BAB" w:rsidRPr="00501CEF">
        <w:t xml:space="preserve">considered these issues introduced substantial uncertainty to the clinical comparisons, however considered that in the context of the rarity of </w:t>
      </w:r>
      <w:r w:rsidR="00B23BAB" w:rsidRPr="00B62589">
        <w:rPr>
          <w:i/>
          <w:iCs/>
        </w:rPr>
        <w:t>ROS1-</w:t>
      </w:r>
      <w:r w:rsidR="00B23BAB" w:rsidRPr="00501CEF">
        <w:t>positive NSCLC and evidence previously presented for entrectinib being of similar quality, that the available evidence for repotrectinib, including the matching-adjusted indirect comparison (MAIC) presented alongside the submission,</w:t>
      </w:r>
      <w:r w:rsidR="00043C2D">
        <w:t xml:space="preserve"> whils</w:t>
      </w:r>
      <w:r w:rsidR="004E7EF5">
        <w:t>t uncertain</w:t>
      </w:r>
      <w:r w:rsidR="00B23BAB" w:rsidRPr="00501CEF">
        <w:t xml:space="preserve"> </w:t>
      </w:r>
      <w:r w:rsidR="004E7EF5">
        <w:t>were</w:t>
      </w:r>
      <w:r w:rsidR="00B23BAB" w:rsidRPr="00501CEF">
        <w:t xml:space="preserve"> adequate to assess the clinical claims</w:t>
      </w:r>
      <w:r w:rsidR="004E7EF5">
        <w:t xml:space="preserve"> in the context of the rarity of </w:t>
      </w:r>
      <w:r w:rsidR="000B6CDA">
        <w:rPr>
          <w:i/>
          <w:iCs/>
        </w:rPr>
        <w:t xml:space="preserve">ROS-1 </w:t>
      </w:r>
      <w:r w:rsidR="000B6CDA">
        <w:t>NSCLC</w:t>
      </w:r>
      <w:r w:rsidR="00292CB1">
        <w:t xml:space="preserve">. </w:t>
      </w:r>
      <w:r w:rsidR="000B6CDA" w:rsidRPr="000B6CDA">
        <w:t>The PBAC considered the available data from the unanchored, unadjusted comparison of repotrectinib and entrectinib (Tab</w:t>
      </w:r>
      <w:r w:rsidR="000B6CDA">
        <w:t>le 4</w:t>
      </w:r>
      <w:r w:rsidR="000B6CDA" w:rsidRPr="000B6CDA">
        <w:t xml:space="preserve">) suggested similar outcomes in terms of objective response rate (ORR), with repotrectinib achieving an ORR of 79% (TRIDENT-1 phase 1&amp;2) and entrectinib achieving ORRs of 68% (integrated analysis) and 82% (BFAST analysis). The PBAC noted progression free survival (PFS) and overall survival (OS) results were more variable but also more uncertain, with 95% confidence intervals not estimable in many cases. The PBAC considered the matching-adjusted analyses presented in the submission and discussed in the PSCR (paragraph </w:t>
      </w:r>
      <w:r w:rsidR="000B6CDA">
        <w:fldChar w:fldCharType="begin"/>
      </w:r>
      <w:r w:rsidR="000B6CDA">
        <w:instrText xml:space="preserve"> REF _Ref198111388 \r \h </w:instrText>
      </w:r>
      <w:r w:rsidR="000B6CDA">
        <w:fldChar w:fldCharType="separate"/>
      </w:r>
      <w:r w:rsidR="00D32E93">
        <w:t>6.25</w:t>
      </w:r>
      <w:r w:rsidR="000B6CDA">
        <w:fldChar w:fldCharType="end"/>
      </w:r>
      <w:r w:rsidR="000B6CDA">
        <w:t>-</w:t>
      </w:r>
      <w:r w:rsidR="000B6CDA">
        <w:fldChar w:fldCharType="begin"/>
      </w:r>
      <w:r w:rsidR="000B6CDA">
        <w:instrText xml:space="preserve"> REF _Ref198211608 \r \h </w:instrText>
      </w:r>
      <w:r w:rsidR="000B6CDA">
        <w:fldChar w:fldCharType="separate"/>
      </w:r>
      <w:r w:rsidR="00D32E93">
        <w:t>6.26</w:t>
      </w:r>
      <w:r w:rsidR="000B6CDA">
        <w:fldChar w:fldCharType="end"/>
      </w:r>
      <w:r w:rsidR="000B6CDA" w:rsidRPr="000B6CDA">
        <w:t>) were additionally supportive for the assessing the clinical claim. Overall, the PBAC considered it was reasonable to conclude that repotrectinib and entrectinib, on balance, are likely of non-inferior comparative effectiveness.</w:t>
      </w:r>
    </w:p>
    <w:p w14:paraId="531F06E9" w14:textId="178ADB04" w:rsidR="009D05AA" w:rsidRPr="00E63EA7" w:rsidRDefault="009D05AA" w:rsidP="00940787">
      <w:pPr>
        <w:pStyle w:val="3-BodyText"/>
        <w:numPr>
          <w:ilvl w:val="1"/>
          <w:numId w:val="1"/>
        </w:numPr>
        <w:rPr>
          <w:snapToGrid w:val="0"/>
          <w:lang w:val="en-GB" w:eastAsia="en-US"/>
        </w:rPr>
      </w:pPr>
      <w:r>
        <w:t>The PBAC considered it was difficult to assess the comparative safety</w:t>
      </w:r>
      <w:r w:rsidR="00953D7B">
        <w:t xml:space="preserve"> of repotrectinib and </w:t>
      </w:r>
      <w:r w:rsidR="00B7581D">
        <w:t>entrectinib</w:t>
      </w:r>
      <w:r w:rsidR="006E5332">
        <w:t xml:space="preserve">. </w:t>
      </w:r>
      <w:r w:rsidR="005322BF">
        <w:t>However</w:t>
      </w:r>
      <w:r w:rsidR="006E5332">
        <w:t>,</w:t>
      </w:r>
      <w:r w:rsidR="005322BF">
        <w:t xml:space="preserve"> the PBAC considered the </w:t>
      </w:r>
      <w:r w:rsidR="00300F95">
        <w:t xml:space="preserve">limited data provided </w:t>
      </w:r>
      <w:r w:rsidR="00622744">
        <w:t xml:space="preserve">did not raise any substantial concerns that the safety profile for repotrectinib would be worse than </w:t>
      </w:r>
      <w:r w:rsidR="0067302B">
        <w:t xml:space="preserve">that of </w:t>
      </w:r>
      <w:r w:rsidR="00622744">
        <w:t>entrectinib</w:t>
      </w:r>
      <w:r w:rsidR="0067302B">
        <w:t xml:space="preserve"> and considered the c</w:t>
      </w:r>
      <w:r w:rsidR="005322BF">
        <w:t xml:space="preserve">laim of non-inferior </w:t>
      </w:r>
      <w:r w:rsidR="00425586">
        <w:t xml:space="preserve">to entrectinib </w:t>
      </w:r>
      <w:r w:rsidR="00F43B96">
        <w:t>was</w:t>
      </w:r>
      <w:r w:rsidR="00B7581D">
        <w:t>, on balance, likely to be</w:t>
      </w:r>
      <w:r w:rsidR="00F43B96">
        <w:t xml:space="preserve"> reasonable</w:t>
      </w:r>
      <w:r w:rsidR="0067302B">
        <w:t>.</w:t>
      </w:r>
      <w:r w:rsidR="00F43B96">
        <w:t xml:space="preserve"> </w:t>
      </w:r>
    </w:p>
    <w:p w14:paraId="2724C514" w14:textId="6C0F27F3" w:rsidR="0016370A" w:rsidRPr="006E534F" w:rsidRDefault="0016370A" w:rsidP="00940787">
      <w:pPr>
        <w:pStyle w:val="3-BodyText"/>
        <w:numPr>
          <w:ilvl w:val="1"/>
          <w:numId w:val="1"/>
        </w:numPr>
        <w:rPr>
          <w:snapToGrid w:val="0"/>
          <w:lang w:val="en-GB" w:eastAsia="en-US"/>
        </w:rPr>
      </w:pPr>
      <w:r>
        <w:t>T</w:t>
      </w:r>
      <w:r w:rsidRPr="007A38AF">
        <w:t xml:space="preserve">he </w:t>
      </w:r>
      <w:r>
        <w:t xml:space="preserve">PBAC </w:t>
      </w:r>
      <w:r w:rsidR="00B0087B">
        <w:t>considered the submission cost minimisation approach</w:t>
      </w:r>
      <w:r w:rsidR="00A11C57">
        <w:t xml:space="preserve"> (CMA)</w:t>
      </w:r>
      <w:r w:rsidR="00BE35D5">
        <w:t xml:space="preserve"> of repotrectinib and entrectinib, based on an</w:t>
      </w:r>
      <w:r>
        <w:t xml:space="preserve"> equivalent cost per day compared to entrectinib </w:t>
      </w:r>
      <w:r w:rsidR="00BE35D5">
        <w:t>for</w:t>
      </w:r>
      <w:r>
        <w:t xml:space="preserve"> the steady-state dosing of 600</w:t>
      </w:r>
      <w:r w:rsidR="00771D46">
        <w:t> </w:t>
      </w:r>
      <w:r>
        <w:t>mg (once daily) for entrectinib and 320</w:t>
      </w:r>
      <w:r w:rsidR="00771D46">
        <w:t> </w:t>
      </w:r>
      <w:r>
        <w:t>mg (160</w:t>
      </w:r>
      <w:r w:rsidR="00771D46">
        <w:t> </w:t>
      </w:r>
      <w:r>
        <w:t>mg twice daily) for repotrectinib</w:t>
      </w:r>
      <w:r w:rsidR="00BE35D5">
        <w:t xml:space="preserve"> was reasonable</w:t>
      </w:r>
      <w:r>
        <w:t>.</w:t>
      </w:r>
      <w:r w:rsidR="00425C05">
        <w:t xml:space="preserve"> </w:t>
      </w:r>
      <w:r w:rsidR="00D0589D">
        <w:t>In addition,</w:t>
      </w:r>
      <w:r>
        <w:t xml:space="preserve"> </w:t>
      </w:r>
      <w:r w:rsidR="00425C05">
        <w:t>t</w:t>
      </w:r>
      <w:r>
        <w:t xml:space="preserve">he PBAC </w:t>
      </w:r>
      <w:r>
        <w:lastRenderedPageBreak/>
        <w:t>noted the dose reduction requirements for repotrectinib</w:t>
      </w:r>
      <w:r w:rsidR="007A29DD">
        <w:t xml:space="preserve"> (which the clinical trials suggest may occur in ~40% of patients)</w:t>
      </w:r>
      <w:r>
        <w:t xml:space="preserve"> and </w:t>
      </w:r>
      <w:r w:rsidR="007A29DD">
        <w:t xml:space="preserve">considered </w:t>
      </w:r>
      <w:r w:rsidR="000D2013">
        <w:t xml:space="preserve">the original submission proposal of a flat pricing arrangement for the dose reduction pack was not </w:t>
      </w:r>
      <w:r w:rsidR="007D377D">
        <w:t xml:space="preserve">reasonable, given such an approach resulted in a substantially higher treatment cost per day </w:t>
      </w:r>
      <w:r w:rsidR="003B45C3">
        <w:t>in dose reduction scenarios</w:t>
      </w:r>
      <w:r w:rsidR="006C3FC4">
        <w:t xml:space="preserve"> and a substantial proportion of the population was expected to require a dose reduction. </w:t>
      </w:r>
      <w:r w:rsidR="00C61A63">
        <w:t>The PBAC considered it</w:t>
      </w:r>
      <w:r w:rsidR="007A29DD">
        <w:t xml:space="preserve"> was reasonable for the dose reduction pack to be priced based on a</w:t>
      </w:r>
      <w:r>
        <w:t xml:space="preserve"> weighted cost per day, equally applied across two dose reductions </w:t>
      </w:r>
      <w:r w:rsidR="00C61A63">
        <w:t>to achieve price parity</w:t>
      </w:r>
      <w:r>
        <w:t xml:space="preserve"> with the standard dose</w:t>
      </w:r>
      <w:r w:rsidR="00B0087B">
        <w:t xml:space="preserve"> on a cost per day basis</w:t>
      </w:r>
      <w:r>
        <w:t xml:space="preserve"> (as discussed in </w:t>
      </w:r>
      <w:r>
        <w:fldChar w:fldCharType="begin"/>
      </w:r>
      <w:r>
        <w:instrText xml:space="preserve"> REF _Ref198038105 \r \h </w:instrText>
      </w:r>
      <w:r>
        <w:fldChar w:fldCharType="separate"/>
      </w:r>
      <w:r w:rsidR="00D32E93">
        <w:t>6.50</w:t>
      </w:r>
      <w:r>
        <w:fldChar w:fldCharType="end"/>
      </w:r>
      <w:r>
        <w:t>)</w:t>
      </w:r>
      <w:r w:rsidR="007A29DD">
        <w:t>.</w:t>
      </w:r>
      <w:r>
        <w:t xml:space="preserve"> </w:t>
      </w:r>
    </w:p>
    <w:p w14:paraId="317B9F61" w14:textId="18A7E307" w:rsidR="00757646" w:rsidRPr="00E61DCA" w:rsidRDefault="00757646" w:rsidP="00940787">
      <w:pPr>
        <w:pStyle w:val="3-BodyText"/>
        <w:numPr>
          <w:ilvl w:val="1"/>
          <w:numId w:val="1"/>
        </w:numPr>
      </w:pPr>
      <w:r w:rsidRPr="00F846F5">
        <w:t xml:space="preserve">The PBAC considered the estimated utilisation of </w:t>
      </w:r>
      <w:r>
        <w:t xml:space="preserve">repotrectinib </w:t>
      </w:r>
      <w:r w:rsidRPr="00F846F5">
        <w:t xml:space="preserve">provided in the submission </w:t>
      </w:r>
      <w:r>
        <w:t>required modification</w:t>
      </w:r>
      <w:r w:rsidR="00162075">
        <w:t xml:space="preserve"> to accurately reflect the substitution rate. </w:t>
      </w:r>
      <w:r w:rsidR="00162075">
        <w:rPr>
          <w:lang w:val="en-GB"/>
        </w:rPr>
        <w:t xml:space="preserve">The </w:t>
      </w:r>
      <w:r w:rsidR="0020672A">
        <w:rPr>
          <w:lang w:val="en-GB"/>
        </w:rPr>
        <w:t>PBAC noted</w:t>
      </w:r>
      <w:r w:rsidR="00162075">
        <w:rPr>
          <w:lang w:val="en-GB"/>
        </w:rPr>
        <w:t xml:space="preserve"> the</w:t>
      </w:r>
      <w:r w:rsidR="0020672A">
        <w:rPr>
          <w:lang w:val="en-GB"/>
        </w:rPr>
        <w:t xml:space="preserve"> </w:t>
      </w:r>
      <w:r w:rsidR="00162075">
        <w:rPr>
          <w:lang w:val="en-GB"/>
        </w:rPr>
        <w:t xml:space="preserve">ESC </w:t>
      </w:r>
      <w:r w:rsidR="0020672A">
        <w:rPr>
          <w:lang w:val="en-GB"/>
        </w:rPr>
        <w:t xml:space="preserve">advice and considered </w:t>
      </w:r>
      <w:r w:rsidR="00162075">
        <w:rPr>
          <w:lang w:val="en-GB"/>
        </w:rPr>
        <w:t xml:space="preserve">the </w:t>
      </w:r>
      <w:r w:rsidR="00162075" w:rsidRPr="007A38AF">
        <w:rPr>
          <w:lang w:val="en-GB"/>
        </w:rPr>
        <w:t xml:space="preserve">entrectinib </w:t>
      </w:r>
      <w:r w:rsidR="00162075">
        <w:rPr>
          <w:lang w:val="en-GB"/>
        </w:rPr>
        <w:t>prescriptions should be substituted with repotrectinib at 4:9 in the first dose reduction, then 1:3 in the second dose reduction</w:t>
      </w:r>
      <w:r w:rsidR="0020672A">
        <w:rPr>
          <w:lang w:val="en-GB"/>
        </w:rPr>
        <w:t xml:space="preserve">. </w:t>
      </w:r>
    </w:p>
    <w:p w14:paraId="02C5263B" w14:textId="5D709FCC" w:rsidR="004E079F" w:rsidRDefault="00A10267" w:rsidP="00940787">
      <w:pPr>
        <w:pStyle w:val="3-BodyText"/>
        <w:rPr>
          <w:snapToGrid w:val="0"/>
          <w:lang w:val="en-GB" w:eastAsia="en-US"/>
        </w:rPr>
      </w:pPr>
      <w:r>
        <w:rPr>
          <w:snapToGrid w:val="0"/>
          <w:lang w:val="en-GB" w:eastAsia="en-US"/>
        </w:rPr>
        <w:t xml:space="preserve">The PBAC noted that flow-on changes to the immunotherapy listings would be required to </w:t>
      </w:r>
      <w:r w:rsidRPr="00A21E6E">
        <w:rPr>
          <w:snapToGrid w:val="0"/>
          <w:lang w:val="en-GB" w:eastAsia="en-US"/>
        </w:rPr>
        <w:t xml:space="preserve">allow </w:t>
      </w:r>
      <w:r w:rsidRPr="00A21E6E">
        <w:rPr>
          <w:i/>
          <w:iCs/>
          <w:snapToGrid w:val="0"/>
          <w:lang w:val="en-GB" w:eastAsia="en-US"/>
        </w:rPr>
        <w:t>ROS1</w:t>
      </w:r>
      <w:r w:rsidR="00624AB7">
        <w:rPr>
          <w:snapToGrid w:val="0"/>
          <w:lang w:val="en-GB" w:eastAsia="en-US"/>
        </w:rPr>
        <w:t>-</w:t>
      </w:r>
      <w:r w:rsidRPr="00A21E6E">
        <w:rPr>
          <w:snapToGrid w:val="0"/>
          <w:lang w:val="en-GB" w:eastAsia="en-US"/>
        </w:rPr>
        <w:t>positive NSCLC patients treated with repotrectinib</w:t>
      </w:r>
      <w:r>
        <w:rPr>
          <w:snapToGrid w:val="0"/>
          <w:lang w:val="en-GB" w:eastAsia="en-US"/>
        </w:rPr>
        <w:t xml:space="preserve">, </w:t>
      </w:r>
      <w:r w:rsidRPr="00A21E6E">
        <w:rPr>
          <w:snapToGrid w:val="0"/>
          <w:lang w:val="en-GB" w:eastAsia="en-US"/>
        </w:rPr>
        <w:t xml:space="preserve">entrectinib or crizotinib as their first-line therapy to access </w:t>
      </w:r>
      <w:r w:rsidR="00E02AF5">
        <w:rPr>
          <w:snapToGrid w:val="0"/>
          <w:lang w:val="en-GB" w:eastAsia="en-US"/>
        </w:rPr>
        <w:t xml:space="preserve">immunotherapies </w:t>
      </w:r>
      <w:r w:rsidRPr="00A21E6E">
        <w:rPr>
          <w:snapToGrid w:val="0"/>
          <w:lang w:val="en-GB" w:eastAsia="en-US"/>
        </w:rPr>
        <w:t>as a potential second</w:t>
      </w:r>
      <w:r w:rsidR="003D568F">
        <w:rPr>
          <w:snapToGrid w:val="0"/>
          <w:lang w:val="en-GB" w:eastAsia="en-US"/>
        </w:rPr>
        <w:t xml:space="preserve"> (or later</w:t>
      </w:r>
      <w:r w:rsidR="004765D3">
        <w:rPr>
          <w:snapToGrid w:val="0"/>
          <w:lang w:val="en-GB" w:eastAsia="en-US"/>
        </w:rPr>
        <w:t>) line</w:t>
      </w:r>
      <w:r w:rsidRPr="00A21E6E">
        <w:rPr>
          <w:snapToGrid w:val="0"/>
          <w:lang w:val="en-GB" w:eastAsia="en-US"/>
        </w:rPr>
        <w:t xml:space="preserve"> treatment upon disease progression.</w:t>
      </w:r>
      <w:r>
        <w:rPr>
          <w:snapToGrid w:val="0"/>
          <w:lang w:val="en-GB" w:eastAsia="en-US"/>
        </w:rPr>
        <w:t xml:space="preserve"> </w:t>
      </w:r>
      <w:r w:rsidR="00E02AF5">
        <w:rPr>
          <w:snapToGrid w:val="0"/>
          <w:lang w:val="en-GB" w:eastAsia="en-US"/>
        </w:rPr>
        <w:t xml:space="preserve">More information is outlined in the recommended listing in section 8. </w:t>
      </w:r>
      <w:r w:rsidR="4B195AB5">
        <w:rPr>
          <w:snapToGrid w:val="0"/>
          <w:lang w:val="en-GB" w:eastAsia="en-US"/>
        </w:rPr>
        <w:t xml:space="preserve">In addition, the PBAC </w:t>
      </w:r>
      <w:r w:rsidR="380D59EC">
        <w:rPr>
          <w:snapToGrid w:val="0"/>
          <w:lang w:val="en-GB" w:eastAsia="en-US"/>
        </w:rPr>
        <w:t xml:space="preserve">recommended the line agnostic </w:t>
      </w:r>
      <w:r w:rsidR="236275F8">
        <w:rPr>
          <w:snapToGrid w:val="0"/>
          <w:lang w:val="en-GB" w:eastAsia="en-US"/>
        </w:rPr>
        <w:t xml:space="preserve">listing of repotrectinib be affected by </w:t>
      </w:r>
      <w:r w:rsidR="5D81C2FE">
        <w:rPr>
          <w:snapToGrid w:val="0"/>
          <w:lang w:val="en-GB" w:eastAsia="en-US"/>
        </w:rPr>
        <w:t>not including the criteria tha</w:t>
      </w:r>
      <w:r w:rsidR="4B164632">
        <w:rPr>
          <w:snapToGrid w:val="0"/>
          <w:lang w:val="en-GB" w:eastAsia="en-US"/>
        </w:rPr>
        <w:t>t currently apply to the listings of crizotinib and entrectinib that</w:t>
      </w:r>
      <w:r w:rsidR="7CC253CB">
        <w:rPr>
          <w:snapToGrid w:val="0"/>
          <w:lang w:val="en-GB" w:eastAsia="en-US"/>
        </w:rPr>
        <w:t xml:space="preserve"> the patient must not have received prior treatment with a ROS1 TKI or </w:t>
      </w:r>
      <w:r w:rsidR="787D2441">
        <w:rPr>
          <w:snapToGrid w:val="0"/>
          <w:lang w:val="en-GB" w:eastAsia="en-US"/>
        </w:rPr>
        <w:t xml:space="preserve">have developed intolerance necessitating permanent treatment withdrawal. </w:t>
      </w:r>
      <w:r w:rsidR="7806E488">
        <w:rPr>
          <w:snapToGrid w:val="0"/>
          <w:lang w:val="en-GB" w:eastAsia="en-US"/>
        </w:rPr>
        <w:t>Th</w:t>
      </w:r>
      <w:r w:rsidR="2C2AEC7A">
        <w:rPr>
          <w:snapToGrid w:val="0"/>
          <w:lang w:val="en-GB" w:eastAsia="en-US"/>
        </w:rPr>
        <w:t xml:space="preserve">e Committee further advised that </w:t>
      </w:r>
      <w:r w:rsidR="164E0971">
        <w:rPr>
          <w:snapToGrid w:val="0"/>
          <w:lang w:val="en-GB" w:eastAsia="en-US"/>
        </w:rPr>
        <w:t xml:space="preserve">it was appropriate for these </w:t>
      </w:r>
      <w:r w:rsidR="66BDF106">
        <w:rPr>
          <w:snapToGrid w:val="0"/>
          <w:lang w:val="en-GB" w:eastAsia="en-US"/>
        </w:rPr>
        <w:t>criteria to be retained for crizotinib and entrectinib</w:t>
      </w:r>
      <w:r w:rsidR="3C5ACC19">
        <w:rPr>
          <w:snapToGrid w:val="0"/>
          <w:lang w:val="en-GB" w:eastAsia="en-US"/>
        </w:rPr>
        <w:t xml:space="preserve"> as they are registered as first line treatment</w:t>
      </w:r>
      <w:r w:rsidR="66BDF106">
        <w:rPr>
          <w:snapToGrid w:val="0"/>
          <w:lang w:val="en-GB" w:eastAsia="en-US"/>
        </w:rPr>
        <w:t xml:space="preserve">. </w:t>
      </w:r>
    </w:p>
    <w:p w14:paraId="065554FE" w14:textId="0AE1BBBA" w:rsidR="001F2192" w:rsidRDefault="001F2192" w:rsidP="00940787">
      <w:pPr>
        <w:pStyle w:val="3-BodyText"/>
        <w:rPr>
          <w:snapToGrid w:val="0"/>
          <w:lang w:val="en-GB" w:eastAsia="en-US"/>
        </w:rPr>
      </w:pPr>
      <w:r>
        <w:rPr>
          <w:snapToGrid w:val="0"/>
          <w:lang w:val="en-GB" w:eastAsia="en-US"/>
        </w:rPr>
        <w:t xml:space="preserve">The PBAC advised that, under Section 101(3BA) of the </w:t>
      </w:r>
      <w:r>
        <w:rPr>
          <w:i/>
          <w:iCs/>
          <w:snapToGrid w:val="0"/>
          <w:lang w:val="en-GB" w:eastAsia="en-US"/>
        </w:rPr>
        <w:t>National Health Act 1953</w:t>
      </w:r>
      <w:r>
        <w:rPr>
          <w:snapToGrid w:val="0"/>
          <w:lang w:val="en-GB" w:eastAsia="en-US"/>
        </w:rPr>
        <w:t xml:space="preserve">, that </w:t>
      </w:r>
      <w:r w:rsidR="00491A89">
        <w:rPr>
          <w:snapToGrid w:val="0"/>
          <w:lang w:val="en-GB" w:eastAsia="en-US"/>
        </w:rPr>
        <w:t xml:space="preserve">repotrectinib should not be treated as interchangeable with any other drugs. </w:t>
      </w:r>
    </w:p>
    <w:p w14:paraId="7D69DE24" w14:textId="0C71D717" w:rsidR="001426A5" w:rsidRDefault="0070174A" w:rsidP="00940787">
      <w:pPr>
        <w:pStyle w:val="3-BodyText"/>
        <w:rPr>
          <w:snapToGrid w:val="0"/>
          <w:lang w:val="en-GB" w:eastAsia="en-US"/>
        </w:rPr>
      </w:pPr>
      <w:r w:rsidRPr="001426A5">
        <w:rPr>
          <w:snapToGrid w:val="0"/>
          <w:lang w:val="en-GB" w:eastAsia="en-US"/>
        </w:rPr>
        <w:t xml:space="preserve">The PBAC advised that repotrectinib is not suitable for prescribing by nurse practitioners. </w:t>
      </w:r>
    </w:p>
    <w:p w14:paraId="01DFF46D" w14:textId="54F1B8CF" w:rsidR="009D262D" w:rsidRDefault="00DE7C25" w:rsidP="00940787">
      <w:pPr>
        <w:pStyle w:val="3-BodyText"/>
        <w:rPr>
          <w:snapToGrid w:val="0"/>
          <w:lang w:val="en-GB" w:eastAsia="en-US"/>
        </w:rPr>
      </w:pPr>
      <w:r>
        <w:rPr>
          <w:snapToGrid w:val="0"/>
          <w:lang w:val="en-GB" w:eastAsia="en-US"/>
        </w:rPr>
        <w:t xml:space="preserve">The PBAC </w:t>
      </w:r>
      <w:r w:rsidR="009A14D4">
        <w:rPr>
          <w:snapToGrid w:val="0"/>
          <w:lang w:val="en-GB" w:eastAsia="en-US"/>
        </w:rPr>
        <w:t xml:space="preserve">considered the Early Supply Rule should not apply to repotrectinib, as it does not apply to entrectinib or crizotinib. </w:t>
      </w:r>
    </w:p>
    <w:p w14:paraId="71956AC8" w14:textId="44AF3159" w:rsidR="001426A5" w:rsidRDefault="0070174A" w:rsidP="00940787">
      <w:pPr>
        <w:pStyle w:val="3-BodyText"/>
        <w:numPr>
          <w:ilvl w:val="1"/>
          <w:numId w:val="1"/>
        </w:numPr>
      </w:pPr>
      <w:r w:rsidRPr="001756F5">
        <w:t>The PBAC noted that its recommendation was on a cost-minimisation basis and advised that, because</w:t>
      </w:r>
      <w:r>
        <w:t xml:space="preserve"> repotrectinib</w:t>
      </w:r>
      <w:r w:rsidRPr="001756F5">
        <w:t xml:space="preserve"> is not expected to provide a substantial and clinically relevant improvement in efficacy, or reduction of toxicity, over</w:t>
      </w:r>
      <w:r>
        <w:t xml:space="preserve"> entrectinib</w:t>
      </w:r>
      <w:r w:rsidRPr="001756F5">
        <w:t xml:space="preserve">, or not expected to address a high and urgent unmet clinical need given the presence of an alternative therapy, the criteria prescribed by the </w:t>
      </w:r>
      <w:r w:rsidRPr="005A22F2">
        <w:rPr>
          <w:i/>
        </w:rPr>
        <w:t>National Health (Pharmaceuticals and Vaccines – Cost Recovery) Regulations 20</w:t>
      </w:r>
      <w:r w:rsidR="00F2571A">
        <w:rPr>
          <w:i/>
        </w:rPr>
        <w:t>22</w:t>
      </w:r>
      <w:r w:rsidRPr="001756F5">
        <w:t xml:space="preserve"> for Pricing Pathway A were not met.</w:t>
      </w:r>
    </w:p>
    <w:p w14:paraId="4FA4B304" w14:textId="6C180C1B" w:rsidR="0070174A" w:rsidRDefault="0070174A" w:rsidP="00940787">
      <w:pPr>
        <w:pStyle w:val="3-BodyText"/>
        <w:numPr>
          <w:ilvl w:val="1"/>
          <w:numId w:val="1"/>
        </w:numPr>
      </w:pPr>
      <w:r>
        <w:t xml:space="preserve">The </w:t>
      </w:r>
      <w:r w:rsidRPr="003C1D6A">
        <w:t>PBAC noted that this submission is not eligible for an Independent Review as it received a positive recommendation.</w:t>
      </w:r>
    </w:p>
    <w:p w14:paraId="7C748D2C" w14:textId="713E5EF8" w:rsidR="0070174A" w:rsidRPr="00525B39" w:rsidRDefault="0070174A" w:rsidP="0070174A">
      <w:pPr>
        <w:spacing w:before="240"/>
        <w:rPr>
          <w:rFonts w:asciiTheme="minorHAnsi" w:hAnsiTheme="minorHAnsi"/>
          <w:b/>
          <w:bCs/>
          <w:snapToGrid w:val="0"/>
          <w:lang w:val="en-GB"/>
        </w:rPr>
      </w:pPr>
      <w:r w:rsidRPr="00525B39">
        <w:rPr>
          <w:rFonts w:asciiTheme="minorHAnsi" w:hAnsiTheme="minorHAnsi"/>
          <w:b/>
          <w:bCs/>
          <w:snapToGrid w:val="0"/>
          <w:lang w:val="en-GB"/>
        </w:rPr>
        <w:lastRenderedPageBreak/>
        <w:t>Outcome:</w:t>
      </w:r>
    </w:p>
    <w:p w14:paraId="2676A4B0" w14:textId="0A1A04D7" w:rsidR="003C6D48" w:rsidRDefault="0070174A" w:rsidP="0070174A">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5AD83C59" w14:textId="77777777" w:rsidR="003A232B" w:rsidRPr="00505E5D" w:rsidRDefault="003A232B" w:rsidP="003A232B">
      <w:pPr>
        <w:keepNext/>
        <w:numPr>
          <w:ilvl w:val="0"/>
          <w:numId w:val="1"/>
        </w:numPr>
        <w:spacing w:before="240" w:after="120"/>
        <w:jc w:val="left"/>
        <w:outlineLvl w:val="0"/>
        <w:rPr>
          <w:rFonts w:asciiTheme="minorHAnsi" w:hAnsiTheme="minorHAnsi"/>
          <w:b/>
          <w:snapToGrid w:val="0"/>
          <w:sz w:val="32"/>
          <w:szCs w:val="32"/>
        </w:rPr>
      </w:pPr>
      <w:r w:rsidRPr="00505E5D">
        <w:rPr>
          <w:rFonts w:asciiTheme="minorHAnsi" w:hAnsiTheme="minorHAnsi"/>
          <w:b/>
          <w:snapToGrid w:val="0"/>
          <w:sz w:val="32"/>
          <w:szCs w:val="32"/>
        </w:rPr>
        <w:t>Recommended listing</w:t>
      </w:r>
    </w:p>
    <w:p w14:paraId="34901A12" w14:textId="77777777" w:rsidR="003A232B" w:rsidRPr="00327542" w:rsidRDefault="003A232B" w:rsidP="00C70B25">
      <w:pPr>
        <w:pStyle w:val="3-BodyText"/>
        <w:rPr>
          <w:b/>
          <w:snapToGrid w:val="0"/>
          <w:lang w:eastAsia="en-US"/>
        </w:rPr>
      </w:pPr>
      <w:r w:rsidRPr="00505E5D">
        <w:rPr>
          <w:snapToGrid w:val="0"/>
          <w:lang w:eastAsia="en-US"/>
        </w:rPr>
        <w:t>Add new item:</w:t>
      </w:r>
    </w:p>
    <w:p w14:paraId="3AD74306" w14:textId="0CC80962" w:rsidR="00B278C7" w:rsidRDefault="00B278C7" w:rsidP="00B278C7">
      <w:r w:rsidRPr="008846ED">
        <w:rPr>
          <w:u w:val="single"/>
        </w:rPr>
        <w:t xml:space="preserve">Initial &amp; continuing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784"/>
        <w:gridCol w:w="790"/>
        <w:gridCol w:w="784"/>
        <w:gridCol w:w="784"/>
        <w:gridCol w:w="1765"/>
      </w:tblGrid>
      <w:tr w:rsidR="00B278C7" w:rsidRPr="00680D32" w14:paraId="5F51E757" w14:textId="77777777">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30F60" w14:textId="77777777" w:rsidR="00B278C7" w:rsidRPr="00F56B49" w:rsidRDefault="00B278C7">
            <w:pPr>
              <w:jc w:val="left"/>
              <w:textAlignment w:val="baseline"/>
              <w:rPr>
                <w:rFonts w:ascii="Arial Narrow" w:hAnsi="Arial Narrow" w:cs="Segoe UI"/>
                <w:sz w:val="20"/>
                <w:szCs w:val="20"/>
              </w:rPr>
            </w:pPr>
            <w:r w:rsidRPr="00F56B49">
              <w:rPr>
                <w:rFonts w:ascii="Arial Narrow" w:hAnsi="Arial Narrow" w:cs="Segoe UI"/>
                <w:b/>
                <w:sz w:val="20"/>
                <w:szCs w:val="20"/>
              </w:rPr>
              <w:t>MEDICINAL PRODUCT</w:t>
            </w:r>
            <w:r w:rsidRPr="00F56B49">
              <w:rPr>
                <w:rFonts w:ascii="Arial Narrow" w:hAnsi="Arial Narrow" w:cs="Segoe UI"/>
                <w:sz w:val="20"/>
                <w:szCs w:val="20"/>
              </w:rPr>
              <w:t> </w:t>
            </w:r>
          </w:p>
          <w:p w14:paraId="14E1B9AF" w14:textId="77777777" w:rsidR="00B278C7" w:rsidRPr="00F56B49" w:rsidRDefault="00B278C7">
            <w:pPr>
              <w:jc w:val="left"/>
              <w:textAlignment w:val="baseline"/>
              <w:rPr>
                <w:rFonts w:ascii="Arial Narrow" w:hAnsi="Arial Narrow" w:cs="Segoe UI"/>
                <w:sz w:val="20"/>
                <w:szCs w:val="20"/>
              </w:rPr>
            </w:pPr>
            <w:r w:rsidRPr="00F56B49">
              <w:rPr>
                <w:rFonts w:ascii="Arial Narrow" w:hAnsi="Arial Narrow" w:cs="Segoe UI"/>
                <w:b/>
                <w:sz w:val="20"/>
                <w:szCs w:val="20"/>
              </w:rPr>
              <w:t>medicinal product pack</w:t>
            </w:r>
            <w:r w:rsidRPr="00F56B49">
              <w:rPr>
                <w:rFonts w:ascii="Arial Narrow" w:hAnsi="Arial Narrow" w:cs="Segoe UI"/>
                <w:sz w:val="20"/>
                <w:szCs w:val="20"/>
              </w:rPr>
              <w:t> </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D1FF4"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b/>
                <w:sz w:val="20"/>
                <w:szCs w:val="20"/>
              </w:rPr>
              <w:t>PBS item code</w:t>
            </w:r>
            <w:r w:rsidRPr="00F56B49">
              <w:rPr>
                <w:rFonts w:ascii="Arial Narrow" w:hAnsi="Arial Narrow" w:cs="Segoe UI"/>
                <w:sz w:val="20"/>
                <w:szCs w:val="20"/>
              </w:rPr>
              <w:t> </w:t>
            </w:r>
          </w:p>
        </w:tc>
        <w:tc>
          <w:tcPr>
            <w:tcW w:w="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FA204"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b/>
                <w:sz w:val="20"/>
                <w:szCs w:val="20"/>
              </w:rPr>
              <w:t>Max. qty packs</w:t>
            </w:r>
            <w:r w:rsidRPr="00F56B49">
              <w:rPr>
                <w:rFonts w:ascii="Arial Narrow" w:hAnsi="Arial Narrow" w:cs="Segoe UI"/>
                <w:sz w:val="20"/>
                <w:szCs w:val="20"/>
              </w:rPr>
              <w:t> </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74D25"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b/>
                <w:sz w:val="20"/>
                <w:szCs w:val="20"/>
              </w:rPr>
              <w:t>Max. qty units</w:t>
            </w:r>
            <w:r w:rsidRPr="00F56B49">
              <w:rPr>
                <w:rFonts w:ascii="Arial Narrow" w:hAnsi="Arial Narrow" w:cs="Segoe UI"/>
                <w:sz w:val="20"/>
                <w:szCs w:val="20"/>
              </w:rPr>
              <w:t> </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7482D"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b/>
                <w:sz w:val="20"/>
                <w:szCs w:val="20"/>
              </w:rPr>
              <w:t>№.of</w:t>
            </w:r>
            <w:r w:rsidRPr="00F56B49">
              <w:rPr>
                <w:rFonts w:ascii="Arial Narrow" w:hAnsi="Arial Narrow" w:cs="Segoe UI"/>
                <w:sz w:val="20"/>
                <w:szCs w:val="20"/>
              </w:rPr>
              <w:t> </w:t>
            </w:r>
          </w:p>
          <w:p w14:paraId="71D8C7FA"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b/>
                <w:sz w:val="20"/>
                <w:szCs w:val="20"/>
              </w:rPr>
              <w:t>Rpts</w:t>
            </w:r>
            <w:r w:rsidRPr="00F56B49">
              <w:rPr>
                <w:rFonts w:ascii="Arial Narrow" w:hAnsi="Arial Narrow" w:cs="Segoe UI"/>
                <w:sz w:val="20"/>
                <w:szCs w:val="20"/>
              </w:rPr>
              <w:t> </w:t>
            </w:r>
          </w:p>
        </w:tc>
        <w:tc>
          <w:tcPr>
            <w:tcW w:w="1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CB5A9" w14:textId="77777777" w:rsidR="00B278C7" w:rsidRPr="00F56B49" w:rsidRDefault="00B278C7">
            <w:pPr>
              <w:jc w:val="left"/>
              <w:textAlignment w:val="baseline"/>
              <w:rPr>
                <w:rFonts w:ascii="Arial Narrow" w:hAnsi="Arial Narrow" w:cs="Segoe UI"/>
                <w:sz w:val="20"/>
                <w:szCs w:val="20"/>
              </w:rPr>
            </w:pPr>
            <w:r w:rsidRPr="00F56B49">
              <w:rPr>
                <w:rFonts w:ascii="Arial Narrow" w:hAnsi="Arial Narrow" w:cs="Segoe UI"/>
                <w:b/>
                <w:sz w:val="20"/>
                <w:szCs w:val="20"/>
              </w:rPr>
              <w:t>Available brands</w:t>
            </w:r>
            <w:r w:rsidRPr="00F56B49">
              <w:rPr>
                <w:rFonts w:ascii="Arial Narrow" w:hAnsi="Arial Narrow" w:cs="Segoe UI"/>
                <w:sz w:val="20"/>
                <w:szCs w:val="20"/>
              </w:rPr>
              <w:t> </w:t>
            </w:r>
          </w:p>
        </w:tc>
      </w:tr>
      <w:tr w:rsidR="00B278C7" w:rsidRPr="00680D32" w14:paraId="7380D80A" w14:textId="77777777">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6424D15D" w14:textId="77777777" w:rsidR="00B278C7" w:rsidRPr="00F56B49" w:rsidRDefault="00B278C7">
            <w:pPr>
              <w:jc w:val="left"/>
              <w:textAlignment w:val="baseline"/>
              <w:rPr>
                <w:rFonts w:ascii="Arial Narrow" w:hAnsi="Arial Narrow" w:cs="Segoe UI"/>
                <w:sz w:val="20"/>
                <w:szCs w:val="20"/>
              </w:rPr>
            </w:pPr>
            <w:r w:rsidRPr="00F56B49">
              <w:rPr>
                <w:rFonts w:ascii="Arial Narrow" w:hAnsi="Arial Narrow" w:cs="Segoe UI"/>
                <w:sz w:val="20"/>
                <w:szCs w:val="20"/>
              </w:rPr>
              <w:t>REPOTRECTINIB</w:t>
            </w:r>
          </w:p>
        </w:tc>
      </w:tr>
      <w:tr w:rsidR="00B278C7" w:rsidRPr="00680D32" w14:paraId="2F703620" w14:textId="77777777">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CF01E" w14:textId="77777777" w:rsidR="00B278C7" w:rsidRPr="00F56B49" w:rsidRDefault="00B278C7">
            <w:pPr>
              <w:jc w:val="left"/>
              <w:textAlignment w:val="baseline"/>
              <w:rPr>
                <w:rFonts w:ascii="Arial Narrow" w:hAnsi="Arial Narrow" w:cs="Segoe UI"/>
                <w:sz w:val="20"/>
                <w:szCs w:val="20"/>
              </w:rPr>
            </w:pPr>
            <w:r w:rsidRPr="00F56B49">
              <w:rPr>
                <w:rFonts w:ascii="Arial Narrow" w:hAnsi="Arial Narrow" w:cs="Segoe UI"/>
                <w:sz w:val="20"/>
                <w:szCs w:val="20"/>
              </w:rPr>
              <w:t>repotrectinib 40 mg capsule, 120</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48BBD"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 xml:space="preserve"> NEW </w:t>
            </w:r>
          </w:p>
        </w:tc>
        <w:tc>
          <w:tcPr>
            <w:tcW w:w="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18728"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1 </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AFDE5"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120</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B177A"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3</w:t>
            </w:r>
          </w:p>
        </w:tc>
        <w:tc>
          <w:tcPr>
            <w:tcW w:w="1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082A1" w14:textId="77777777" w:rsidR="00B278C7" w:rsidRPr="00F56B49" w:rsidRDefault="00B278C7">
            <w:pPr>
              <w:jc w:val="left"/>
              <w:textAlignment w:val="baseline"/>
              <w:rPr>
                <w:rFonts w:ascii="Arial Narrow" w:hAnsi="Arial Narrow" w:cs="Segoe UI"/>
                <w:sz w:val="20"/>
                <w:szCs w:val="20"/>
              </w:rPr>
            </w:pPr>
            <w:proofErr w:type="spellStart"/>
            <w:r w:rsidRPr="00F56B49">
              <w:rPr>
                <w:rFonts w:ascii="Arial Narrow" w:hAnsi="Arial Narrow" w:cs="Segoe UI"/>
                <w:sz w:val="20"/>
                <w:szCs w:val="20"/>
              </w:rPr>
              <w:t>Augtyro</w:t>
            </w:r>
            <w:proofErr w:type="spellEnd"/>
          </w:p>
        </w:tc>
      </w:tr>
      <w:tr w:rsidR="00B278C7" w:rsidRPr="00680D32" w14:paraId="0FAFC207" w14:textId="77777777">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94915" w14:textId="77777777" w:rsidR="00B278C7" w:rsidRPr="00F56B49" w:rsidRDefault="00B278C7">
            <w:pPr>
              <w:jc w:val="left"/>
              <w:textAlignment w:val="baseline"/>
              <w:rPr>
                <w:rFonts w:ascii="Arial Narrow" w:hAnsi="Arial Narrow" w:cs="Segoe UI"/>
                <w:sz w:val="20"/>
                <w:szCs w:val="20"/>
              </w:rPr>
            </w:pPr>
            <w:r w:rsidRPr="00F56B49">
              <w:rPr>
                <w:rFonts w:ascii="Arial Narrow" w:hAnsi="Arial Narrow" w:cs="Segoe UI"/>
                <w:sz w:val="20"/>
                <w:szCs w:val="20"/>
              </w:rPr>
              <w:t>repotrectinib 160 mg capsule, 60</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59433"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NEW </w:t>
            </w:r>
          </w:p>
        </w:tc>
        <w:tc>
          <w:tcPr>
            <w:tcW w:w="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3662F"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1 </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3E414"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60 </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A1A649" w14:textId="77777777" w:rsidR="00B278C7" w:rsidRPr="00F56B49" w:rsidRDefault="00B278C7">
            <w:pPr>
              <w:jc w:val="center"/>
              <w:textAlignment w:val="baseline"/>
              <w:rPr>
                <w:rFonts w:ascii="Arial Narrow" w:hAnsi="Arial Narrow" w:cs="Segoe UI"/>
                <w:sz w:val="20"/>
                <w:szCs w:val="20"/>
              </w:rPr>
            </w:pPr>
            <w:r w:rsidRPr="00F56B49">
              <w:rPr>
                <w:rFonts w:ascii="Arial Narrow" w:hAnsi="Arial Narrow" w:cs="Segoe UI"/>
                <w:sz w:val="20"/>
                <w:szCs w:val="20"/>
              </w:rPr>
              <w:t>3</w:t>
            </w:r>
          </w:p>
        </w:tc>
        <w:tc>
          <w:tcPr>
            <w:tcW w:w="1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52241" w14:textId="77777777" w:rsidR="00B278C7" w:rsidRPr="00F56B49" w:rsidRDefault="00B278C7">
            <w:pPr>
              <w:jc w:val="left"/>
              <w:textAlignment w:val="baseline"/>
              <w:rPr>
                <w:rFonts w:ascii="Arial Narrow" w:hAnsi="Arial Narrow" w:cs="Segoe UI"/>
                <w:sz w:val="20"/>
                <w:szCs w:val="20"/>
              </w:rPr>
            </w:pPr>
            <w:proofErr w:type="spellStart"/>
            <w:r w:rsidRPr="00F56B49">
              <w:rPr>
                <w:rFonts w:ascii="Arial Narrow" w:hAnsi="Arial Narrow" w:cs="Segoe UI"/>
                <w:sz w:val="20"/>
                <w:szCs w:val="20"/>
              </w:rPr>
              <w:t>Augtyro</w:t>
            </w:r>
            <w:proofErr w:type="spellEnd"/>
          </w:p>
        </w:tc>
      </w:tr>
      <w:tr w:rsidR="00B278C7" w:rsidRPr="00680D32" w14:paraId="49ABF029" w14:textId="77777777">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64B332AC" w14:textId="77777777" w:rsidR="00B278C7" w:rsidRPr="00F56B49" w:rsidRDefault="00B278C7">
            <w:pPr>
              <w:jc w:val="left"/>
              <w:textAlignment w:val="baseline"/>
              <w:rPr>
                <w:rFonts w:ascii="Arial Narrow" w:hAnsi="Arial Narrow" w:cs="Segoe UI"/>
                <w:sz w:val="20"/>
                <w:szCs w:val="20"/>
              </w:rPr>
            </w:pPr>
          </w:p>
        </w:tc>
      </w:tr>
      <w:tr w:rsidR="00232DFA" w:rsidRPr="00680D32" w14:paraId="248C3D9F"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1DE991D4"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b/>
                <w:sz w:val="20"/>
                <w:szCs w:val="20"/>
              </w:rPr>
              <w:t>Category / Program:</w:t>
            </w:r>
            <w:r w:rsidRPr="00F56B49">
              <w:rPr>
                <w:rFonts w:ascii="Arial Narrow" w:hAnsi="Arial Narrow" w:cs="Segoe UI"/>
                <w:color w:val="FF0000"/>
                <w:sz w:val="20"/>
                <w:szCs w:val="20"/>
              </w:rPr>
              <w:t xml:space="preserve"> </w:t>
            </w:r>
            <w:r w:rsidRPr="00F56B49">
              <w:rPr>
                <w:rFonts w:ascii="Arial Narrow" w:hAnsi="Arial Narrow"/>
                <w:sz w:val="20"/>
                <w:szCs w:val="20"/>
              </w:rPr>
              <w:fldChar w:fldCharType="begin">
                <w:ffData>
                  <w:name w:val=""/>
                  <w:enabled/>
                  <w:calcOnExit w:val="0"/>
                  <w:checkBox>
                    <w:sizeAuto/>
                    <w:default w:val="1"/>
                  </w:checkBox>
                </w:ffData>
              </w:fldChar>
            </w:r>
            <w:r w:rsidRPr="00F56B49">
              <w:rPr>
                <w:rFonts w:ascii="Arial Narrow" w:hAnsi="Arial Narrow"/>
                <w:sz w:val="20"/>
                <w:szCs w:val="20"/>
              </w:rPr>
              <w:instrText xml:space="preserve"> FORMCHECKBOX </w:instrText>
            </w:r>
            <w:r w:rsidRPr="00F56B49">
              <w:rPr>
                <w:rFonts w:ascii="Arial Narrow" w:hAnsi="Arial Narrow"/>
                <w:sz w:val="20"/>
                <w:szCs w:val="20"/>
              </w:rPr>
            </w:r>
            <w:r w:rsidRPr="00F56B49">
              <w:rPr>
                <w:rFonts w:ascii="Arial Narrow" w:hAnsi="Arial Narrow"/>
                <w:sz w:val="20"/>
                <w:szCs w:val="20"/>
              </w:rPr>
              <w:fldChar w:fldCharType="separate"/>
            </w:r>
            <w:r w:rsidRPr="00F56B49">
              <w:rPr>
                <w:rFonts w:ascii="Arial Narrow" w:hAnsi="Arial Narrow"/>
                <w:sz w:val="20"/>
                <w:szCs w:val="20"/>
              </w:rPr>
              <w:fldChar w:fldCharType="end"/>
            </w:r>
            <w:r w:rsidRPr="00F56B49">
              <w:rPr>
                <w:rFonts w:ascii="Arial Narrow" w:hAnsi="Arial Narrow" w:cs="Segoe UI"/>
                <w:sz w:val="20"/>
                <w:szCs w:val="20"/>
              </w:rPr>
              <w:t>GENERAL - General Schedule (Code GE)  </w:t>
            </w:r>
          </w:p>
        </w:tc>
      </w:tr>
      <w:tr w:rsidR="00232DFA" w:rsidRPr="00680D32" w14:paraId="7F0B4859"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231F3399" w14:textId="77777777" w:rsidR="00232DFA" w:rsidRPr="00F56B49" w:rsidRDefault="00232DFA">
            <w:pPr>
              <w:textAlignment w:val="baseline"/>
              <w:rPr>
                <w:rFonts w:ascii="Arial Narrow" w:hAnsi="Arial Narrow" w:cs="Segoe UI"/>
                <w:sz w:val="20"/>
                <w:szCs w:val="20"/>
              </w:rPr>
            </w:pPr>
            <w:r w:rsidRPr="00F56B49">
              <w:rPr>
                <w:rFonts w:ascii="Arial Narrow" w:hAnsi="Arial Narrow" w:cs="Segoe UI"/>
                <w:b/>
                <w:sz w:val="20"/>
                <w:szCs w:val="20"/>
              </w:rPr>
              <w:t xml:space="preserve">Prescriber type: </w:t>
            </w:r>
            <w:r w:rsidRPr="00F56B49">
              <w:rPr>
                <w:rFonts w:ascii="Arial Narrow" w:hAnsi="Arial Narrow"/>
                <w:sz w:val="20"/>
                <w:szCs w:val="20"/>
              </w:rPr>
              <w:fldChar w:fldCharType="begin">
                <w:ffData>
                  <w:name w:val=""/>
                  <w:enabled/>
                  <w:calcOnExit w:val="0"/>
                  <w:checkBox>
                    <w:sizeAuto/>
                    <w:default w:val="1"/>
                  </w:checkBox>
                </w:ffData>
              </w:fldChar>
            </w:r>
            <w:r w:rsidRPr="00F56B49">
              <w:rPr>
                <w:rFonts w:ascii="Arial Narrow" w:hAnsi="Arial Narrow"/>
                <w:sz w:val="20"/>
                <w:szCs w:val="20"/>
              </w:rPr>
              <w:instrText xml:space="preserve"> FORMCHECKBOX </w:instrText>
            </w:r>
            <w:r w:rsidRPr="00F56B49">
              <w:rPr>
                <w:rFonts w:ascii="Arial Narrow" w:hAnsi="Arial Narrow"/>
                <w:sz w:val="20"/>
                <w:szCs w:val="20"/>
              </w:rPr>
            </w:r>
            <w:r w:rsidRPr="00F56B49">
              <w:rPr>
                <w:rFonts w:ascii="Arial Narrow" w:hAnsi="Arial Narrow"/>
                <w:sz w:val="20"/>
                <w:szCs w:val="20"/>
              </w:rPr>
              <w:fldChar w:fldCharType="separate"/>
            </w:r>
            <w:r w:rsidRPr="00F56B49">
              <w:rPr>
                <w:rFonts w:ascii="Arial Narrow" w:hAnsi="Arial Narrow"/>
                <w:sz w:val="20"/>
                <w:szCs w:val="20"/>
              </w:rPr>
              <w:fldChar w:fldCharType="end"/>
            </w:r>
            <w:r w:rsidRPr="00F56B49">
              <w:rPr>
                <w:rFonts w:ascii="Arial Narrow" w:hAnsi="Arial Narrow" w:cs="Segoe UI"/>
                <w:sz w:val="20"/>
                <w:szCs w:val="20"/>
              </w:rPr>
              <w:t xml:space="preserve">Medical Practitioners </w:t>
            </w:r>
          </w:p>
        </w:tc>
      </w:tr>
      <w:tr w:rsidR="00232DFA" w:rsidRPr="00680D32" w14:paraId="4E8BA33B"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28E75A9B" w14:textId="77777777" w:rsidR="00232DFA" w:rsidRPr="00F56B49" w:rsidRDefault="00232DFA">
            <w:pPr>
              <w:jc w:val="left"/>
              <w:textAlignment w:val="baseline"/>
              <w:rPr>
                <w:rFonts w:ascii="Arial Narrow" w:eastAsia="Calibri" w:hAnsi="Arial Narrow"/>
                <w:sz w:val="20"/>
                <w:szCs w:val="20"/>
              </w:rPr>
            </w:pPr>
            <w:r w:rsidRPr="00F56B49">
              <w:rPr>
                <w:rFonts w:ascii="Arial Narrow" w:hAnsi="Arial Narrow" w:cs="Segoe UI"/>
                <w:b/>
                <w:sz w:val="20"/>
                <w:szCs w:val="20"/>
              </w:rPr>
              <w:t xml:space="preserve">Restriction type: </w:t>
            </w:r>
            <w:r w:rsidRPr="00F56B49">
              <w:rPr>
                <w:rFonts w:ascii="Arial Narrow" w:hAnsi="Arial Narrow"/>
                <w:sz w:val="20"/>
                <w:szCs w:val="20"/>
              </w:rPr>
              <w:fldChar w:fldCharType="begin">
                <w:ffData>
                  <w:name w:val=""/>
                  <w:enabled/>
                  <w:calcOnExit w:val="0"/>
                  <w:checkBox>
                    <w:sizeAuto/>
                    <w:default w:val="1"/>
                  </w:checkBox>
                </w:ffData>
              </w:fldChar>
            </w:r>
            <w:r w:rsidRPr="00F56B49">
              <w:rPr>
                <w:rFonts w:ascii="Arial Narrow" w:hAnsi="Arial Narrow"/>
                <w:sz w:val="20"/>
                <w:szCs w:val="20"/>
              </w:rPr>
              <w:instrText xml:space="preserve"> FORMCHECKBOX </w:instrText>
            </w:r>
            <w:r w:rsidRPr="00F56B49">
              <w:rPr>
                <w:rFonts w:ascii="Arial Narrow" w:hAnsi="Arial Narrow"/>
                <w:sz w:val="20"/>
                <w:szCs w:val="20"/>
              </w:rPr>
            </w:r>
            <w:r w:rsidRPr="00F56B49">
              <w:rPr>
                <w:rFonts w:ascii="Arial Narrow" w:hAnsi="Arial Narrow"/>
                <w:sz w:val="20"/>
                <w:szCs w:val="20"/>
              </w:rPr>
              <w:fldChar w:fldCharType="separate"/>
            </w:r>
            <w:r w:rsidRPr="00F56B49">
              <w:rPr>
                <w:rFonts w:ascii="Arial Narrow" w:hAnsi="Arial Narrow"/>
                <w:sz w:val="20"/>
                <w:szCs w:val="20"/>
              </w:rPr>
              <w:fldChar w:fldCharType="end"/>
            </w:r>
            <w:r w:rsidRPr="00F56B49">
              <w:rPr>
                <w:rFonts w:ascii="Arial Narrow" w:hAnsi="Arial Narrow" w:cs="Segoe UI"/>
                <w:sz w:val="20"/>
                <w:szCs w:val="20"/>
              </w:rPr>
              <w:t xml:space="preserve">Authority Required </w:t>
            </w:r>
            <w:r w:rsidRPr="00F56B49">
              <w:rPr>
                <w:rFonts w:ascii="Arial Narrow" w:eastAsia="Calibri" w:hAnsi="Arial Narrow"/>
                <w:sz w:val="20"/>
                <w:szCs w:val="20"/>
              </w:rPr>
              <w:t>(in writing via post/HPOS upload or real time assessment via OPA)</w:t>
            </w:r>
          </w:p>
        </w:tc>
      </w:tr>
      <w:tr w:rsidR="00232DFA" w:rsidRPr="00680D32" w14:paraId="2A1DCBDB"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0A6DAA" w14:textId="77777777" w:rsidR="00232DFA" w:rsidRPr="00F56B49" w:rsidRDefault="00232DFA">
            <w:pPr>
              <w:jc w:val="left"/>
              <w:textAlignment w:val="baseline"/>
              <w:rPr>
                <w:rFonts w:ascii="Arial Narrow" w:hAnsi="Arial Narrow" w:cs="Segoe UI"/>
                <w:b/>
                <w:color w:val="333333"/>
                <w:sz w:val="20"/>
                <w:szCs w:val="20"/>
              </w:rPr>
            </w:pPr>
            <w:r w:rsidRPr="00F56B49">
              <w:rPr>
                <w:rFonts w:ascii="Arial Narrow" w:hAnsi="Arial Narrow" w:cs="Segoe UI"/>
                <w:b/>
                <w:sz w:val="20"/>
                <w:szCs w:val="20"/>
              </w:rPr>
              <w:t>Prescribing rule level </w:t>
            </w:r>
          </w:p>
        </w:tc>
      </w:tr>
      <w:tr w:rsidR="00232DFA" w:rsidRPr="00680D32" w14:paraId="7404625B"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3F483C8" w14:textId="77777777" w:rsidR="00232DFA" w:rsidRPr="00F56B49" w:rsidRDefault="00232DFA">
            <w:pPr>
              <w:jc w:val="left"/>
              <w:textAlignment w:val="baseline"/>
              <w:rPr>
                <w:rFonts w:ascii="Arial Narrow" w:hAnsi="Arial Narrow" w:cs="Segoe UI"/>
                <w:color w:val="333333"/>
                <w:sz w:val="20"/>
                <w:szCs w:val="20"/>
              </w:rPr>
            </w:pPr>
            <w:r w:rsidRPr="00F56B49">
              <w:rPr>
                <w:rFonts w:ascii="Arial Narrow" w:hAnsi="Arial Narrow" w:cs="Segoe UI"/>
                <w:b/>
                <w:color w:val="333333"/>
                <w:sz w:val="20"/>
                <w:szCs w:val="20"/>
              </w:rPr>
              <w:t>Administrative Advice:</w:t>
            </w:r>
            <w:r w:rsidRPr="00F56B49">
              <w:rPr>
                <w:rFonts w:ascii="Arial Narrow" w:hAnsi="Arial Narrow" w:cs="Segoe UI"/>
                <w:color w:val="333333"/>
                <w:sz w:val="20"/>
                <w:szCs w:val="20"/>
              </w:rPr>
              <w:t> </w:t>
            </w:r>
          </w:p>
          <w:p w14:paraId="167079FB" w14:textId="77777777" w:rsidR="00232DFA" w:rsidRPr="00F56B49" w:rsidRDefault="00232DFA">
            <w:pPr>
              <w:jc w:val="left"/>
              <w:textAlignment w:val="baseline"/>
              <w:rPr>
                <w:rFonts w:ascii="Arial Narrow" w:hAnsi="Arial Narrow" w:cs="Segoe UI"/>
                <w:i/>
                <w:sz w:val="20"/>
                <w:szCs w:val="20"/>
              </w:rPr>
            </w:pPr>
            <w:r w:rsidRPr="00F56B49">
              <w:rPr>
                <w:rFonts w:ascii="Arial Narrow" w:hAnsi="Arial Narrow" w:cs="Segoe UI"/>
                <w:sz w:val="20"/>
                <w:szCs w:val="20"/>
              </w:rPr>
              <w:t>Special Pricing Arrangements apply</w:t>
            </w:r>
            <w:r w:rsidRPr="00F56B49">
              <w:rPr>
                <w:rFonts w:ascii="Arial Narrow" w:hAnsi="Arial Narrow" w:cs="Segoe UI"/>
                <w:i/>
                <w:sz w:val="20"/>
                <w:szCs w:val="20"/>
              </w:rPr>
              <w:t>.</w:t>
            </w:r>
          </w:p>
        </w:tc>
      </w:tr>
      <w:tr w:rsidR="00232DFA" w:rsidRPr="00680D32" w14:paraId="4A60CCE3"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60C6FC3" w14:textId="77777777" w:rsidR="00232DFA" w:rsidRPr="00F56B49" w:rsidRDefault="00232DFA">
            <w:pPr>
              <w:jc w:val="left"/>
              <w:textAlignment w:val="baseline"/>
              <w:rPr>
                <w:rFonts w:ascii="Arial Narrow" w:hAnsi="Arial Narrow" w:cs="Segoe UI"/>
                <w:color w:val="333333"/>
                <w:sz w:val="20"/>
                <w:szCs w:val="20"/>
              </w:rPr>
            </w:pPr>
            <w:r w:rsidRPr="00F56B49">
              <w:rPr>
                <w:rFonts w:ascii="Arial Narrow" w:hAnsi="Arial Narrow" w:cs="Segoe UI"/>
                <w:b/>
                <w:color w:val="333333"/>
                <w:sz w:val="20"/>
                <w:szCs w:val="20"/>
              </w:rPr>
              <w:t>Administrative Advice:</w:t>
            </w:r>
            <w:r w:rsidRPr="00F56B49">
              <w:rPr>
                <w:rFonts w:ascii="Arial Narrow" w:hAnsi="Arial Narrow" w:cs="Segoe UI"/>
                <w:color w:val="333333"/>
                <w:sz w:val="20"/>
                <w:szCs w:val="20"/>
              </w:rPr>
              <w:t> </w:t>
            </w:r>
          </w:p>
          <w:p w14:paraId="36287D6F" w14:textId="77777777" w:rsidR="00232DFA" w:rsidRPr="00F56B49" w:rsidRDefault="00232DFA">
            <w:pPr>
              <w:jc w:val="left"/>
              <w:textAlignment w:val="baseline"/>
              <w:rPr>
                <w:rFonts w:ascii="Arial Narrow" w:hAnsi="Arial Narrow" w:cs="Segoe UI"/>
                <w:b/>
                <w:color w:val="333333"/>
                <w:sz w:val="20"/>
                <w:szCs w:val="20"/>
              </w:rPr>
            </w:pPr>
            <w:r w:rsidRPr="00F56B49">
              <w:rPr>
                <w:rFonts w:ascii="Arial Narrow" w:hAnsi="Arial Narrow"/>
                <w:sz w:val="20"/>
                <w:szCs w:val="20"/>
              </w:rPr>
              <w:t>*No increase in the maximum quantity or number of units may be authorised.</w:t>
            </w:r>
          </w:p>
        </w:tc>
      </w:tr>
      <w:tr w:rsidR="00232DFA" w:rsidRPr="00680D32" w14:paraId="1C55984F"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0507848" w14:textId="77777777" w:rsidR="00232DFA" w:rsidRPr="00F56B49" w:rsidRDefault="00232DFA">
            <w:pPr>
              <w:jc w:val="left"/>
              <w:textAlignment w:val="baseline"/>
              <w:rPr>
                <w:rFonts w:ascii="Arial Narrow" w:hAnsi="Arial Narrow" w:cs="Segoe UI"/>
                <w:color w:val="333333"/>
                <w:sz w:val="20"/>
                <w:szCs w:val="20"/>
              </w:rPr>
            </w:pPr>
            <w:r w:rsidRPr="00F56B49">
              <w:rPr>
                <w:rFonts w:ascii="Arial Narrow" w:hAnsi="Arial Narrow" w:cs="Segoe UI"/>
                <w:b/>
                <w:color w:val="333333"/>
                <w:sz w:val="20"/>
                <w:szCs w:val="20"/>
              </w:rPr>
              <w:t>Administrative Advice:</w:t>
            </w:r>
            <w:r w:rsidRPr="00F56B49">
              <w:rPr>
                <w:rFonts w:ascii="Arial Narrow" w:hAnsi="Arial Narrow" w:cs="Segoe UI"/>
                <w:color w:val="333333"/>
                <w:sz w:val="20"/>
                <w:szCs w:val="20"/>
              </w:rPr>
              <w:t> </w:t>
            </w:r>
          </w:p>
          <w:p w14:paraId="2A2303CD" w14:textId="77777777" w:rsidR="00232DFA" w:rsidRPr="00F56B49" w:rsidRDefault="00232DFA">
            <w:pPr>
              <w:jc w:val="left"/>
              <w:textAlignment w:val="baseline"/>
              <w:rPr>
                <w:rFonts w:ascii="Arial Narrow" w:hAnsi="Arial Narrow" w:cs="Segoe UI"/>
                <w:b/>
                <w:color w:val="333333"/>
                <w:sz w:val="20"/>
                <w:szCs w:val="20"/>
              </w:rPr>
            </w:pPr>
            <w:r w:rsidRPr="00F56B49">
              <w:rPr>
                <w:rFonts w:ascii="Arial Narrow" w:hAnsi="Arial Narrow"/>
                <w:sz w:val="20"/>
                <w:szCs w:val="20"/>
              </w:rPr>
              <w:t>No increase in the maximum number of repeats may be authorised.</w:t>
            </w:r>
          </w:p>
        </w:tc>
      </w:tr>
      <w:tr w:rsidR="00232DFA" w:rsidRPr="00680D32" w14:paraId="65345724" w14:textId="77777777" w:rsidTr="00C70B25">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F7E8EAC" w14:textId="53B52B99" w:rsidR="00232DFA" w:rsidRPr="00F56B49" w:rsidRDefault="00232DFA">
            <w:pPr>
              <w:jc w:val="left"/>
              <w:textAlignment w:val="baseline"/>
              <w:rPr>
                <w:rFonts w:ascii="Arial Narrow" w:hAnsi="Arial Narrow" w:cs="Segoe UI"/>
                <w:b/>
                <w:color w:val="333333"/>
                <w:sz w:val="20"/>
                <w:szCs w:val="20"/>
              </w:rPr>
            </w:pPr>
            <w:r w:rsidRPr="00F56B49">
              <w:rPr>
                <w:rFonts w:ascii="Arial Narrow" w:hAnsi="Arial Narrow" w:cs="Segoe UI"/>
                <w:b/>
                <w:sz w:val="20"/>
                <w:szCs w:val="20"/>
              </w:rPr>
              <w:t xml:space="preserve">Restriction Summary / Treatment of Concept: </w:t>
            </w:r>
          </w:p>
        </w:tc>
      </w:tr>
      <w:tr w:rsidR="00232DFA" w:rsidRPr="00680D32" w14:paraId="57E3C5EC"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2B578706" w14:textId="77777777" w:rsidR="00232DFA" w:rsidRPr="00F56B49" w:rsidRDefault="00232DFA">
            <w:pPr>
              <w:jc w:val="left"/>
              <w:textAlignment w:val="baseline"/>
              <w:rPr>
                <w:rFonts w:ascii="Arial Narrow" w:hAnsi="Arial Narrow" w:cs="Segoe UI"/>
                <w:color w:val="333333"/>
                <w:sz w:val="20"/>
                <w:szCs w:val="20"/>
              </w:rPr>
            </w:pPr>
            <w:r w:rsidRPr="00F56B49">
              <w:rPr>
                <w:rFonts w:ascii="Arial Narrow" w:hAnsi="Arial Narrow" w:cs="Segoe UI"/>
                <w:b/>
                <w:color w:val="333333"/>
                <w:sz w:val="20"/>
                <w:szCs w:val="20"/>
              </w:rPr>
              <w:t>Indication:</w:t>
            </w:r>
            <w:r w:rsidRPr="00F56B49">
              <w:rPr>
                <w:rFonts w:ascii="Arial Narrow" w:hAnsi="Arial Narrow" w:cs="Segoe UI"/>
                <w:color w:val="333333"/>
                <w:sz w:val="20"/>
                <w:szCs w:val="20"/>
              </w:rPr>
              <w:t xml:space="preserve"> Stage IIIB (locally advanced) or Stage IV (metastatic) non-small cell lung cancer (NSCLC)</w:t>
            </w:r>
          </w:p>
        </w:tc>
      </w:tr>
      <w:tr w:rsidR="00232DFA" w:rsidRPr="00680D32" w14:paraId="3515CCE9"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4B98843C"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b/>
                <w:color w:val="333333"/>
                <w:sz w:val="20"/>
                <w:szCs w:val="20"/>
              </w:rPr>
              <w:t>Treatment Phase:</w:t>
            </w:r>
            <w:r w:rsidRPr="00F56B49">
              <w:rPr>
                <w:rFonts w:ascii="Arial Narrow" w:hAnsi="Arial Narrow" w:cs="Segoe UI"/>
                <w:color w:val="FF0000"/>
                <w:sz w:val="20"/>
                <w:szCs w:val="20"/>
              </w:rPr>
              <w:t xml:space="preserve"> </w:t>
            </w:r>
            <w:r w:rsidRPr="00F56B49">
              <w:rPr>
                <w:rFonts w:ascii="Arial Narrow" w:hAnsi="Arial Narrow" w:cs="Segoe UI"/>
                <w:sz w:val="20"/>
                <w:szCs w:val="20"/>
              </w:rPr>
              <w:t xml:space="preserve">Initial treatment </w:t>
            </w:r>
          </w:p>
        </w:tc>
      </w:tr>
      <w:tr w:rsidR="00232DFA" w:rsidRPr="00680D32" w14:paraId="1A1BE13C"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92CF00" w14:textId="77777777" w:rsidR="00232DFA" w:rsidRPr="00F56B49" w:rsidRDefault="00232DFA">
            <w:pPr>
              <w:jc w:val="left"/>
              <w:textAlignment w:val="baseline"/>
              <w:rPr>
                <w:rFonts w:ascii="Arial Narrow" w:hAnsi="Arial Narrow" w:cs="Segoe UI"/>
                <w:b/>
                <w:color w:val="333333"/>
                <w:sz w:val="20"/>
                <w:szCs w:val="20"/>
              </w:rPr>
            </w:pPr>
            <w:r w:rsidRPr="00F56B49">
              <w:rPr>
                <w:rFonts w:ascii="Arial Narrow" w:hAnsi="Arial Narrow" w:cs="Segoe UI"/>
                <w:b/>
                <w:color w:val="333333"/>
                <w:sz w:val="20"/>
                <w:szCs w:val="20"/>
              </w:rPr>
              <w:t>Clinical criteria:</w:t>
            </w:r>
          </w:p>
        </w:tc>
      </w:tr>
      <w:tr w:rsidR="00232DFA" w:rsidRPr="00680D32" w14:paraId="6C781DC9"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EA9A052" w14:textId="77777777" w:rsidR="00232DFA" w:rsidRPr="00F56B49" w:rsidRDefault="00232DFA">
            <w:pPr>
              <w:pStyle w:val="Tabletext"/>
              <w:keepNext/>
              <w:rPr>
                <w:rFonts w:cs="Segoe UI"/>
                <w:i/>
              </w:rPr>
            </w:pPr>
            <w:r w:rsidRPr="00F56B49">
              <w:rPr>
                <w:rFonts w:cs="Segoe UI"/>
              </w:rPr>
              <w:t>The treatment must be the sole PBS-subsidised systemic anti-cancer therapy for this condition</w:t>
            </w:r>
            <w:r w:rsidRPr="00F56B49">
              <w:rPr>
                <w:rFonts w:cs="Segoe UI"/>
                <w:i/>
              </w:rPr>
              <w:t>,</w:t>
            </w:r>
          </w:p>
        </w:tc>
      </w:tr>
      <w:tr w:rsidR="00232DFA" w:rsidRPr="00680D32" w14:paraId="3187FF38"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B67A093" w14:textId="77777777" w:rsidR="00232DFA" w:rsidRPr="00F56B49" w:rsidRDefault="00232DFA">
            <w:pPr>
              <w:jc w:val="left"/>
              <w:textAlignment w:val="baseline"/>
              <w:rPr>
                <w:rFonts w:ascii="Arial Narrow" w:hAnsi="Arial Narrow" w:cs="Segoe UI"/>
                <w:b/>
                <w:color w:val="333333"/>
                <w:sz w:val="20"/>
                <w:szCs w:val="20"/>
              </w:rPr>
            </w:pPr>
            <w:r w:rsidRPr="00F56B49">
              <w:rPr>
                <w:rFonts w:ascii="Arial Narrow" w:hAnsi="Arial Narrow" w:cs="Segoe UI"/>
                <w:b/>
                <w:color w:val="333333"/>
                <w:sz w:val="20"/>
                <w:szCs w:val="20"/>
              </w:rPr>
              <w:t>AND</w:t>
            </w:r>
          </w:p>
        </w:tc>
      </w:tr>
      <w:tr w:rsidR="00232DFA" w:rsidRPr="00680D32" w14:paraId="23DB3C57"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245D2182"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b/>
                <w:color w:val="333333"/>
                <w:sz w:val="20"/>
                <w:szCs w:val="20"/>
              </w:rPr>
              <w:t xml:space="preserve">Clinical criteria: </w:t>
            </w:r>
          </w:p>
        </w:tc>
      </w:tr>
      <w:tr w:rsidR="00232DFA" w:rsidRPr="00680D32" w14:paraId="15234322"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C8994EF" w14:textId="77777777" w:rsidR="00232DFA" w:rsidRPr="00F56B49" w:rsidRDefault="00232DFA">
            <w:pPr>
              <w:jc w:val="left"/>
              <w:textAlignment w:val="baseline"/>
              <w:rPr>
                <w:rFonts w:ascii="Arial Narrow" w:hAnsi="Arial Narrow" w:cs="Segoe UI"/>
                <w:i/>
                <w:sz w:val="20"/>
                <w:szCs w:val="20"/>
              </w:rPr>
            </w:pPr>
            <w:r w:rsidRPr="00F56B49">
              <w:rPr>
                <w:rFonts w:ascii="Arial Narrow" w:hAnsi="Arial Narrow" w:cs="Segoe UI"/>
                <w:sz w:val="20"/>
                <w:szCs w:val="20"/>
              </w:rPr>
              <w:t>Patient must have a WHO performance status of 2 or less</w:t>
            </w:r>
            <w:r w:rsidRPr="00F56B49">
              <w:rPr>
                <w:rFonts w:ascii="Arial Narrow" w:hAnsi="Arial Narrow" w:cs="Segoe UI"/>
                <w:i/>
                <w:sz w:val="20"/>
                <w:szCs w:val="20"/>
              </w:rPr>
              <w:t>,</w:t>
            </w:r>
          </w:p>
        </w:tc>
      </w:tr>
      <w:tr w:rsidR="00232DFA" w:rsidRPr="00680D32" w14:paraId="203F2F1E"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34619FE0"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b/>
                <w:color w:val="333333"/>
                <w:sz w:val="20"/>
                <w:szCs w:val="20"/>
              </w:rPr>
              <w:t>AND</w:t>
            </w:r>
            <w:r w:rsidRPr="00F56B49">
              <w:rPr>
                <w:rFonts w:ascii="Arial Narrow" w:hAnsi="Arial Narrow" w:cs="Segoe UI"/>
                <w:color w:val="333333"/>
                <w:sz w:val="20"/>
                <w:szCs w:val="20"/>
              </w:rPr>
              <w:t> </w:t>
            </w:r>
          </w:p>
        </w:tc>
      </w:tr>
      <w:tr w:rsidR="00232DFA" w:rsidRPr="00680D32" w14:paraId="266CDD1C"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5E467C0"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b/>
                <w:color w:val="333333"/>
                <w:sz w:val="20"/>
                <w:szCs w:val="20"/>
              </w:rPr>
              <w:t>Clinical criteria:</w:t>
            </w:r>
            <w:r w:rsidRPr="00F56B49">
              <w:rPr>
                <w:rFonts w:ascii="Arial Narrow" w:hAnsi="Arial Narrow" w:cs="Segoe UI"/>
                <w:color w:val="333333"/>
                <w:sz w:val="20"/>
                <w:szCs w:val="20"/>
              </w:rPr>
              <w:t> </w:t>
            </w:r>
          </w:p>
        </w:tc>
      </w:tr>
      <w:tr w:rsidR="00232DFA" w:rsidRPr="00680D32" w14:paraId="43173D78"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2F744CC" w14:textId="77777777" w:rsidR="00232DFA" w:rsidRPr="00F56B49" w:rsidRDefault="00232DFA">
            <w:pPr>
              <w:pStyle w:val="Tabletext"/>
              <w:keepNext/>
              <w:rPr>
                <w:rFonts w:cs="Segoe UI"/>
                <w:i/>
              </w:rPr>
            </w:pPr>
            <w:r w:rsidRPr="00F56B49">
              <w:rPr>
                <w:rFonts w:cs="Segoe UI"/>
              </w:rPr>
              <w:t>The condition must be non-squamous type non-small cell lung cancer (NSCLC) or not otherwise specified type NSCLC</w:t>
            </w:r>
            <w:r w:rsidRPr="00F56B49">
              <w:rPr>
                <w:rFonts w:cs="Segoe UI"/>
                <w:i/>
              </w:rPr>
              <w:t>,</w:t>
            </w:r>
          </w:p>
        </w:tc>
      </w:tr>
      <w:tr w:rsidR="00232DFA" w:rsidRPr="00680D32" w14:paraId="03532351"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633F0296"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b/>
                <w:color w:val="333333"/>
                <w:sz w:val="20"/>
                <w:szCs w:val="20"/>
              </w:rPr>
              <w:t>AND</w:t>
            </w:r>
            <w:r w:rsidRPr="00F56B49">
              <w:rPr>
                <w:rFonts w:ascii="Arial Narrow" w:hAnsi="Arial Narrow" w:cs="Segoe UI"/>
                <w:color w:val="333333"/>
                <w:sz w:val="20"/>
                <w:szCs w:val="20"/>
              </w:rPr>
              <w:t> </w:t>
            </w:r>
          </w:p>
        </w:tc>
      </w:tr>
      <w:tr w:rsidR="00232DFA" w:rsidRPr="00680D32" w14:paraId="3185BB0A"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3B0E6000"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b/>
                <w:color w:val="333333"/>
                <w:sz w:val="20"/>
                <w:szCs w:val="20"/>
              </w:rPr>
              <w:t>Clinical criteria:</w:t>
            </w:r>
            <w:r w:rsidRPr="00F56B49">
              <w:rPr>
                <w:rFonts w:ascii="Arial Narrow" w:hAnsi="Arial Narrow" w:cs="Segoe UI"/>
                <w:color w:val="333333"/>
                <w:sz w:val="20"/>
                <w:szCs w:val="20"/>
              </w:rPr>
              <w:t> </w:t>
            </w:r>
          </w:p>
        </w:tc>
      </w:tr>
      <w:tr w:rsidR="00232DFA" w:rsidRPr="00680D32" w14:paraId="3BF3D81E"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0D6CFEF" w14:textId="77777777" w:rsidR="00232DFA" w:rsidRPr="00F56B49" w:rsidRDefault="00232DFA">
            <w:pPr>
              <w:pStyle w:val="Tabletext"/>
              <w:keepNext/>
              <w:rPr>
                <w:rFonts w:cs="Segoe UI"/>
                <w:i/>
              </w:rPr>
            </w:pPr>
            <w:r w:rsidRPr="00F56B49">
              <w:rPr>
                <w:rFonts w:cs="Segoe UI"/>
              </w:rPr>
              <w:t>Patient must have evidence of c-ROS proto-oncogene 1 (ROS1) gene rearrangement in tumour material, defined as either: (i) 15% (or greater) positive cells by fluorescence in situ hybridisation (FISH) testing, (ii) positive next generation sequencing (NGS) testing</w:t>
            </w:r>
            <w:r w:rsidRPr="00F56B49">
              <w:rPr>
                <w:rFonts w:cs="Segoe UI"/>
                <w:i/>
              </w:rPr>
              <w:t>,</w:t>
            </w:r>
          </w:p>
        </w:tc>
      </w:tr>
      <w:tr w:rsidR="00232DFA" w:rsidRPr="00680D32" w14:paraId="3AB9B2F5"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12C5BDF" w14:textId="77777777" w:rsidR="00232DFA" w:rsidRPr="00F56B49" w:rsidRDefault="00232DFA">
            <w:pPr>
              <w:jc w:val="left"/>
              <w:textAlignment w:val="baseline"/>
              <w:rPr>
                <w:rFonts w:ascii="Arial Narrow" w:hAnsi="Arial Narrow" w:cs="Segoe UI"/>
                <w:b/>
                <w:sz w:val="20"/>
                <w:szCs w:val="20"/>
              </w:rPr>
            </w:pPr>
            <w:r w:rsidRPr="00F56B49">
              <w:rPr>
                <w:rFonts w:ascii="Arial Narrow" w:hAnsi="Arial Narrow" w:cs="Segoe UI"/>
                <w:b/>
                <w:sz w:val="20"/>
                <w:szCs w:val="20"/>
              </w:rPr>
              <w:t>Prescribing Instructions:</w:t>
            </w:r>
          </w:p>
          <w:p w14:paraId="7DCD56C5"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sz w:val="20"/>
                <w:szCs w:val="20"/>
              </w:rPr>
              <w:t>Applications for authorisation of initial treatment must be made via the Online PBS Authorities System (real time assessment) or in writing via HPOS form upload or mail.</w:t>
            </w:r>
          </w:p>
          <w:p w14:paraId="4986BED3"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sz w:val="20"/>
                <w:szCs w:val="20"/>
              </w:rPr>
              <w:t>If the application is submitted through HPOS form upload or mail, it must include:</w:t>
            </w:r>
          </w:p>
          <w:p w14:paraId="515376D9"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sz w:val="20"/>
                <w:szCs w:val="20"/>
              </w:rPr>
              <w:t>(a) details of the proposed prescription; and</w:t>
            </w:r>
          </w:p>
          <w:p w14:paraId="0A0346A4" w14:textId="77777777" w:rsidR="00232DFA" w:rsidRPr="00F56B49" w:rsidRDefault="00232DFA">
            <w:pPr>
              <w:jc w:val="left"/>
              <w:textAlignment w:val="baseline"/>
              <w:rPr>
                <w:rFonts w:ascii="Arial Narrow" w:hAnsi="Arial Narrow" w:cs="Segoe UI"/>
                <w:sz w:val="20"/>
                <w:szCs w:val="20"/>
              </w:rPr>
            </w:pPr>
            <w:r w:rsidRPr="00F56B49">
              <w:rPr>
                <w:rFonts w:ascii="Arial Narrow" w:hAnsi="Arial Narrow" w:cs="Segoe UI"/>
                <w:sz w:val="20"/>
                <w:szCs w:val="20"/>
              </w:rPr>
              <w:lastRenderedPageBreak/>
              <w:t>(b) a completed authority application form relevant to the indication and treatment phase (the latest version is located on the website specified in the Administrative Advice).</w:t>
            </w:r>
          </w:p>
        </w:tc>
      </w:tr>
      <w:tr w:rsidR="00232DFA" w:rsidRPr="00680D32" w14:paraId="504B55CC"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80D75ED" w14:textId="77777777" w:rsidR="00232DFA" w:rsidRPr="007E2A8F" w:rsidRDefault="00232DFA">
            <w:pPr>
              <w:pStyle w:val="TableText0"/>
            </w:pPr>
            <w:r w:rsidRPr="007E2A8F">
              <w:rPr>
                <w:b/>
              </w:rPr>
              <w:lastRenderedPageBreak/>
              <w:t>Prescribing Instructions:</w:t>
            </w:r>
          </w:p>
          <w:p w14:paraId="1771EF33" w14:textId="77777777" w:rsidR="00232DFA" w:rsidRPr="007E2A8F" w:rsidRDefault="00232DFA">
            <w:pPr>
              <w:pStyle w:val="TableText0"/>
            </w:pPr>
            <w:r w:rsidRPr="007E2A8F">
              <w:t>The following must be documented in the patient's medical records:</w:t>
            </w:r>
          </w:p>
          <w:p w14:paraId="08F23E43" w14:textId="77777777" w:rsidR="00232DFA" w:rsidRPr="007E2A8F" w:rsidRDefault="00232DFA">
            <w:pPr>
              <w:pStyle w:val="TableText0"/>
            </w:pPr>
            <w:r w:rsidRPr="007E2A8F">
              <w:t>(a) evidence of c-ROS proto-oncogene 1 (ROS1) gene rearrangement in tumour material.</w:t>
            </w:r>
          </w:p>
        </w:tc>
      </w:tr>
      <w:tr w:rsidR="00232DFA" w:rsidRPr="00680D32" w14:paraId="7EF424B3" w14:textId="77777777" w:rsidTr="00232DFA">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D6F076B" w14:textId="77777777" w:rsidR="00232DFA" w:rsidRPr="00F56B49" w:rsidRDefault="00232DFA">
            <w:pPr>
              <w:pStyle w:val="TableText0"/>
            </w:pPr>
            <w:r w:rsidRPr="00F56B49">
              <w:rPr>
                <w:b/>
              </w:rPr>
              <w:t>Administrative Advice:</w:t>
            </w:r>
          </w:p>
          <w:p w14:paraId="277C8BC3" w14:textId="77777777" w:rsidR="00232DFA" w:rsidRPr="00F56B49" w:rsidRDefault="00232DFA">
            <w:pPr>
              <w:pStyle w:val="TableText0"/>
            </w:pPr>
            <w:r w:rsidRPr="00F56B49">
              <w:t>Any queries concerning the arrangements to prescribe may be directed to Services Australia on 1800 700 270 (hours of operation 8 a.m. to 5 p.m. Monday to Friday).</w:t>
            </w:r>
          </w:p>
          <w:p w14:paraId="700A7401" w14:textId="77777777" w:rsidR="00232DFA" w:rsidRPr="00F56B49" w:rsidRDefault="00232DFA">
            <w:pPr>
              <w:pStyle w:val="TableText0"/>
            </w:pPr>
          </w:p>
          <w:p w14:paraId="5C114518" w14:textId="77777777" w:rsidR="00232DFA" w:rsidRPr="009C2A0D" w:rsidRDefault="00232DFA">
            <w:pPr>
              <w:pStyle w:val="TableText0"/>
            </w:pPr>
            <w:r w:rsidRPr="00F56B49">
              <w:t xml:space="preserve">Prescribing information (including Authority Application </w:t>
            </w:r>
            <w:r w:rsidRPr="009C2A0D">
              <w:t xml:space="preserve">forms and other relevant documentation as applicable) is available on the Services Australia website at </w:t>
            </w:r>
            <w:hyperlink r:id="rId15" w:history="1">
              <w:r w:rsidRPr="009C2A0D">
                <w:rPr>
                  <w:rStyle w:val="Hyperlink"/>
                  <w:color w:val="auto"/>
                </w:rPr>
                <w:t>www.servicesaustralia.gov.au</w:t>
              </w:r>
            </w:hyperlink>
          </w:p>
          <w:p w14:paraId="1D9497F1" w14:textId="77777777" w:rsidR="00232DFA" w:rsidRPr="009C2A0D" w:rsidRDefault="00232DFA">
            <w:pPr>
              <w:pStyle w:val="TableText0"/>
            </w:pPr>
          </w:p>
          <w:p w14:paraId="6895B371" w14:textId="77777777" w:rsidR="00232DFA" w:rsidRPr="009C2A0D" w:rsidRDefault="00232DFA">
            <w:pPr>
              <w:pStyle w:val="TableText0"/>
            </w:pPr>
            <w:r w:rsidRPr="009C2A0D">
              <w:t xml:space="preserve">Applications for authorisation under this restriction should be made in real time using the Online PBS Authorities system (see </w:t>
            </w:r>
            <w:hyperlink r:id="rId16" w:history="1">
              <w:r w:rsidRPr="009C2A0D">
                <w:rPr>
                  <w:rStyle w:val="Hyperlink"/>
                  <w:color w:val="auto"/>
                </w:rPr>
                <w:t>www.servicesaustralia.gov.au/hpos</w:t>
              </w:r>
            </w:hyperlink>
            <w:r w:rsidRPr="009C2A0D">
              <w:t>)</w:t>
            </w:r>
          </w:p>
          <w:p w14:paraId="5211ED69" w14:textId="77777777" w:rsidR="00232DFA" w:rsidRPr="00F56B49" w:rsidRDefault="00232DFA">
            <w:pPr>
              <w:pStyle w:val="TableText0"/>
            </w:pPr>
          </w:p>
          <w:p w14:paraId="14CDBC8C" w14:textId="77777777" w:rsidR="00232DFA" w:rsidRPr="00F56B49" w:rsidRDefault="00232DFA">
            <w:pPr>
              <w:pStyle w:val="TableText0"/>
            </w:pPr>
            <w:r w:rsidRPr="00F56B49">
              <w:t>Alternatively, applications for authority to prescribe can be submitted online using the form upload facility in Health Professional Online Services (HPOS) at www.servicesaustralia.gov.au/hpos</w:t>
            </w:r>
          </w:p>
          <w:p w14:paraId="33C713D0" w14:textId="77777777" w:rsidR="00232DFA" w:rsidRPr="00F56B49" w:rsidRDefault="00232DFA">
            <w:pPr>
              <w:pStyle w:val="TableText0"/>
            </w:pPr>
            <w:r w:rsidRPr="00F56B49">
              <w:t>Or mailed to:</w:t>
            </w:r>
          </w:p>
          <w:p w14:paraId="774FDAF1" w14:textId="77777777" w:rsidR="00232DFA" w:rsidRPr="00F56B49" w:rsidRDefault="00232DFA">
            <w:pPr>
              <w:pStyle w:val="TableText0"/>
            </w:pPr>
            <w:r w:rsidRPr="00F56B49">
              <w:t>Services Australia</w:t>
            </w:r>
          </w:p>
          <w:p w14:paraId="4D8F3B39" w14:textId="77777777" w:rsidR="00232DFA" w:rsidRPr="00F56B49" w:rsidRDefault="00232DFA">
            <w:pPr>
              <w:pStyle w:val="TableText0"/>
            </w:pPr>
            <w:r w:rsidRPr="00F56B49">
              <w:t>Complex Drugs</w:t>
            </w:r>
          </w:p>
          <w:p w14:paraId="0ADFD44D" w14:textId="77777777" w:rsidR="00232DFA" w:rsidRPr="00F56B49" w:rsidRDefault="00232DFA">
            <w:pPr>
              <w:pStyle w:val="TableText0"/>
            </w:pPr>
            <w:r w:rsidRPr="00F56B49">
              <w:t>Reply Paid 9826</w:t>
            </w:r>
          </w:p>
          <w:p w14:paraId="47E0323D" w14:textId="77777777" w:rsidR="00232DFA" w:rsidRPr="00F56B49" w:rsidRDefault="00232DFA">
            <w:pPr>
              <w:pStyle w:val="TableText0"/>
            </w:pPr>
            <w:r w:rsidRPr="00F56B49">
              <w:t>HOBART TAS 7001</w:t>
            </w:r>
          </w:p>
        </w:tc>
      </w:tr>
      <w:tr w:rsidR="00B278C7" w:rsidRPr="00680D32" w14:paraId="7719FA7E" w14:textId="77777777">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8F5C1D6" w14:textId="77777777" w:rsidR="00B278C7" w:rsidRPr="00F56B49" w:rsidRDefault="00B278C7">
            <w:pPr>
              <w:pStyle w:val="TableText0"/>
              <w:rPr>
                <w:b/>
              </w:rPr>
            </w:pPr>
          </w:p>
        </w:tc>
      </w:tr>
      <w:tr w:rsidR="00B562A0" w:rsidRPr="00680D32" w14:paraId="232DA822" w14:textId="77777777" w:rsidTr="00D55F7B">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6108791" w14:textId="46F081D4" w:rsidR="00B562A0" w:rsidRPr="00F56B49" w:rsidRDefault="00B562A0">
            <w:pPr>
              <w:jc w:val="left"/>
              <w:textAlignment w:val="baseline"/>
              <w:rPr>
                <w:rFonts w:ascii="Arial Narrow" w:hAnsi="Arial Narrow" w:cs="Segoe UI"/>
                <w:b/>
                <w:color w:val="333333"/>
                <w:sz w:val="20"/>
                <w:szCs w:val="20"/>
              </w:rPr>
            </w:pPr>
            <w:r w:rsidRPr="00F56B49">
              <w:rPr>
                <w:rFonts w:ascii="Arial Narrow" w:hAnsi="Arial Narrow" w:cs="Segoe UI"/>
                <w:b/>
                <w:sz w:val="20"/>
                <w:szCs w:val="20"/>
              </w:rPr>
              <w:t xml:space="preserve">Restriction Summary / Treatment of Concept: </w:t>
            </w:r>
          </w:p>
        </w:tc>
      </w:tr>
      <w:tr w:rsidR="001243C2" w:rsidRPr="00680D32" w14:paraId="4FC4807F"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488D0F1" w14:textId="77777777" w:rsidR="001243C2" w:rsidRPr="00F56B49" w:rsidRDefault="001243C2">
            <w:pPr>
              <w:jc w:val="left"/>
              <w:textAlignment w:val="baseline"/>
              <w:rPr>
                <w:rFonts w:ascii="Arial Narrow" w:hAnsi="Arial Narrow" w:cs="Segoe UI"/>
                <w:color w:val="333333"/>
                <w:sz w:val="20"/>
                <w:szCs w:val="20"/>
              </w:rPr>
            </w:pPr>
            <w:r w:rsidRPr="00F56B49">
              <w:rPr>
                <w:rFonts w:ascii="Arial Narrow" w:hAnsi="Arial Narrow" w:cs="Segoe UI"/>
                <w:b/>
                <w:color w:val="333333"/>
                <w:sz w:val="20"/>
                <w:szCs w:val="20"/>
              </w:rPr>
              <w:t>Indication:</w:t>
            </w:r>
            <w:r w:rsidRPr="00F56B49">
              <w:rPr>
                <w:rFonts w:ascii="Arial Narrow" w:hAnsi="Arial Narrow" w:cs="Segoe UI"/>
                <w:color w:val="333333"/>
                <w:sz w:val="20"/>
                <w:szCs w:val="20"/>
              </w:rPr>
              <w:t xml:space="preserve"> </w:t>
            </w:r>
            <w:r w:rsidRPr="00F56B49">
              <w:rPr>
                <w:rFonts w:ascii="Arial Narrow" w:eastAsiaTheme="majorEastAsia" w:hAnsi="Arial Narrow" w:cs="Segoe UI"/>
                <w:sz w:val="20"/>
                <w:szCs w:val="20"/>
                <w:lang w:eastAsia="en-US" w:bidi="en-US"/>
              </w:rPr>
              <w:t>Stage IIIB (locally advanced) or Stage IV (metastatic) non-small cell lung cancer (NSCLC)</w:t>
            </w:r>
          </w:p>
        </w:tc>
      </w:tr>
      <w:tr w:rsidR="001243C2" w:rsidRPr="00680D32" w14:paraId="06C92DE7"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565A072" w14:textId="77777777" w:rsidR="001243C2" w:rsidRPr="00F56B49" w:rsidRDefault="001243C2">
            <w:pPr>
              <w:pStyle w:val="TableText0"/>
              <w:rPr>
                <w:b/>
              </w:rPr>
            </w:pPr>
            <w:r w:rsidRPr="00F56B49">
              <w:rPr>
                <w:rFonts w:cs="Segoe UI"/>
                <w:b/>
                <w:color w:val="333333"/>
              </w:rPr>
              <w:t>Treatment Phase:</w:t>
            </w:r>
            <w:r w:rsidRPr="00F56B49">
              <w:rPr>
                <w:rFonts w:cs="Segoe UI"/>
                <w:color w:val="FF0000"/>
              </w:rPr>
              <w:t xml:space="preserve"> </w:t>
            </w:r>
            <w:r w:rsidRPr="00F56B49">
              <w:rPr>
                <w:rFonts w:cs="Segoe UI"/>
              </w:rPr>
              <w:t xml:space="preserve">Continuing treatment </w:t>
            </w:r>
          </w:p>
        </w:tc>
      </w:tr>
      <w:tr w:rsidR="001243C2" w:rsidRPr="00680D32" w14:paraId="6F8472F3"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EF2B130" w14:textId="77777777" w:rsidR="001243C2" w:rsidRPr="00F56B49" w:rsidRDefault="001243C2">
            <w:pPr>
              <w:pStyle w:val="TableText0"/>
              <w:rPr>
                <w:b/>
              </w:rPr>
            </w:pPr>
            <w:r w:rsidRPr="00F56B49">
              <w:rPr>
                <w:rFonts w:cs="Segoe UI"/>
                <w:b/>
                <w:color w:val="333333"/>
              </w:rPr>
              <w:t>Clinical criteria:</w:t>
            </w:r>
          </w:p>
        </w:tc>
      </w:tr>
      <w:tr w:rsidR="001243C2" w:rsidRPr="00680D32" w14:paraId="03A83EF0"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3D168A5" w14:textId="77777777" w:rsidR="001243C2" w:rsidRPr="00F56B49" w:rsidRDefault="001243C2">
            <w:pPr>
              <w:pStyle w:val="TableText0"/>
              <w:rPr>
                <w:b/>
              </w:rPr>
            </w:pPr>
            <w:r w:rsidRPr="00F56B49">
              <w:rPr>
                <w:rFonts w:cs="Segoe UI"/>
              </w:rPr>
              <w:t>The treatment must be the sole PBS-subsidised systemic anti-cancer therapy for this condition</w:t>
            </w:r>
          </w:p>
        </w:tc>
      </w:tr>
      <w:tr w:rsidR="001243C2" w:rsidRPr="00680D32" w14:paraId="003EA872"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1A0501" w14:textId="77777777" w:rsidR="001243C2" w:rsidRPr="00F56B49" w:rsidRDefault="001243C2">
            <w:pPr>
              <w:pStyle w:val="TableText0"/>
              <w:rPr>
                <w:b/>
              </w:rPr>
            </w:pPr>
            <w:r w:rsidRPr="00F56B49">
              <w:rPr>
                <w:rFonts w:cs="Segoe UI"/>
                <w:b/>
                <w:color w:val="333333"/>
              </w:rPr>
              <w:t>AND</w:t>
            </w:r>
          </w:p>
        </w:tc>
      </w:tr>
      <w:tr w:rsidR="001243C2" w:rsidRPr="00680D32" w14:paraId="468991C6"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BC52E2F" w14:textId="77777777" w:rsidR="001243C2" w:rsidRPr="00F56B49" w:rsidRDefault="001243C2">
            <w:pPr>
              <w:pStyle w:val="TableText0"/>
              <w:rPr>
                <w:b/>
              </w:rPr>
            </w:pPr>
            <w:r w:rsidRPr="00F56B49">
              <w:rPr>
                <w:rFonts w:cs="Segoe UI"/>
                <w:b/>
                <w:color w:val="333333"/>
              </w:rPr>
              <w:t xml:space="preserve">Clinical criteria: </w:t>
            </w:r>
          </w:p>
        </w:tc>
      </w:tr>
      <w:tr w:rsidR="001243C2" w:rsidRPr="00680D32" w14:paraId="4C63D96F"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84579F0" w14:textId="77777777" w:rsidR="001243C2" w:rsidRPr="00F56B49" w:rsidRDefault="001243C2">
            <w:pPr>
              <w:pStyle w:val="TableText0"/>
            </w:pPr>
            <w:r w:rsidRPr="00F56B49">
              <w:t>Patient must have previously received PBS-subsidised treatment with this drug for this condition</w:t>
            </w:r>
          </w:p>
        </w:tc>
      </w:tr>
      <w:tr w:rsidR="001243C2" w:rsidRPr="00680D32" w14:paraId="28CFB641"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CD4550D" w14:textId="77777777" w:rsidR="001243C2" w:rsidRPr="00F56B49" w:rsidRDefault="001243C2">
            <w:pPr>
              <w:pStyle w:val="TableText0"/>
              <w:rPr>
                <w:b/>
              </w:rPr>
            </w:pPr>
            <w:r w:rsidRPr="00F56B49">
              <w:rPr>
                <w:rFonts w:cs="Segoe UI"/>
                <w:b/>
                <w:color w:val="333333"/>
              </w:rPr>
              <w:t>AND</w:t>
            </w:r>
            <w:r w:rsidRPr="00F56B49">
              <w:rPr>
                <w:rFonts w:cs="Segoe UI"/>
                <w:color w:val="333333"/>
              </w:rPr>
              <w:t> </w:t>
            </w:r>
          </w:p>
        </w:tc>
      </w:tr>
      <w:tr w:rsidR="001243C2" w:rsidRPr="00680D32" w14:paraId="1C5EE0D4"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A61FE1F" w14:textId="77777777" w:rsidR="001243C2" w:rsidRPr="00F56B49" w:rsidRDefault="001243C2">
            <w:pPr>
              <w:pStyle w:val="TableText0"/>
              <w:rPr>
                <w:b/>
              </w:rPr>
            </w:pPr>
            <w:r w:rsidRPr="00F56B49">
              <w:rPr>
                <w:rFonts w:cs="Segoe UI"/>
                <w:b/>
                <w:color w:val="333333"/>
              </w:rPr>
              <w:t>Clinical criteria:</w:t>
            </w:r>
            <w:r w:rsidRPr="00F56B49">
              <w:rPr>
                <w:rFonts w:cs="Segoe UI"/>
                <w:color w:val="333333"/>
              </w:rPr>
              <w:t> </w:t>
            </w:r>
          </w:p>
        </w:tc>
      </w:tr>
      <w:tr w:rsidR="001243C2" w:rsidRPr="00680D32" w14:paraId="4D03BA06"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5EF6BB5" w14:textId="77777777" w:rsidR="001243C2" w:rsidRPr="00F56B49" w:rsidRDefault="001243C2">
            <w:pPr>
              <w:pStyle w:val="TableText0"/>
              <w:rPr>
                <w:b/>
              </w:rPr>
            </w:pPr>
            <w:r w:rsidRPr="00F56B49">
              <w:rPr>
                <w:rFonts w:cs="Segoe UI"/>
              </w:rPr>
              <w:t>Patient must not have developed disease progression while receiving PBS-subsidised treatment with this drug for this condition.</w:t>
            </w:r>
          </w:p>
        </w:tc>
      </w:tr>
      <w:tr w:rsidR="001243C2" w:rsidRPr="00680D32" w14:paraId="695077E5" w14:textId="77777777" w:rsidTr="001243C2">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C1F63D7" w14:textId="77777777" w:rsidR="001243C2" w:rsidRPr="00F56B49" w:rsidRDefault="001243C2">
            <w:pPr>
              <w:pStyle w:val="TableText0"/>
              <w:rPr>
                <w:b/>
              </w:rPr>
            </w:pPr>
            <w:r w:rsidRPr="00F56B49">
              <w:rPr>
                <w:b/>
              </w:rPr>
              <w:t>Administrative Advice:</w:t>
            </w:r>
          </w:p>
          <w:p w14:paraId="1B460C3E" w14:textId="77777777" w:rsidR="001243C2" w:rsidRPr="00F56B49" w:rsidRDefault="001243C2">
            <w:pPr>
              <w:pStyle w:val="TableText0"/>
            </w:pPr>
            <w:r w:rsidRPr="00F56B49">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B278C7" w:rsidRPr="00680D32" w14:paraId="5E1C413F" w14:textId="77777777">
        <w:trPr>
          <w:trHeight w:val="300"/>
        </w:trPr>
        <w:tc>
          <w:tcPr>
            <w:tcW w:w="901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F147012" w14:textId="416958F4" w:rsidR="00B278C7" w:rsidRPr="001C5988" w:rsidRDefault="00B278C7">
            <w:pPr>
              <w:pStyle w:val="TableText0"/>
              <w:rPr>
                <w:b/>
                <w:i/>
              </w:rPr>
            </w:pPr>
          </w:p>
        </w:tc>
      </w:tr>
    </w:tbl>
    <w:p w14:paraId="4ACC35BD" w14:textId="38D3E5D5" w:rsidR="001C5988" w:rsidRPr="001C5988" w:rsidRDefault="00230C11" w:rsidP="001C5988">
      <w:pPr>
        <w:widowControl w:val="0"/>
        <w:spacing w:after="120"/>
        <w:contextualSpacing/>
        <w:jc w:val="left"/>
        <w:rPr>
          <w:rFonts w:asciiTheme="minorHAnsi" w:hAnsiTheme="minorHAnsi"/>
          <w:bCs/>
          <w:snapToGrid w:val="0"/>
          <w:lang w:eastAsia="en-US"/>
        </w:rPr>
      </w:pPr>
      <w:r w:rsidRPr="001C5988">
        <w:rPr>
          <w:rFonts w:asciiTheme="minorHAnsi" w:hAnsiTheme="minorHAnsi"/>
          <w:bCs/>
          <w:snapToGrid w:val="0"/>
          <w:lang w:eastAsia="en-US"/>
        </w:rPr>
        <w:t>*</w:t>
      </w:r>
      <w:r w:rsidR="00A71367" w:rsidRPr="001C5988">
        <w:rPr>
          <w:rFonts w:asciiTheme="minorHAnsi" w:hAnsiTheme="minorHAnsi"/>
          <w:bCs/>
          <w:snapToGrid w:val="0"/>
          <w:lang w:eastAsia="en-US"/>
        </w:rPr>
        <w:t xml:space="preserve">Pending the final TGA registration, </w:t>
      </w:r>
      <w:r w:rsidR="0003211A" w:rsidRPr="001C5988">
        <w:rPr>
          <w:rFonts w:asciiTheme="minorHAnsi" w:hAnsiTheme="minorHAnsi"/>
          <w:bCs/>
          <w:snapToGrid w:val="0"/>
          <w:lang w:eastAsia="en-US"/>
        </w:rPr>
        <w:t xml:space="preserve">the restrictions may change if repotrectinib is </w:t>
      </w:r>
      <w:r w:rsidR="00BA2223" w:rsidRPr="001C5988">
        <w:rPr>
          <w:rFonts w:asciiTheme="minorHAnsi" w:hAnsiTheme="minorHAnsi"/>
          <w:bCs/>
          <w:snapToGrid w:val="0"/>
          <w:lang w:eastAsia="en-US"/>
        </w:rPr>
        <w:t xml:space="preserve">approved as first-line drug therapy only. </w:t>
      </w:r>
      <w:r w:rsidR="00B41342" w:rsidRPr="001C5988">
        <w:rPr>
          <w:rFonts w:asciiTheme="minorHAnsi" w:hAnsiTheme="minorHAnsi"/>
          <w:bCs/>
          <w:snapToGrid w:val="0"/>
          <w:lang w:eastAsia="en-US"/>
        </w:rPr>
        <w:t xml:space="preserve"> </w:t>
      </w:r>
    </w:p>
    <w:p w14:paraId="55290F9D" w14:textId="65F78191" w:rsidR="00B278C7" w:rsidRPr="001C5988" w:rsidRDefault="00B278C7" w:rsidP="00683744">
      <w:pPr>
        <w:pStyle w:val="3-BodyText"/>
        <w:rPr>
          <w:bCs/>
          <w:snapToGrid w:val="0"/>
          <w:lang w:eastAsia="en-US"/>
        </w:rPr>
      </w:pPr>
      <w:r w:rsidRPr="001C5988">
        <w:rPr>
          <w:rFonts w:cs="Calibri"/>
        </w:rPr>
        <w:t xml:space="preserve">Flow-on changes to 1L and 2L immunotherapy PBS listings for </w:t>
      </w:r>
      <w:r w:rsidRPr="001C5988">
        <w:t xml:space="preserve">Stage IIIB (locally advanced) or Stage IV (metastatic) non-small lung cancer (NSCLC) to allow access to patients who progressed after </w:t>
      </w:r>
      <w:r w:rsidR="00E5172B">
        <w:t>targeted</w:t>
      </w:r>
      <w:r w:rsidRPr="001C5988">
        <w:t xml:space="preserve"> treatment:</w:t>
      </w:r>
    </w:p>
    <w:p w14:paraId="3EE6282A" w14:textId="553CA589" w:rsidR="00B278C7" w:rsidRPr="001C5988" w:rsidRDefault="00B278C7" w:rsidP="00683744">
      <w:pPr>
        <w:pStyle w:val="ListParagraph"/>
        <w:numPr>
          <w:ilvl w:val="0"/>
          <w:numId w:val="38"/>
        </w:numPr>
        <w:spacing w:after="160" w:line="278" w:lineRule="auto"/>
        <w:ind w:left="1134"/>
        <w:contextualSpacing/>
        <w:jc w:val="both"/>
        <w:rPr>
          <w:rFonts w:ascii="Calibri" w:hAnsi="Calibri" w:cs="Calibri"/>
        </w:rPr>
      </w:pPr>
      <w:r w:rsidRPr="001C5988">
        <w:rPr>
          <w:rFonts w:ascii="Calibri" w:hAnsi="Calibri" w:cs="Calibri"/>
        </w:rPr>
        <w:t>Amend the clinical criterion that currently exists in pembrolizumab (11492W, 12121Y, 12119W).</w:t>
      </w:r>
    </w:p>
    <w:tbl>
      <w:tblPr>
        <w:tblStyle w:val="TableGrid"/>
        <w:tblW w:w="0" w:type="auto"/>
        <w:tblLook w:val="04A0" w:firstRow="1" w:lastRow="0" w:firstColumn="1" w:lastColumn="0" w:noHBand="0" w:noVBand="1"/>
      </w:tblPr>
      <w:tblGrid>
        <w:gridCol w:w="1129"/>
        <w:gridCol w:w="7887"/>
      </w:tblGrid>
      <w:tr w:rsidR="00B278C7" w:rsidRPr="006259EB" w14:paraId="54B54188" w14:textId="77777777">
        <w:tc>
          <w:tcPr>
            <w:tcW w:w="1129" w:type="dxa"/>
          </w:tcPr>
          <w:p w14:paraId="6DDA7419" w14:textId="6AF9CA56" w:rsidR="00B278C7" w:rsidRPr="006259EB" w:rsidRDefault="00B278C7">
            <w:pPr>
              <w:rPr>
                <w:sz w:val="22"/>
                <w:szCs w:val="22"/>
              </w:rPr>
            </w:pPr>
          </w:p>
        </w:tc>
        <w:tc>
          <w:tcPr>
            <w:tcW w:w="7887" w:type="dxa"/>
          </w:tcPr>
          <w:p w14:paraId="70A4D33F" w14:textId="77777777" w:rsidR="00B278C7" w:rsidRPr="006259EB" w:rsidRDefault="00B278C7">
            <w:pPr>
              <w:rPr>
                <w:b/>
                <w:sz w:val="22"/>
                <w:szCs w:val="22"/>
              </w:rPr>
            </w:pPr>
            <w:r w:rsidRPr="006259EB">
              <w:rPr>
                <w:b/>
                <w:sz w:val="22"/>
                <w:szCs w:val="22"/>
              </w:rPr>
              <w:t>Clinical criteria:</w:t>
            </w:r>
          </w:p>
          <w:p w14:paraId="7E4914F0" w14:textId="3923EBA8" w:rsidR="00B278C7" w:rsidRPr="006259EB" w:rsidRDefault="00B278C7">
            <w:pPr>
              <w:rPr>
                <w:strike/>
                <w:sz w:val="22"/>
                <w:szCs w:val="22"/>
              </w:rPr>
            </w:pPr>
            <w:r w:rsidRPr="006259EB">
              <w:rPr>
                <w:sz w:val="22"/>
                <w:szCs w:val="22"/>
              </w:rPr>
              <w:t>The condition must have progressed after treatment with</w:t>
            </w:r>
            <w:r w:rsidRPr="006259EB">
              <w:rPr>
                <w:strike/>
                <w:sz w:val="22"/>
                <w:szCs w:val="22"/>
              </w:rPr>
              <w:t xml:space="preserve"> only one of (i) tepotinib, (ii) selpercatinib</w:t>
            </w:r>
            <w:r w:rsidRPr="006259EB">
              <w:rPr>
                <w:sz w:val="22"/>
                <w:szCs w:val="22"/>
              </w:rPr>
              <w:t xml:space="preserve"> </w:t>
            </w:r>
            <w:r w:rsidRPr="006259EB">
              <w:rPr>
                <w:i/>
                <w:sz w:val="22"/>
                <w:szCs w:val="22"/>
              </w:rPr>
              <w:t xml:space="preserve">any of the </w:t>
            </w:r>
            <w:r w:rsidR="00F65394">
              <w:rPr>
                <w:i/>
                <w:sz w:val="22"/>
                <w:szCs w:val="22"/>
              </w:rPr>
              <w:t xml:space="preserve">prior targeted </w:t>
            </w:r>
            <w:r w:rsidRPr="006259EB">
              <w:rPr>
                <w:i/>
                <w:sz w:val="22"/>
                <w:szCs w:val="22"/>
              </w:rPr>
              <w:t>therap</w:t>
            </w:r>
            <w:r w:rsidR="003C3C11">
              <w:rPr>
                <w:i/>
                <w:sz w:val="22"/>
                <w:szCs w:val="22"/>
              </w:rPr>
              <w:t>ies</w:t>
            </w:r>
            <w:r w:rsidRPr="006259EB">
              <w:rPr>
                <w:i/>
                <w:sz w:val="22"/>
                <w:szCs w:val="22"/>
              </w:rPr>
              <w:t xml:space="preserve"> that </w:t>
            </w:r>
            <w:r w:rsidR="00916861">
              <w:rPr>
                <w:i/>
                <w:sz w:val="22"/>
                <w:szCs w:val="22"/>
              </w:rPr>
              <w:t xml:space="preserve">is </w:t>
            </w:r>
            <w:r w:rsidRPr="006259EB">
              <w:rPr>
                <w:i/>
                <w:sz w:val="22"/>
                <w:szCs w:val="22"/>
              </w:rPr>
              <w:t xml:space="preserve">PBS listed for this condition. </w:t>
            </w:r>
          </w:p>
        </w:tc>
      </w:tr>
    </w:tbl>
    <w:p w14:paraId="489FF278" w14:textId="77777777" w:rsidR="00B278C7" w:rsidRPr="006259EB" w:rsidRDefault="00B278C7" w:rsidP="00B278C7">
      <w:pPr>
        <w:rPr>
          <w:sz w:val="22"/>
          <w:szCs w:val="22"/>
        </w:rPr>
      </w:pPr>
    </w:p>
    <w:p w14:paraId="34419F12" w14:textId="4ABF4394" w:rsidR="00B278C7" w:rsidRPr="001C5988" w:rsidRDefault="00B278C7" w:rsidP="005515C0">
      <w:pPr>
        <w:pStyle w:val="ListParagraph"/>
        <w:numPr>
          <w:ilvl w:val="0"/>
          <w:numId w:val="38"/>
        </w:numPr>
        <w:spacing w:after="160" w:line="278" w:lineRule="auto"/>
        <w:ind w:left="1134"/>
        <w:contextualSpacing/>
        <w:jc w:val="both"/>
        <w:rPr>
          <w:rFonts w:ascii="Calibri" w:hAnsi="Calibri" w:cs="Calibri"/>
        </w:rPr>
      </w:pPr>
      <w:r w:rsidRPr="001C5988">
        <w:rPr>
          <w:rFonts w:ascii="Calibri" w:hAnsi="Calibri" w:cs="Calibri"/>
        </w:rPr>
        <w:t>Amend the clinical criterion that currently exists in nivolumab (11158G, 11143L, 12315E, 12323N) and atezolizumab (11284X, 11309F, 11940K, 14250B, 14247W, 11792P, 11807K, 14266W, 14298M) and cemiplimab (13160P, 13169D).</w:t>
      </w:r>
    </w:p>
    <w:tbl>
      <w:tblPr>
        <w:tblStyle w:val="TableGrid"/>
        <w:tblW w:w="0" w:type="auto"/>
        <w:tblLook w:val="04A0" w:firstRow="1" w:lastRow="0" w:firstColumn="1" w:lastColumn="0" w:noHBand="0" w:noVBand="1"/>
      </w:tblPr>
      <w:tblGrid>
        <w:gridCol w:w="1129"/>
        <w:gridCol w:w="7887"/>
      </w:tblGrid>
      <w:tr w:rsidR="00B278C7" w:rsidRPr="006259EB" w14:paraId="78B6C6BB" w14:textId="77777777">
        <w:tc>
          <w:tcPr>
            <w:tcW w:w="1129" w:type="dxa"/>
          </w:tcPr>
          <w:p w14:paraId="5A1BA647" w14:textId="0C6EEBF2" w:rsidR="00B278C7" w:rsidRPr="006259EB" w:rsidRDefault="00B278C7">
            <w:pPr>
              <w:rPr>
                <w:sz w:val="22"/>
                <w:szCs w:val="22"/>
              </w:rPr>
            </w:pPr>
          </w:p>
        </w:tc>
        <w:tc>
          <w:tcPr>
            <w:tcW w:w="7887" w:type="dxa"/>
          </w:tcPr>
          <w:p w14:paraId="71C6E495" w14:textId="77777777" w:rsidR="00B278C7" w:rsidRPr="006259EB" w:rsidRDefault="00B278C7">
            <w:pPr>
              <w:rPr>
                <w:b/>
                <w:sz w:val="22"/>
                <w:szCs w:val="22"/>
              </w:rPr>
            </w:pPr>
            <w:r w:rsidRPr="006259EB">
              <w:rPr>
                <w:b/>
                <w:sz w:val="22"/>
                <w:szCs w:val="22"/>
              </w:rPr>
              <w:t>Clinical criteria:</w:t>
            </w:r>
          </w:p>
          <w:p w14:paraId="763C0C74" w14:textId="416C6A78" w:rsidR="00B278C7" w:rsidRPr="006259EB" w:rsidRDefault="00B278C7">
            <w:pPr>
              <w:rPr>
                <w:strike/>
                <w:sz w:val="22"/>
                <w:szCs w:val="22"/>
              </w:rPr>
            </w:pPr>
            <w:r w:rsidRPr="006259EB">
              <w:rPr>
                <w:sz w:val="22"/>
                <w:szCs w:val="22"/>
              </w:rPr>
              <w:t xml:space="preserve">The condition must have progressed after treatment with </w:t>
            </w:r>
            <w:r w:rsidRPr="006259EB">
              <w:rPr>
                <w:strike/>
                <w:sz w:val="22"/>
                <w:szCs w:val="22"/>
              </w:rPr>
              <w:t>tepotinib</w:t>
            </w:r>
            <w:r w:rsidRPr="006259EB">
              <w:rPr>
                <w:sz w:val="22"/>
                <w:szCs w:val="22"/>
              </w:rPr>
              <w:t xml:space="preserve"> </w:t>
            </w:r>
            <w:r w:rsidRPr="006259EB">
              <w:rPr>
                <w:i/>
                <w:sz w:val="22"/>
                <w:szCs w:val="22"/>
              </w:rPr>
              <w:t xml:space="preserve">any of the </w:t>
            </w:r>
            <w:r w:rsidR="00916861">
              <w:rPr>
                <w:i/>
                <w:sz w:val="22"/>
                <w:szCs w:val="22"/>
              </w:rPr>
              <w:t>prior targeted</w:t>
            </w:r>
            <w:r w:rsidRPr="006259EB">
              <w:rPr>
                <w:i/>
                <w:sz w:val="22"/>
                <w:szCs w:val="22"/>
              </w:rPr>
              <w:t xml:space="preserve"> therap</w:t>
            </w:r>
            <w:r w:rsidR="003C3C11">
              <w:rPr>
                <w:i/>
                <w:sz w:val="22"/>
                <w:szCs w:val="22"/>
              </w:rPr>
              <w:t>ies</w:t>
            </w:r>
            <w:r w:rsidRPr="006259EB">
              <w:rPr>
                <w:i/>
                <w:sz w:val="22"/>
                <w:szCs w:val="22"/>
              </w:rPr>
              <w:t xml:space="preserve"> that </w:t>
            </w:r>
            <w:r w:rsidR="00916861">
              <w:rPr>
                <w:i/>
                <w:sz w:val="22"/>
                <w:szCs w:val="22"/>
              </w:rPr>
              <w:t>is</w:t>
            </w:r>
            <w:r w:rsidRPr="006259EB">
              <w:rPr>
                <w:i/>
                <w:sz w:val="22"/>
                <w:szCs w:val="22"/>
              </w:rPr>
              <w:t xml:space="preserve"> PBS listed for this condition.</w:t>
            </w:r>
          </w:p>
        </w:tc>
      </w:tr>
    </w:tbl>
    <w:bookmarkEnd w:id="81"/>
    <w:p w14:paraId="014E8040" w14:textId="2F88FB3B" w:rsidR="00BB475E" w:rsidRDefault="00E27FE0" w:rsidP="00C42029">
      <w:pPr>
        <w:pStyle w:val="COMexecsummnumbered"/>
        <w:spacing w:before="120" w:after="120"/>
        <w:ind w:left="0" w:firstLine="0"/>
      </w:pPr>
      <w:r w:rsidRPr="00806FD5">
        <w:rPr>
          <w:rFonts w:eastAsia="Times New Roman" w:cs="Arial"/>
          <w:b/>
          <w:i/>
          <w:iCs/>
          <w:snapToGrid w:val="0"/>
          <w:szCs w:val="24"/>
          <w:lang w:val="en-GB" w:eastAsia="en-US"/>
        </w:rPr>
        <w:t>These restrictions may be subject to further review. Should there be any changes made to the restriction the sponsor will be informed.</w:t>
      </w:r>
    </w:p>
    <w:bookmarkEnd w:id="80"/>
    <w:p w14:paraId="76E5F912" w14:textId="77777777" w:rsidR="0070445D" w:rsidRPr="00061CBE" w:rsidRDefault="0070445D" w:rsidP="0070445D">
      <w:pPr>
        <w:pStyle w:val="2-SectionHeading"/>
        <w:numPr>
          <w:ilvl w:val="0"/>
          <w:numId w:val="0"/>
        </w:numPr>
        <w:ind w:left="720" w:hanging="720"/>
        <w:rPr>
          <w:lang w:val="en-GB"/>
        </w:rPr>
      </w:pPr>
      <w:r w:rsidRPr="00061CBE">
        <w:t>9</w:t>
      </w:r>
      <w:r w:rsidRPr="00061CBE">
        <w:tab/>
        <w:t>Context for Decision</w:t>
      </w:r>
    </w:p>
    <w:p w14:paraId="6F910CC4" w14:textId="77777777" w:rsidR="0070445D" w:rsidRPr="00061CBE" w:rsidRDefault="0070445D" w:rsidP="005515C0">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AA3A454" w14:textId="77777777" w:rsidR="0070445D" w:rsidRPr="00061CBE" w:rsidRDefault="0070445D" w:rsidP="0070445D">
      <w:pPr>
        <w:pStyle w:val="2-SectionHeading"/>
        <w:numPr>
          <w:ilvl w:val="0"/>
          <w:numId w:val="0"/>
        </w:numPr>
        <w:ind w:left="720" w:hanging="720"/>
      </w:pPr>
      <w:r w:rsidRPr="00061CBE">
        <w:t>10</w:t>
      </w:r>
      <w:r w:rsidRPr="00061CBE">
        <w:tab/>
        <w:t>Sponsor’s Comment</w:t>
      </w:r>
    </w:p>
    <w:p w14:paraId="46EF28A2" w14:textId="695879A7" w:rsidR="00753B29" w:rsidRPr="0098262F" w:rsidRDefault="00DF19C0" w:rsidP="003C26A4">
      <w:pPr>
        <w:spacing w:before="120" w:after="120"/>
        <w:ind w:left="720"/>
        <w:rPr>
          <w:rFonts w:asciiTheme="minorHAnsi" w:hAnsiTheme="minorHAnsi"/>
          <w:b/>
          <w:snapToGrid w:val="0"/>
          <w:sz w:val="32"/>
          <w:szCs w:val="32"/>
        </w:rPr>
      </w:pPr>
      <w:r>
        <w:rPr>
          <w:bCs/>
          <w:lang w:val="en-GB"/>
        </w:rPr>
        <w:t>The Sponsor welcomes the PBAC’s recommendation of repotrectinib for the treatment of ROS1-positive non-small cell lung cancer.</w:t>
      </w:r>
    </w:p>
    <w:sectPr w:rsidR="00753B29" w:rsidRPr="0098262F" w:rsidSect="00BB73A9">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276" w:left="1440" w:header="1440" w:footer="13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B5C3" w14:textId="77777777" w:rsidR="001B7EC9" w:rsidRDefault="001B7EC9" w:rsidP="00124A51">
      <w:r>
        <w:separator/>
      </w:r>
    </w:p>
    <w:p w14:paraId="21ECC359" w14:textId="77777777" w:rsidR="001B7EC9" w:rsidRDefault="001B7EC9"/>
  </w:endnote>
  <w:endnote w:type="continuationSeparator" w:id="0">
    <w:p w14:paraId="3DEA0A54" w14:textId="77777777" w:rsidR="001B7EC9" w:rsidRDefault="001B7EC9" w:rsidP="00124A51">
      <w:r>
        <w:continuationSeparator/>
      </w:r>
    </w:p>
    <w:p w14:paraId="569B01CB" w14:textId="77777777" w:rsidR="001B7EC9" w:rsidRDefault="001B7EC9"/>
  </w:endnote>
  <w:endnote w:type="continuationNotice" w:id="1">
    <w:p w14:paraId="183EBB7D" w14:textId="77777777" w:rsidR="001B7EC9" w:rsidRDefault="001B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D2BC" w14:textId="0BB890BF" w:rsidR="0057223D" w:rsidRDefault="0049305C">
    <w:pPr>
      <w:pStyle w:val="Footer"/>
    </w:pPr>
    <w:r>
      <w:rPr>
        <w:noProof/>
      </w:rPr>
      <mc:AlternateContent>
        <mc:Choice Requires="wps">
          <w:drawing>
            <wp:anchor distT="0" distB="0" distL="0" distR="0" simplePos="0" relativeHeight="251668480" behindDoc="0" locked="0" layoutInCell="1" allowOverlap="1" wp14:anchorId="4295B751" wp14:editId="21862060">
              <wp:simplePos x="635" y="635"/>
              <wp:positionH relativeFrom="page">
                <wp:align>center</wp:align>
              </wp:positionH>
              <wp:positionV relativeFrom="page">
                <wp:align>bottom</wp:align>
              </wp:positionV>
              <wp:extent cx="551815" cy="376555"/>
              <wp:effectExtent l="0" t="0" r="635" b="0"/>
              <wp:wrapNone/>
              <wp:docPr id="199197420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88818C" w14:textId="26DE9946" w:rsidR="0049305C" w:rsidRPr="0049305C" w:rsidRDefault="0049305C" w:rsidP="0049305C">
                          <w:pPr>
                            <w:rPr>
                              <w:rFonts w:eastAsia="Calibri" w:cs="Calibri"/>
                              <w:noProof/>
                              <w:color w:val="FF0000"/>
                            </w:rPr>
                          </w:pPr>
                          <w:r w:rsidRPr="0049305C">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5B751"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388818C" w14:textId="26DE9946" w:rsidR="0049305C" w:rsidRPr="0049305C" w:rsidRDefault="0049305C" w:rsidP="0049305C">
                    <w:pPr>
                      <w:rPr>
                        <w:rFonts w:eastAsia="Calibri" w:cs="Calibri"/>
                        <w:noProof/>
                        <w:color w:val="FF0000"/>
                      </w:rPr>
                    </w:pPr>
                    <w:r w:rsidRPr="0049305C">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3F8CBC7" w:rsidR="00D843F2" w:rsidRDefault="0049305C" w:rsidP="00753B29">
    <w:pPr>
      <w:pStyle w:val="Footer"/>
      <w:jc w:val="center"/>
    </w:pPr>
    <w:r>
      <w:rPr>
        <w:noProof/>
      </w:rPr>
      <mc:AlternateContent>
        <mc:Choice Requires="wps">
          <w:drawing>
            <wp:anchor distT="0" distB="0" distL="0" distR="0" simplePos="0" relativeHeight="251669504" behindDoc="0" locked="0" layoutInCell="1" allowOverlap="1" wp14:anchorId="6AAE67FC" wp14:editId="78CB484F">
              <wp:simplePos x="635" y="635"/>
              <wp:positionH relativeFrom="page">
                <wp:align>center</wp:align>
              </wp:positionH>
              <wp:positionV relativeFrom="page">
                <wp:align>bottom</wp:align>
              </wp:positionV>
              <wp:extent cx="551815" cy="376555"/>
              <wp:effectExtent l="0" t="0" r="635" b="0"/>
              <wp:wrapNone/>
              <wp:docPr id="136020239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AF6529" w14:textId="09C8BAC0" w:rsidR="0049305C" w:rsidRPr="0049305C" w:rsidRDefault="0049305C" w:rsidP="0049305C">
                          <w:pPr>
                            <w:rPr>
                              <w:rFonts w:eastAsia="Calibri" w:cs="Calibri"/>
                              <w:noProof/>
                              <w:color w:val="FF0000"/>
                            </w:rPr>
                          </w:pPr>
                          <w:r w:rsidRPr="0049305C">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E67FC"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EAF6529" w14:textId="09C8BAC0" w:rsidR="0049305C" w:rsidRPr="0049305C" w:rsidRDefault="0049305C" w:rsidP="0049305C">
                    <w:pPr>
                      <w:rPr>
                        <w:rFonts w:eastAsia="Calibri" w:cs="Calibri"/>
                        <w:noProof/>
                        <w:color w:val="FF0000"/>
                      </w:rPr>
                    </w:pPr>
                    <w:r w:rsidRPr="0049305C">
                      <w:rPr>
                        <w:rFonts w:eastAsia="Calibri" w:cs="Calibri"/>
                        <w:noProof/>
                        <w:color w:val="FF0000"/>
                      </w:rPr>
                      <w:t>OFFICIAL</w:t>
                    </w:r>
                  </w:p>
                </w:txbxContent>
              </v:textbox>
              <w10:wrap anchorx="page" anchory="page"/>
            </v:shape>
          </w:pict>
        </mc:Fallback>
      </mc:AlternateContent>
    </w:r>
  </w:p>
  <w:p w14:paraId="37484CD3" w14:textId="20D07E95"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65D9" w14:textId="5D0689B0" w:rsidR="0057223D" w:rsidRDefault="0049305C">
    <w:pPr>
      <w:pStyle w:val="Footer"/>
    </w:pPr>
    <w:r>
      <w:rPr>
        <w:noProof/>
      </w:rPr>
      <mc:AlternateContent>
        <mc:Choice Requires="wps">
          <w:drawing>
            <wp:anchor distT="0" distB="0" distL="0" distR="0" simplePos="0" relativeHeight="251667456" behindDoc="0" locked="0" layoutInCell="1" allowOverlap="1" wp14:anchorId="5EDD0871" wp14:editId="1FDECD0B">
              <wp:simplePos x="635" y="635"/>
              <wp:positionH relativeFrom="page">
                <wp:align>center</wp:align>
              </wp:positionH>
              <wp:positionV relativeFrom="page">
                <wp:align>bottom</wp:align>
              </wp:positionV>
              <wp:extent cx="551815" cy="376555"/>
              <wp:effectExtent l="0" t="0" r="635" b="0"/>
              <wp:wrapNone/>
              <wp:docPr id="5792905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65DE05" w14:textId="530317A5" w:rsidR="0049305C" w:rsidRPr="0049305C" w:rsidRDefault="0049305C" w:rsidP="0049305C">
                          <w:pPr>
                            <w:rPr>
                              <w:rFonts w:eastAsia="Calibri" w:cs="Calibri"/>
                              <w:noProof/>
                              <w:color w:val="FF0000"/>
                            </w:rPr>
                          </w:pPr>
                          <w:r w:rsidRPr="0049305C">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D0871"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465DE05" w14:textId="530317A5" w:rsidR="0049305C" w:rsidRPr="0049305C" w:rsidRDefault="0049305C" w:rsidP="0049305C">
                    <w:pPr>
                      <w:rPr>
                        <w:rFonts w:eastAsia="Calibri" w:cs="Calibri"/>
                        <w:noProof/>
                        <w:color w:val="FF0000"/>
                      </w:rPr>
                    </w:pPr>
                    <w:r w:rsidRPr="0049305C">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9E13" w14:textId="77777777" w:rsidR="001B7EC9" w:rsidRDefault="001B7EC9">
      <w:r>
        <w:separator/>
      </w:r>
    </w:p>
  </w:footnote>
  <w:footnote w:type="continuationSeparator" w:id="0">
    <w:p w14:paraId="2093801C" w14:textId="77777777" w:rsidR="001B7EC9" w:rsidRDefault="001B7EC9" w:rsidP="00124A51">
      <w:r>
        <w:continuationSeparator/>
      </w:r>
    </w:p>
    <w:p w14:paraId="55A685DE" w14:textId="77777777" w:rsidR="001B7EC9" w:rsidRDefault="001B7EC9"/>
  </w:footnote>
  <w:footnote w:type="continuationNotice" w:id="1">
    <w:p w14:paraId="3DA5C732" w14:textId="77777777" w:rsidR="001B7EC9" w:rsidRDefault="001B7EC9"/>
  </w:footnote>
  <w:footnote w:id="2">
    <w:p w14:paraId="46165115" w14:textId="52CA02CB" w:rsidR="00D21B2D" w:rsidRPr="00D21B2D" w:rsidRDefault="00D21B2D">
      <w:pPr>
        <w:pStyle w:val="FootnoteText"/>
      </w:pPr>
      <w:r>
        <w:rPr>
          <w:rStyle w:val="FootnoteReference"/>
        </w:rPr>
        <w:footnoteRef/>
      </w:r>
      <w:r>
        <w:t xml:space="preserve"> </w:t>
      </w:r>
      <w:r w:rsidR="001B5EBD" w:rsidRPr="001B5EBD">
        <w:t xml:space="preserve">National Comprehensive Cancer Network (Version </w:t>
      </w:r>
      <w:r w:rsidR="00337F71">
        <w:t>3.</w:t>
      </w:r>
      <w:r w:rsidR="001B5EBD" w:rsidRPr="001B5EBD">
        <w:t>20</w:t>
      </w:r>
      <w:r w:rsidR="00337F71">
        <w:t>25</w:t>
      </w:r>
      <w:r w:rsidR="001B5EBD" w:rsidRPr="001B5EBD">
        <w:t>) – Clinical Practice Guidelines in Oncology</w:t>
      </w:r>
      <w:r w:rsidR="00337F71">
        <w:t>: N</w:t>
      </w:r>
      <w:r w:rsidR="00F903DB">
        <w:t>on-Small Cell Lung Cancer</w:t>
      </w:r>
    </w:p>
  </w:footnote>
  <w:footnote w:id="3">
    <w:p w14:paraId="5D6D5177" w14:textId="77777777" w:rsidR="00E26DA4" w:rsidRDefault="00E26DA4" w:rsidP="001F5855">
      <w:pPr>
        <w:pStyle w:val="FootnoteText"/>
        <w:ind w:left="709" w:firstLine="11"/>
      </w:pPr>
      <w:r>
        <w:rPr>
          <w:rStyle w:val="FootnoteReference"/>
        </w:rPr>
        <w:footnoteRef/>
      </w:r>
      <w:r>
        <w:t xml:space="preserve"> </w:t>
      </w:r>
      <w:r w:rsidRPr="001E6FD7">
        <w:t>Cherny NI, Dafni U, Bogaerts J, et al: ESMO-Magnitude of Clinical Benefit Scale version 1.1. Annals of Oncology 28:2340-2366, 2017</w:t>
      </w:r>
      <w:r>
        <w:t>.</w:t>
      </w:r>
    </w:p>
  </w:footnote>
  <w:footnote w:id="4">
    <w:p w14:paraId="08FCA757" w14:textId="77777777" w:rsidR="00B556E5" w:rsidRPr="007F5AEC" w:rsidRDefault="00B556E5" w:rsidP="00B556E5">
      <w:pPr>
        <w:pStyle w:val="FootnoteText"/>
      </w:pPr>
      <w:r w:rsidRPr="007F5AEC">
        <w:rPr>
          <w:rStyle w:val="FootnoteReference"/>
        </w:rPr>
        <w:footnoteRef/>
      </w:r>
      <w:r w:rsidRPr="007F5AEC">
        <w:t xml:space="preserve"> Sterne J A, Hernán M A, Reeves B C, Savović J, Berkman N D, Viswanathan M et al. ROBINS-I: a tool for assessing risk of bias in non-randomised studies of interventions BMJ 2016; 355 :i4919 doi:10.1136/bmj.i4919</w:t>
      </w:r>
    </w:p>
  </w:footnote>
  <w:footnote w:id="5">
    <w:p w14:paraId="73C4EED4" w14:textId="14427AD6" w:rsidR="00406DFA" w:rsidRPr="00642BC6" w:rsidRDefault="00406DFA">
      <w:pPr>
        <w:pStyle w:val="FootnoteText"/>
        <w:rPr>
          <w:i/>
          <w:iCs/>
        </w:rPr>
      </w:pPr>
      <w:r w:rsidRPr="007F5AEC">
        <w:rPr>
          <w:rStyle w:val="FootnoteReference"/>
        </w:rPr>
        <w:footnoteRef/>
      </w:r>
      <w:r w:rsidRPr="007F5AEC">
        <w:t xml:space="preserve"> A critical risk of bias was assigned for the domain of </w:t>
      </w:r>
      <w:r w:rsidR="00202531" w:rsidRPr="007F5AEC">
        <w:t>‘</w:t>
      </w:r>
      <w:r w:rsidRPr="007F5AEC">
        <w:t>bias due to confounding</w:t>
      </w:r>
      <w:r w:rsidR="00202531" w:rsidRPr="007F5AEC">
        <w:t>’</w:t>
      </w:r>
      <w:r w:rsidRPr="007F5AEC">
        <w:t>, resulting in an overall risk of bias judgement of critical. Meaning that</w:t>
      </w:r>
      <w:r w:rsidR="00687633" w:rsidRPr="007F5AEC">
        <w:t>:</w:t>
      </w:r>
      <w:r w:rsidRPr="007F5AEC">
        <w:t xml:space="preserve"> </w:t>
      </w:r>
      <w:r w:rsidR="00091FEF" w:rsidRPr="007F5AEC">
        <w:t>“</w:t>
      </w:r>
      <w:r w:rsidRPr="007F5AEC">
        <w:t>the study is too problematic to provide any useful evidence and should not be included in any synthesis</w:t>
      </w:r>
      <w:r w:rsidR="00091FEF" w:rsidRPr="007F5AEC">
        <w:t>”</w:t>
      </w:r>
      <w:r w:rsidR="00687633" w:rsidRPr="007F5AEC">
        <w:rPr>
          <w:vertAlign w:val="superscript"/>
        </w:rPr>
        <w:t>3</w:t>
      </w:r>
      <w:r w:rsidRPr="007F5AEC">
        <w:t>.</w:t>
      </w:r>
    </w:p>
  </w:footnote>
  <w:footnote w:id="6">
    <w:p w14:paraId="726464A8" w14:textId="02D4A19E" w:rsidR="00436DAD" w:rsidRPr="00436DAD" w:rsidRDefault="00436DAD">
      <w:pPr>
        <w:pStyle w:val="FootnoteText"/>
      </w:pPr>
      <w:r>
        <w:rPr>
          <w:rStyle w:val="FootnoteReference"/>
        </w:rPr>
        <w:footnoteRef/>
      </w:r>
      <w:r>
        <w:t xml:space="preserve"> </w:t>
      </w:r>
      <w:r w:rsidR="00661801">
        <w:t xml:space="preserve">For ORR, </w:t>
      </w:r>
      <w:r w:rsidR="003806C3">
        <w:t>BFAST also met its primary endpoint</w:t>
      </w:r>
      <w:r w:rsidR="00661801">
        <w:t xml:space="preserve"> which is stated to demonstrate </w:t>
      </w:r>
      <w:r w:rsidR="004E49FC">
        <w:t xml:space="preserve">a consistent ORR with </w:t>
      </w:r>
      <w:r w:rsidR="00B87F9F">
        <w:t xml:space="preserve">that </w:t>
      </w:r>
      <w:r w:rsidR="004E49FC">
        <w:t>from the integrated analysis of entrectinib</w:t>
      </w:r>
      <w:r w:rsidR="00DC627C">
        <w:t>.</w:t>
      </w:r>
    </w:p>
  </w:footnote>
  <w:footnote w:id="7">
    <w:p w14:paraId="7DCB8C1E" w14:textId="3C07EC93" w:rsidR="00BF303D" w:rsidRPr="00BF303D" w:rsidRDefault="00BF303D" w:rsidP="00BF303D">
      <w:pPr>
        <w:pStyle w:val="FootnoteText"/>
      </w:pPr>
      <w:r>
        <w:rPr>
          <w:rStyle w:val="FootnoteReference"/>
        </w:rPr>
        <w:footnoteRef/>
      </w:r>
      <w:r>
        <w:t xml:space="preserve"> </w:t>
      </w:r>
      <w:r w:rsidRPr="00BF303D">
        <w:t>Wolf, J, Goring, S, et al. (2024). "147P Population-adjusted indirect comparisons of repotrectinib and entrectinib in ROS1+ locally advanced or metastatic non-small cell lung cancer (NSCLC)." ESMO open 9</w:t>
      </w:r>
      <w:r w:rsidRPr="00AB382D">
        <w:rPr>
          <w:b/>
          <w:bCs/>
        </w:rPr>
        <w:t>:</w:t>
      </w:r>
      <w:r w:rsidRPr="00BF303D">
        <w:t xml:space="preserve"> 102734.</w:t>
      </w:r>
    </w:p>
  </w:footnote>
  <w:footnote w:id="8">
    <w:p w14:paraId="561A0BDD" w14:textId="3B379665" w:rsidR="001F7253" w:rsidRPr="001F7253" w:rsidRDefault="001F7253">
      <w:pPr>
        <w:pStyle w:val="FootnoteText"/>
      </w:pPr>
      <w:r>
        <w:rPr>
          <w:rStyle w:val="FootnoteReference"/>
        </w:rPr>
        <w:footnoteRef/>
      </w:r>
      <w:r>
        <w:t xml:space="preserve"> </w:t>
      </w:r>
      <w:r w:rsidRPr="001F7253">
        <w:t xml:space="preserve">BMS (2023). EMA abbreviated report. Indirect treatment comparisons of repotrectinib among patients with </w:t>
      </w:r>
      <w:r>
        <w:t>ROS1+</w:t>
      </w:r>
      <w:r w:rsidRPr="001F7253">
        <w:t xml:space="preserve"> </w:t>
      </w:r>
      <w:r>
        <w:t>NSCLC</w:t>
      </w:r>
      <w:r w:rsidRPr="001F7253">
        <w:t>. CA127-1036. Date: 6 October 2023.</w:t>
      </w:r>
    </w:p>
  </w:footnote>
  <w:footnote w:id="9">
    <w:p w14:paraId="662C5C2F" w14:textId="2F7817F9" w:rsidR="005274DB" w:rsidRDefault="005274DB">
      <w:pPr>
        <w:pStyle w:val="FootnoteText"/>
      </w:pPr>
      <w:r>
        <w:rPr>
          <w:rStyle w:val="FootnoteReference"/>
        </w:rPr>
        <w:footnoteRef/>
      </w:r>
      <w:r>
        <w:t xml:space="preserve"> The submission included ‘All phase 2 subjects who were treated at the time of the data cutoff date in any expansion cohort’ in the safety analyses, whilst the </w:t>
      </w:r>
      <w:r w:rsidR="0001517C">
        <w:t xml:space="preserve">effectiveness data was based on </w:t>
      </w:r>
      <w:r w:rsidR="007F42C7">
        <w:t>‘efficacy evaluable subjects’ and the ‘efficacy analysis population’ from TRIDENT-1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F0CE" w14:textId="2FEDD897" w:rsidR="0057223D" w:rsidRDefault="0049305C">
    <w:pPr>
      <w:pStyle w:val="Header"/>
    </w:pPr>
    <w:r>
      <w:rPr>
        <w:noProof/>
      </w:rPr>
      <mc:AlternateContent>
        <mc:Choice Requires="wps">
          <w:drawing>
            <wp:anchor distT="0" distB="0" distL="0" distR="0" simplePos="0" relativeHeight="251665408" behindDoc="0" locked="0" layoutInCell="1" allowOverlap="1" wp14:anchorId="529AD71F" wp14:editId="0D1096A4">
              <wp:simplePos x="635" y="635"/>
              <wp:positionH relativeFrom="page">
                <wp:align>center</wp:align>
              </wp:positionH>
              <wp:positionV relativeFrom="page">
                <wp:align>top</wp:align>
              </wp:positionV>
              <wp:extent cx="551815" cy="376555"/>
              <wp:effectExtent l="0" t="0" r="635" b="4445"/>
              <wp:wrapNone/>
              <wp:docPr id="37587979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404CDF" w14:textId="23D1BE76" w:rsidR="0049305C" w:rsidRPr="0049305C" w:rsidRDefault="0049305C" w:rsidP="0049305C">
                          <w:pPr>
                            <w:rPr>
                              <w:rFonts w:eastAsia="Calibri" w:cs="Calibri"/>
                              <w:noProof/>
                              <w:color w:val="FF0000"/>
                            </w:rPr>
                          </w:pPr>
                          <w:r w:rsidRPr="0049305C">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9AD71F"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E404CDF" w14:textId="23D1BE76" w:rsidR="0049305C" w:rsidRPr="0049305C" w:rsidRDefault="0049305C" w:rsidP="0049305C">
                    <w:pPr>
                      <w:rPr>
                        <w:rFonts w:eastAsia="Calibri" w:cs="Calibri"/>
                        <w:noProof/>
                        <w:color w:val="FF0000"/>
                      </w:rPr>
                    </w:pPr>
                    <w:r w:rsidRPr="0049305C">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D0F4" w14:textId="6DFB1852" w:rsidR="00B44AB8" w:rsidRPr="00061CBE" w:rsidRDefault="0049305C" w:rsidP="00B44AB8">
    <w:pPr>
      <w:pStyle w:val="Header"/>
      <w:keepNext w:val="0"/>
      <w:rPr>
        <w:rFonts w:asciiTheme="minorHAnsi" w:eastAsiaTheme="minorHAnsi" w:hAnsiTheme="minorHAnsi" w:cstheme="minorHAnsi"/>
        <w:bCs/>
        <w:i w:val="0"/>
        <w:color w:val="808080"/>
      </w:rPr>
    </w:pPr>
    <w:bookmarkStart w:id="82" w:name="_Hlk199859283"/>
    <w:r>
      <w:rPr>
        <w:rFonts w:asciiTheme="minorHAnsi" w:eastAsiaTheme="minorHAnsi" w:hAnsiTheme="minorHAnsi" w:cstheme="minorHAnsi"/>
        <w:bCs/>
        <w:noProof/>
        <w:color w:val="808080"/>
      </w:rPr>
      <mc:AlternateContent>
        <mc:Choice Requires="wps">
          <w:drawing>
            <wp:anchor distT="0" distB="0" distL="0" distR="0" simplePos="0" relativeHeight="251666432" behindDoc="0" locked="0" layoutInCell="1" allowOverlap="1" wp14:anchorId="54E0F0E8" wp14:editId="042FE71C">
              <wp:simplePos x="635" y="635"/>
              <wp:positionH relativeFrom="page">
                <wp:align>center</wp:align>
              </wp:positionH>
              <wp:positionV relativeFrom="page">
                <wp:align>top</wp:align>
              </wp:positionV>
              <wp:extent cx="551815" cy="376555"/>
              <wp:effectExtent l="0" t="0" r="635" b="4445"/>
              <wp:wrapNone/>
              <wp:docPr id="174727888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C6341A" w14:textId="52C9B138" w:rsidR="0049305C" w:rsidRPr="0049305C" w:rsidRDefault="0049305C" w:rsidP="0049305C">
                          <w:pPr>
                            <w:rPr>
                              <w:rFonts w:eastAsia="Calibri" w:cs="Calibri"/>
                              <w:noProof/>
                              <w:color w:val="FF0000"/>
                            </w:rPr>
                          </w:pPr>
                          <w:r w:rsidRPr="0049305C">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0F0E8"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4C6341A" w14:textId="52C9B138" w:rsidR="0049305C" w:rsidRPr="0049305C" w:rsidRDefault="0049305C" w:rsidP="0049305C">
                    <w:pPr>
                      <w:rPr>
                        <w:rFonts w:eastAsia="Calibri" w:cs="Calibri"/>
                        <w:noProof/>
                        <w:color w:val="FF0000"/>
                      </w:rPr>
                    </w:pPr>
                    <w:r w:rsidRPr="0049305C">
                      <w:rPr>
                        <w:rFonts w:eastAsia="Calibri" w:cs="Calibri"/>
                        <w:noProof/>
                        <w:color w:val="FF0000"/>
                      </w:rPr>
                      <w:t>OFFICIAL</w:t>
                    </w:r>
                  </w:p>
                </w:txbxContent>
              </v:textbox>
              <w10:wrap anchorx="page" anchory="page"/>
            </v:shape>
          </w:pict>
        </mc:Fallback>
      </mc:AlternateContent>
    </w:r>
    <w:r w:rsidR="00B44AB8" w:rsidRPr="00061CBE">
      <w:rPr>
        <w:rFonts w:asciiTheme="minorHAnsi" w:eastAsiaTheme="minorHAnsi" w:hAnsiTheme="minorHAnsi" w:cstheme="minorHAnsi"/>
        <w:bCs/>
        <w:color w:val="808080"/>
      </w:rPr>
      <w:t xml:space="preserve">Public Summary Document – </w:t>
    </w:r>
    <w:r w:rsidR="00B44AB8" w:rsidRPr="00AE0696">
      <w:rPr>
        <w:rFonts w:asciiTheme="minorHAnsi" w:eastAsiaTheme="minorHAnsi" w:hAnsiTheme="minorHAnsi" w:cstheme="minorHAnsi"/>
        <w:bCs/>
        <w:iCs w:val="0"/>
        <w:color w:val="808080"/>
      </w:rPr>
      <w:t>May 2025</w:t>
    </w:r>
    <w:r w:rsidR="00B44AB8" w:rsidRPr="00061CBE">
      <w:rPr>
        <w:rFonts w:asciiTheme="minorHAnsi" w:eastAsiaTheme="minorHAnsi" w:hAnsiTheme="minorHAnsi" w:cstheme="minorHAnsi"/>
        <w:bCs/>
        <w:color w:val="808080"/>
      </w:rPr>
      <w:t xml:space="preserve"> PBAC Meeting</w:t>
    </w:r>
  </w:p>
  <w:bookmarkEnd w:id="82"/>
  <w:p w14:paraId="03AF943B" w14:textId="542EA8E2" w:rsidR="00D843F2" w:rsidRPr="00B44AB8" w:rsidRDefault="00D843F2" w:rsidP="00B4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DE01" w14:textId="0B139127" w:rsidR="0057223D" w:rsidRDefault="0049305C">
    <w:pPr>
      <w:pStyle w:val="Header"/>
    </w:pPr>
    <w:r>
      <w:rPr>
        <w:noProof/>
      </w:rPr>
      <mc:AlternateContent>
        <mc:Choice Requires="wps">
          <w:drawing>
            <wp:anchor distT="0" distB="0" distL="0" distR="0" simplePos="0" relativeHeight="251664384" behindDoc="0" locked="0" layoutInCell="1" allowOverlap="1" wp14:anchorId="08B4483C" wp14:editId="0E82CA1F">
              <wp:simplePos x="635" y="635"/>
              <wp:positionH relativeFrom="page">
                <wp:align>center</wp:align>
              </wp:positionH>
              <wp:positionV relativeFrom="page">
                <wp:align>top</wp:align>
              </wp:positionV>
              <wp:extent cx="551815" cy="376555"/>
              <wp:effectExtent l="0" t="0" r="635" b="4445"/>
              <wp:wrapNone/>
              <wp:docPr id="156140621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77E0AF" w14:textId="67F368FF" w:rsidR="0049305C" w:rsidRPr="0049305C" w:rsidRDefault="0049305C" w:rsidP="0049305C">
                          <w:pPr>
                            <w:rPr>
                              <w:rFonts w:eastAsia="Calibri" w:cs="Calibri"/>
                              <w:noProof/>
                              <w:color w:val="FF0000"/>
                            </w:rPr>
                          </w:pPr>
                          <w:r w:rsidRPr="0049305C">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B4483C"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E77E0AF" w14:textId="67F368FF" w:rsidR="0049305C" w:rsidRPr="0049305C" w:rsidRDefault="0049305C" w:rsidP="0049305C">
                    <w:pPr>
                      <w:rPr>
                        <w:rFonts w:eastAsia="Calibri" w:cs="Calibri"/>
                        <w:noProof/>
                        <w:color w:val="FF0000"/>
                      </w:rPr>
                    </w:pPr>
                    <w:r w:rsidRPr="0049305C">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50B9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32AF8"/>
    <w:multiLevelType w:val="hybridMultilevel"/>
    <w:tmpl w:val="32AC78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3777C44"/>
    <w:multiLevelType w:val="hybridMultilevel"/>
    <w:tmpl w:val="5B3A57A4"/>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F1EC6FC0"/>
    <w:lvl w:ilvl="0" w:tplc="7AE423A0">
      <w:start w:val="1"/>
      <w:numFmt w:val="decimal"/>
      <w:lvlText w:val="%1."/>
      <w:lvlJc w:val="left"/>
      <w:pPr>
        <w:ind w:left="360" w:hanging="360"/>
      </w:pPr>
      <w:rPr>
        <w:rFonts w:hint="default"/>
        <w:b w:val="0"/>
        <w:bCs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2C52CD"/>
    <w:multiLevelType w:val="hybridMultilevel"/>
    <w:tmpl w:val="F3D6FCDA"/>
    <w:lvl w:ilvl="0" w:tplc="D2AA4414">
      <w:start w:val="1"/>
      <w:numFmt w:val="decimal"/>
      <w:lvlText w:val="%1."/>
      <w:lvlJc w:val="left"/>
      <w:pPr>
        <w:ind w:left="786" w:hanging="360"/>
      </w:pPr>
    </w:lvl>
    <w:lvl w:ilvl="1" w:tplc="1B90C1EE">
      <w:start w:val="1"/>
      <w:numFmt w:val="lowerLetter"/>
      <w:lvlText w:val="%2."/>
      <w:lvlJc w:val="left"/>
      <w:pPr>
        <w:ind w:left="1506" w:hanging="360"/>
      </w:pPr>
    </w:lvl>
    <w:lvl w:ilvl="2" w:tplc="3B6E6AA8">
      <w:start w:val="1"/>
      <w:numFmt w:val="lowerRoman"/>
      <w:lvlText w:val="%3."/>
      <w:lvlJc w:val="right"/>
      <w:pPr>
        <w:ind w:left="2226" w:hanging="180"/>
      </w:pPr>
    </w:lvl>
    <w:lvl w:ilvl="3" w:tplc="3F4CD96E">
      <w:start w:val="1"/>
      <w:numFmt w:val="decimal"/>
      <w:lvlText w:val="%4."/>
      <w:lvlJc w:val="left"/>
      <w:pPr>
        <w:ind w:left="2946" w:hanging="360"/>
      </w:pPr>
    </w:lvl>
    <w:lvl w:ilvl="4" w:tplc="CF2EA45A">
      <w:start w:val="1"/>
      <w:numFmt w:val="lowerLetter"/>
      <w:lvlText w:val="%5."/>
      <w:lvlJc w:val="left"/>
      <w:pPr>
        <w:ind w:left="3666" w:hanging="360"/>
      </w:pPr>
    </w:lvl>
    <w:lvl w:ilvl="5" w:tplc="8A2C4FC0">
      <w:start w:val="1"/>
      <w:numFmt w:val="lowerRoman"/>
      <w:lvlText w:val="%6."/>
      <w:lvlJc w:val="right"/>
      <w:pPr>
        <w:ind w:left="4386" w:hanging="180"/>
      </w:pPr>
    </w:lvl>
    <w:lvl w:ilvl="6" w:tplc="0368149A">
      <w:start w:val="1"/>
      <w:numFmt w:val="decimal"/>
      <w:lvlText w:val="%7."/>
      <w:lvlJc w:val="left"/>
      <w:pPr>
        <w:ind w:left="5106" w:hanging="360"/>
      </w:pPr>
    </w:lvl>
    <w:lvl w:ilvl="7" w:tplc="AE6CF394">
      <w:start w:val="1"/>
      <w:numFmt w:val="lowerLetter"/>
      <w:lvlText w:val="%8."/>
      <w:lvlJc w:val="left"/>
      <w:pPr>
        <w:ind w:left="5826" w:hanging="360"/>
      </w:pPr>
    </w:lvl>
    <w:lvl w:ilvl="8" w:tplc="0FFA5870">
      <w:start w:val="1"/>
      <w:numFmt w:val="lowerRoman"/>
      <w:lvlText w:val="%9."/>
      <w:lvlJc w:val="right"/>
      <w:pPr>
        <w:ind w:left="6546" w:hanging="180"/>
      </w:pPr>
    </w:lvl>
  </w:abstractNum>
  <w:abstractNum w:abstractNumId="11"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5FF4653"/>
    <w:multiLevelType w:val="hybridMultilevel"/>
    <w:tmpl w:val="1C925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9CB3461"/>
    <w:multiLevelType w:val="hybridMultilevel"/>
    <w:tmpl w:val="FFFFFFFF"/>
    <w:lvl w:ilvl="0" w:tplc="A17CAEF0">
      <w:start w:val="1"/>
      <w:numFmt w:val="lowerLetter"/>
      <w:lvlText w:val="%1."/>
      <w:lvlJc w:val="left"/>
      <w:pPr>
        <w:ind w:left="1080" w:hanging="360"/>
      </w:pPr>
    </w:lvl>
    <w:lvl w:ilvl="1" w:tplc="B1ACC0D0">
      <w:start w:val="1"/>
      <w:numFmt w:val="lowerLetter"/>
      <w:lvlText w:val="%2."/>
      <w:lvlJc w:val="left"/>
      <w:pPr>
        <w:ind w:left="1800" w:hanging="360"/>
      </w:pPr>
    </w:lvl>
    <w:lvl w:ilvl="2" w:tplc="5CB647BA">
      <w:start w:val="1"/>
      <w:numFmt w:val="lowerRoman"/>
      <w:lvlText w:val="%3."/>
      <w:lvlJc w:val="right"/>
      <w:pPr>
        <w:ind w:left="2520" w:hanging="180"/>
      </w:pPr>
    </w:lvl>
    <w:lvl w:ilvl="3" w:tplc="2514EBE2">
      <w:start w:val="1"/>
      <w:numFmt w:val="decimal"/>
      <w:lvlText w:val="%4."/>
      <w:lvlJc w:val="left"/>
      <w:pPr>
        <w:ind w:left="3240" w:hanging="360"/>
      </w:pPr>
    </w:lvl>
    <w:lvl w:ilvl="4" w:tplc="E50C81C0">
      <w:start w:val="1"/>
      <w:numFmt w:val="lowerLetter"/>
      <w:lvlText w:val="%5."/>
      <w:lvlJc w:val="left"/>
      <w:pPr>
        <w:ind w:left="3960" w:hanging="360"/>
      </w:pPr>
    </w:lvl>
    <w:lvl w:ilvl="5" w:tplc="0A9442E4">
      <w:start w:val="1"/>
      <w:numFmt w:val="lowerRoman"/>
      <w:lvlText w:val="%6."/>
      <w:lvlJc w:val="right"/>
      <w:pPr>
        <w:ind w:left="4680" w:hanging="180"/>
      </w:pPr>
    </w:lvl>
    <w:lvl w:ilvl="6" w:tplc="70667C4A">
      <w:start w:val="1"/>
      <w:numFmt w:val="decimal"/>
      <w:lvlText w:val="%7."/>
      <w:lvlJc w:val="left"/>
      <w:pPr>
        <w:ind w:left="5400" w:hanging="360"/>
      </w:pPr>
    </w:lvl>
    <w:lvl w:ilvl="7" w:tplc="867009E4">
      <w:start w:val="1"/>
      <w:numFmt w:val="lowerLetter"/>
      <w:lvlText w:val="%8."/>
      <w:lvlJc w:val="left"/>
      <w:pPr>
        <w:ind w:left="6120" w:hanging="360"/>
      </w:pPr>
    </w:lvl>
    <w:lvl w:ilvl="8" w:tplc="B3900A90">
      <w:start w:val="1"/>
      <w:numFmt w:val="lowerRoman"/>
      <w:lvlText w:val="%9."/>
      <w:lvlJc w:val="right"/>
      <w:pPr>
        <w:ind w:left="6840" w:hanging="180"/>
      </w:pPr>
    </w:lvl>
  </w:abstractNum>
  <w:abstractNum w:abstractNumId="14" w15:restartNumberingAfterBreak="0">
    <w:nsid w:val="3B7404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B5563"/>
    <w:multiLevelType w:val="multilevel"/>
    <w:tmpl w:val="085855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A8C5796"/>
    <w:multiLevelType w:val="hybridMultilevel"/>
    <w:tmpl w:val="FEFE0130"/>
    <w:lvl w:ilvl="0" w:tplc="CBC4BD4A">
      <w:start w:val="1"/>
      <w:numFmt w:val="decimal"/>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4D033C"/>
    <w:multiLevelType w:val="multilevel"/>
    <w:tmpl w:val="4BE86DF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923E4E"/>
    <w:multiLevelType w:val="hybridMultilevel"/>
    <w:tmpl w:val="F6AE05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323CDC"/>
    <w:multiLevelType w:val="hybridMultilevel"/>
    <w:tmpl w:val="2F0C6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C8375E"/>
    <w:multiLevelType w:val="hybridMultilevel"/>
    <w:tmpl w:val="96D4B764"/>
    <w:lvl w:ilvl="0" w:tplc="E9863AC2">
      <w:start w:val="1"/>
      <w:numFmt w:val="bullet"/>
      <w:lvlText w:val=""/>
      <w:lvlJc w:val="left"/>
      <w:pPr>
        <w:ind w:left="720" w:hanging="360"/>
      </w:pPr>
      <w:rPr>
        <w:rFonts w:ascii="Symbol" w:hAnsi="Symbol"/>
      </w:rPr>
    </w:lvl>
    <w:lvl w:ilvl="1" w:tplc="7324B35C">
      <w:start w:val="1"/>
      <w:numFmt w:val="bullet"/>
      <w:lvlText w:val=""/>
      <w:lvlJc w:val="left"/>
      <w:pPr>
        <w:ind w:left="720" w:hanging="360"/>
      </w:pPr>
      <w:rPr>
        <w:rFonts w:ascii="Symbol" w:hAnsi="Symbol"/>
      </w:rPr>
    </w:lvl>
    <w:lvl w:ilvl="2" w:tplc="40A09F48">
      <w:start w:val="1"/>
      <w:numFmt w:val="bullet"/>
      <w:lvlText w:val=""/>
      <w:lvlJc w:val="left"/>
      <w:pPr>
        <w:ind w:left="720" w:hanging="360"/>
      </w:pPr>
      <w:rPr>
        <w:rFonts w:ascii="Symbol" w:hAnsi="Symbol"/>
      </w:rPr>
    </w:lvl>
    <w:lvl w:ilvl="3" w:tplc="3C3EA0BC">
      <w:start w:val="1"/>
      <w:numFmt w:val="bullet"/>
      <w:lvlText w:val=""/>
      <w:lvlJc w:val="left"/>
      <w:pPr>
        <w:ind w:left="720" w:hanging="360"/>
      </w:pPr>
      <w:rPr>
        <w:rFonts w:ascii="Symbol" w:hAnsi="Symbol"/>
      </w:rPr>
    </w:lvl>
    <w:lvl w:ilvl="4" w:tplc="CBD42EC0">
      <w:start w:val="1"/>
      <w:numFmt w:val="bullet"/>
      <w:lvlText w:val=""/>
      <w:lvlJc w:val="left"/>
      <w:pPr>
        <w:ind w:left="720" w:hanging="360"/>
      </w:pPr>
      <w:rPr>
        <w:rFonts w:ascii="Symbol" w:hAnsi="Symbol"/>
      </w:rPr>
    </w:lvl>
    <w:lvl w:ilvl="5" w:tplc="06F09032">
      <w:start w:val="1"/>
      <w:numFmt w:val="bullet"/>
      <w:lvlText w:val=""/>
      <w:lvlJc w:val="left"/>
      <w:pPr>
        <w:ind w:left="720" w:hanging="360"/>
      </w:pPr>
      <w:rPr>
        <w:rFonts w:ascii="Symbol" w:hAnsi="Symbol"/>
      </w:rPr>
    </w:lvl>
    <w:lvl w:ilvl="6" w:tplc="593EF33A">
      <w:start w:val="1"/>
      <w:numFmt w:val="bullet"/>
      <w:lvlText w:val=""/>
      <w:lvlJc w:val="left"/>
      <w:pPr>
        <w:ind w:left="720" w:hanging="360"/>
      </w:pPr>
      <w:rPr>
        <w:rFonts w:ascii="Symbol" w:hAnsi="Symbol"/>
      </w:rPr>
    </w:lvl>
    <w:lvl w:ilvl="7" w:tplc="A4C22B20">
      <w:start w:val="1"/>
      <w:numFmt w:val="bullet"/>
      <w:lvlText w:val=""/>
      <w:lvlJc w:val="left"/>
      <w:pPr>
        <w:ind w:left="720" w:hanging="360"/>
      </w:pPr>
      <w:rPr>
        <w:rFonts w:ascii="Symbol" w:hAnsi="Symbol"/>
      </w:rPr>
    </w:lvl>
    <w:lvl w:ilvl="8" w:tplc="EA9E48BE">
      <w:start w:val="1"/>
      <w:numFmt w:val="bullet"/>
      <w:lvlText w:val=""/>
      <w:lvlJc w:val="left"/>
      <w:pPr>
        <w:ind w:left="720" w:hanging="360"/>
      </w:pPr>
      <w:rPr>
        <w:rFonts w:ascii="Symbol" w:hAnsi="Symbol"/>
      </w:rPr>
    </w:lvl>
  </w:abstractNum>
  <w:abstractNum w:abstractNumId="29" w15:restartNumberingAfterBreak="0">
    <w:nsid w:val="7F3432D6"/>
    <w:multiLevelType w:val="hybridMultilevel"/>
    <w:tmpl w:val="6994B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16186631">
    <w:abstractNumId w:val="24"/>
  </w:num>
  <w:num w:numId="2" w16cid:durableId="917793048">
    <w:abstractNumId w:val="16"/>
  </w:num>
  <w:num w:numId="3" w16cid:durableId="263461728">
    <w:abstractNumId w:val="1"/>
  </w:num>
  <w:num w:numId="4" w16cid:durableId="1533883230">
    <w:abstractNumId w:val="15"/>
  </w:num>
  <w:num w:numId="5" w16cid:durableId="220360847">
    <w:abstractNumId w:val="21"/>
  </w:num>
  <w:num w:numId="6" w16cid:durableId="268196418">
    <w:abstractNumId w:val="11"/>
  </w:num>
  <w:num w:numId="7" w16cid:durableId="1048839230">
    <w:abstractNumId w:val="24"/>
  </w:num>
  <w:num w:numId="8" w16cid:durableId="77991355">
    <w:abstractNumId w:val="27"/>
  </w:num>
  <w:num w:numId="9" w16cid:durableId="654380436">
    <w:abstractNumId w:val="7"/>
  </w:num>
  <w:num w:numId="10" w16cid:durableId="988828030">
    <w:abstractNumId w:val="13"/>
  </w:num>
  <w:num w:numId="11" w16cid:durableId="1203133458">
    <w:abstractNumId w:val="10"/>
  </w:num>
  <w:num w:numId="12" w16cid:durableId="526069459">
    <w:abstractNumId w:val="29"/>
  </w:num>
  <w:num w:numId="13" w16cid:durableId="1924416263">
    <w:abstractNumId w:val="27"/>
  </w:num>
  <w:num w:numId="14" w16cid:durableId="1553805672">
    <w:abstractNumId w:val="24"/>
  </w:num>
  <w:num w:numId="15" w16cid:durableId="1012032791">
    <w:abstractNumId w:val="24"/>
  </w:num>
  <w:num w:numId="16" w16cid:durableId="177887466">
    <w:abstractNumId w:val="24"/>
  </w:num>
  <w:num w:numId="17" w16cid:durableId="1533569254">
    <w:abstractNumId w:val="24"/>
  </w:num>
  <w:num w:numId="18" w16cid:durableId="139346788">
    <w:abstractNumId w:val="26"/>
  </w:num>
  <w:num w:numId="19" w16cid:durableId="968364999">
    <w:abstractNumId w:val="0"/>
  </w:num>
  <w:num w:numId="20" w16cid:durableId="1573005167">
    <w:abstractNumId w:val="18"/>
  </w:num>
  <w:num w:numId="21" w16cid:durableId="408699874">
    <w:abstractNumId w:val="19"/>
  </w:num>
  <w:num w:numId="22" w16cid:durableId="1569418770">
    <w:abstractNumId w:val="3"/>
  </w:num>
  <w:num w:numId="23" w16cid:durableId="705176722">
    <w:abstractNumId w:val="2"/>
  </w:num>
  <w:num w:numId="24" w16cid:durableId="1926569401">
    <w:abstractNumId w:val="8"/>
  </w:num>
  <w:num w:numId="25" w16cid:durableId="1979457665">
    <w:abstractNumId w:val="9"/>
  </w:num>
  <w:num w:numId="26" w16cid:durableId="2038313566">
    <w:abstractNumId w:val="6"/>
  </w:num>
  <w:num w:numId="27"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7201">
    <w:abstractNumId w:val="23"/>
  </w:num>
  <w:num w:numId="29" w16cid:durableId="790629725">
    <w:abstractNumId w:val="17"/>
  </w:num>
  <w:num w:numId="30" w16cid:durableId="184831655">
    <w:abstractNumId w:val="5"/>
  </w:num>
  <w:num w:numId="31" w16cid:durableId="1235242347">
    <w:abstractNumId w:val="14"/>
  </w:num>
  <w:num w:numId="32" w16cid:durableId="2032605587">
    <w:abstractNumId w:val="24"/>
  </w:num>
  <w:num w:numId="33" w16cid:durableId="741605858">
    <w:abstractNumId w:val="25"/>
  </w:num>
  <w:num w:numId="34" w16cid:durableId="1444686774">
    <w:abstractNumId w:val="24"/>
  </w:num>
  <w:num w:numId="35" w16cid:durableId="1981958376">
    <w:abstractNumId w:val="12"/>
  </w:num>
  <w:num w:numId="36" w16cid:durableId="401374686">
    <w:abstractNumId w:val="4"/>
  </w:num>
  <w:num w:numId="37" w16cid:durableId="327444136">
    <w:abstractNumId w:val="28"/>
  </w:num>
  <w:num w:numId="38" w16cid:durableId="195574938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0NjAzNjExMjczNjBX0lEKTi0uzszPAykwrQUAGFR1NCwAAAA="/>
  </w:docVars>
  <w:rsids>
    <w:rsidRoot w:val="00E65E79"/>
    <w:rsid w:val="000000EC"/>
    <w:rsid w:val="00000790"/>
    <w:rsid w:val="00000855"/>
    <w:rsid w:val="00000A08"/>
    <w:rsid w:val="00000B19"/>
    <w:rsid w:val="00000BFE"/>
    <w:rsid w:val="00000D3B"/>
    <w:rsid w:val="0000103F"/>
    <w:rsid w:val="0000110B"/>
    <w:rsid w:val="00001173"/>
    <w:rsid w:val="0000149A"/>
    <w:rsid w:val="00001CC0"/>
    <w:rsid w:val="000022F2"/>
    <w:rsid w:val="000025D5"/>
    <w:rsid w:val="00002F1C"/>
    <w:rsid w:val="000030A0"/>
    <w:rsid w:val="000030CE"/>
    <w:rsid w:val="00003499"/>
    <w:rsid w:val="0000366F"/>
    <w:rsid w:val="000039B7"/>
    <w:rsid w:val="00003A1A"/>
    <w:rsid w:val="00004EB0"/>
    <w:rsid w:val="00004FD8"/>
    <w:rsid w:val="0000501A"/>
    <w:rsid w:val="00005203"/>
    <w:rsid w:val="00005659"/>
    <w:rsid w:val="000056B9"/>
    <w:rsid w:val="00005732"/>
    <w:rsid w:val="00005831"/>
    <w:rsid w:val="00005E2E"/>
    <w:rsid w:val="0000639A"/>
    <w:rsid w:val="000071D8"/>
    <w:rsid w:val="00007ADA"/>
    <w:rsid w:val="00010685"/>
    <w:rsid w:val="00010D06"/>
    <w:rsid w:val="00011310"/>
    <w:rsid w:val="000114C5"/>
    <w:rsid w:val="00011567"/>
    <w:rsid w:val="000116BA"/>
    <w:rsid w:val="00012256"/>
    <w:rsid w:val="00012DE3"/>
    <w:rsid w:val="00013247"/>
    <w:rsid w:val="00013C5C"/>
    <w:rsid w:val="00013ED1"/>
    <w:rsid w:val="0001433B"/>
    <w:rsid w:val="000144E6"/>
    <w:rsid w:val="000145AC"/>
    <w:rsid w:val="00014E8B"/>
    <w:rsid w:val="00014F3F"/>
    <w:rsid w:val="0001517C"/>
    <w:rsid w:val="000151BB"/>
    <w:rsid w:val="0001546F"/>
    <w:rsid w:val="00015886"/>
    <w:rsid w:val="000162EF"/>
    <w:rsid w:val="0001654A"/>
    <w:rsid w:val="00017130"/>
    <w:rsid w:val="0001753E"/>
    <w:rsid w:val="000176AC"/>
    <w:rsid w:val="00017D11"/>
    <w:rsid w:val="000207C9"/>
    <w:rsid w:val="00020C59"/>
    <w:rsid w:val="00021321"/>
    <w:rsid w:val="000215FA"/>
    <w:rsid w:val="00021652"/>
    <w:rsid w:val="00021AD9"/>
    <w:rsid w:val="0002225F"/>
    <w:rsid w:val="00022D85"/>
    <w:rsid w:val="00023022"/>
    <w:rsid w:val="0002372F"/>
    <w:rsid w:val="00023763"/>
    <w:rsid w:val="00023AB3"/>
    <w:rsid w:val="00024EB5"/>
    <w:rsid w:val="00025261"/>
    <w:rsid w:val="0002578C"/>
    <w:rsid w:val="00026418"/>
    <w:rsid w:val="000264DE"/>
    <w:rsid w:val="000274B8"/>
    <w:rsid w:val="00027767"/>
    <w:rsid w:val="000277BA"/>
    <w:rsid w:val="00027BA7"/>
    <w:rsid w:val="00030715"/>
    <w:rsid w:val="00030C74"/>
    <w:rsid w:val="00031CAB"/>
    <w:rsid w:val="0003211A"/>
    <w:rsid w:val="00032B46"/>
    <w:rsid w:val="00032C19"/>
    <w:rsid w:val="00032DCD"/>
    <w:rsid w:val="00032F36"/>
    <w:rsid w:val="000337BB"/>
    <w:rsid w:val="00033863"/>
    <w:rsid w:val="000339F6"/>
    <w:rsid w:val="00033C83"/>
    <w:rsid w:val="0003467C"/>
    <w:rsid w:val="00034F75"/>
    <w:rsid w:val="000356A6"/>
    <w:rsid w:val="000358CF"/>
    <w:rsid w:val="0003590B"/>
    <w:rsid w:val="00035DC0"/>
    <w:rsid w:val="00036829"/>
    <w:rsid w:val="0003758C"/>
    <w:rsid w:val="00037DFC"/>
    <w:rsid w:val="00037EBD"/>
    <w:rsid w:val="000402BD"/>
    <w:rsid w:val="00040895"/>
    <w:rsid w:val="000410A0"/>
    <w:rsid w:val="000410DF"/>
    <w:rsid w:val="00041378"/>
    <w:rsid w:val="00041AB6"/>
    <w:rsid w:val="00041C5D"/>
    <w:rsid w:val="00042A9F"/>
    <w:rsid w:val="00042EDF"/>
    <w:rsid w:val="000433A6"/>
    <w:rsid w:val="000433FC"/>
    <w:rsid w:val="000435C9"/>
    <w:rsid w:val="000435EE"/>
    <w:rsid w:val="00043770"/>
    <w:rsid w:val="0004387B"/>
    <w:rsid w:val="000438B8"/>
    <w:rsid w:val="00043C2D"/>
    <w:rsid w:val="00043C37"/>
    <w:rsid w:val="00043F9C"/>
    <w:rsid w:val="00045017"/>
    <w:rsid w:val="00045623"/>
    <w:rsid w:val="000457DE"/>
    <w:rsid w:val="000459EA"/>
    <w:rsid w:val="00045A2B"/>
    <w:rsid w:val="00045B83"/>
    <w:rsid w:val="00045F1C"/>
    <w:rsid w:val="00046318"/>
    <w:rsid w:val="0004642D"/>
    <w:rsid w:val="00046673"/>
    <w:rsid w:val="000466C0"/>
    <w:rsid w:val="00046798"/>
    <w:rsid w:val="0004698F"/>
    <w:rsid w:val="00046D64"/>
    <w:rsid w:val="00046EBC"/>
    <w:rsid w:val="00047286"/>
    <w:rsid w:val="00047BC9"/>
    <w:rsid w:val="00047E75"/>
    <w:rsid w:val="000503B5"/>
    <w:rsid w:val="0005077C"/>
    <w:rsid w:val="000508C2"/>
    <w:rsid w:val="00050EDE"/>
    <w:rsid w:val="00050FFB"/>
    <w:rsid w:val="000517A8"/>
    <w:rsid w:val="00051CCE"/>
    <w:rsid w:val="00052309"/>
    <w:rsid w:val="0005241F"/>
    <w:rsid w:val="00052661"/>
    <w:rsid w:val="00052671"/>
    <w:rsid w:val="000526F9"/>
    <w:rsid w:val="00052787"/>
    <w:rsid w:val="00052BE1"/>
    <w:rsid w:val="0005307F"/>
    <w:rsid w:val="0005311D"/>
    <w:rsid w:val="00053238"/>
    <w:rsid w:val="00053630"/>
    <w:rsid w:val="00053814"/>
    <w:rsid w:val="000539D0"/>
    <w:rsid w:val="000540CC"/>
    <w:rsid w:val="00054621"/>
    <w:rsid w:val="000546D7"/>
    <w:rsid w:val="00054A8D"/>
    <w:rsid w:val="00054C84"/>
    <w:rsid w:val="00054D0F"/>
    <w:rsid w:val="0005555D"/>
    <w:rsid w:val="00055DD0"/>
    <w:rsid w:val="00055E83"/>
    <w:rsid w:val="00055E96"/>
    <w:rsid w:val="00055F25"/>
    <w:rsid w:val="00056ECF"/>
    <w:rsid w:val="0005701C"/>
    <w:rsid w:val="0005706A"/>
    <w:rsid w:val="000578D0"/>
    <w:rsid w:val="000600B3"/>
    <w:rsid w:val="000602CC"/>
    <w:rsid w:val="000604DF"/>
    <w:rsid w:val="00060CBE"/>
    <w:rsid w:val="00060E90"/>
    <w:rsid w:val="00061079"/>
    <w:rsid w:val="0006127C"/>
    <w:rsid w:val="000613D4"/>
    <w:rsid w:val="0006164E"/>
    <w:rsid w:val="0006170F"/>
    <w:rsid w:val="00061B09"/>
    <w:rsid w:val="00061B81"/>
    <w:rsid w:val="00061D9F"/>
    <w:rsid w:val="00061FC8"/>
    <w:rsid w:val="0006200F"/>
    <w:rsid w:val="00062095"/>
    <w:rsid w:val="00062324"/>
    <w:rsid w:val="00063095"/>
    <w:rsid w:val="000635AD"/>
    <w:rsid w:val="000637F7"/>
    <w:rsid w:val="00063A6E"/>
    <w:rsid w:val="00063AED"/>
    <w:rsid w:val="000640A7"/>
    <w:rsid w:val="000653B5"/>
    <w:rsid w:val="00066187"/>
    <w:rsid w:val="00066227"/>
    <w:rsid w:val="00066360"/>
    <w:rsid w:val="00066652"/>
    <w:rsid w:val="00066658"/>
    <w:rsid w:val="0006671F"/>
    <w:rsid w:val="000667E0"/>
    <w:rsid w:val="00066AF8"/>
    <w:rsid w:val="00066BA7"/>
    <w:rsid w:val="00066EA5"/>
    <w:rsid w:val="0006780C"/>
    <w:rsid w:val="00067822"/>
    <w:rsid w:val="00067DD4"/>
    <w:rsid w:val="000708EB"/>
    <w:rsid w:val="00070C76"/>
    <w:rsid w:val="00071248"/>
    <w:rsid w:val="00071533"/>
    <w:rsid w:val="0007197F"/>
    <w:rsid w:val="00071BEA"/>
    <w:rsid w:val="00071C21"/>
    <w:rsid w:val="000720B9"/>
    <w:rsid w:val="000723F9"/>
    <w:rsid w:val="00072611"/>
    <w:rsid w:val="00072E2D"/>
    <w:rsid w:val="000731F2"/>
    <w:rsid w:val="000737F7"/>
    <w:rsid w:val="00073925"/>
    <w:rsid w:val="00073D0E"/>
    <w:rsid w:val="00073ED1"/>
    <w:rsid w:val="00073FDD"/>
    <w:rsid w:val="000741AF"/>
    <w:rsid w:val="00074599"/>
    <w:rsid w:val="00074C36"/>
    <w:rsid w:val="00075041"/>
    <w:rsid w:val="00075291"/>
    <w:rsid w:val="000755D6"/>
    <w:rsid w:val="00075C3E"/>
    <w:rsid w:val="00076118"/>
    <w:rsid w:val="00076463"/>
    <w:rsid w:val="00076523"/>
    <w:rsid w:val="0007655C"/>
    <w:rsid w:val="0007672F"/>
    <w:rsid w:val="00076B54"/>
    <w:rsid w:val="00076F64"/>
    <w:rsid w:val="0007722B"/>
    <w:rsid w:val="000774F0"/>
    <w:rsid w:val="00077630"/>
    <w:rsid w:val="0007778A"/>
    <w:rsid w:val="00077E57"/>
    <w:rsid w:val="000802D3"/>
    <w:rsid w:val="000805CD"/>
    <w:rsid w:val="000806F4"/>
    <w:rsid w:val="00080909"/>
    <w:rsid w:val="0008099E"/>
    <w:rsid w:val="00080C2D"/>
    <w:rsid w:val="000812CA"/>
    <w:rsid w:val="00081B82"/>
    <w:rsid w:val="00081C98"/>
    <w:rsid w:val="00081E63"/>
    <w:rsid w:val="0008258D"/>
    <w:rsid w:val="00082638"/>
    <w:rsid w:val="00082B24"/>
    <w:rsid w:val="000831B8"/>
    <w:rsid w:val="0008386A"/>
    <w:rsid w:val="00083C3D"/>
    <w:rsid w:val="00083E99"/>
    <w:rsid w:val="0008415D"/>
    <w:rsid w:val="00084341"/>
    <w:rsid w:val="000844F1"/>
    <w:rsid w:val="0008465E"/>
    <w:rsid w:val="000848D2"/>
    <w:rsid w:val="00084A32"/>
    <w:rsid w:val="00084FA8"/>
    <w:rsid w:val="00085532"/>
    <w:rsid w:val="000856C5"/>
    <w:rsid w:val="00085736"/>
    <w:rsid w:val="00085C31"/>
    <w:rsid w:val="00085E13"/>
    <w:rsid w:val="00086693"/>
    <w:rsid w:val="00086A0B"/>
    <w:rsid w:val="00086A5C"/>
    <w:rsid w:val="0008725E"/>
    <w:rsid w:val="000902D9"/>
    <w:rsid w:val="00090514"/>
    <w:rsid w:val="000909DB"/>
    <w:rsid w:val="00090BC3"/>
    <w:rsid w:val="00090C7E"/>
    <w:rsid w:val="00090CCA"/>
    <w:rsid w:val="000911AC"/>
    <w:rsid w:val="00091649"/>
    <w:rsid w:val="00091B7C"/>
    <w:rsid w:val="00091D54"/>
    <w:rsid w:val="00091FEF"/>
    <w:rsid w:val="00092090"/>
    <w:rsid w:val="000923AB"/>
    <w:rsid w:val="00092600"/>
    <w:rsid w:val="0009262B"/>
    <w:rsid w:val="00092D75"/>
    <w:rsid w:val="00092F85"/>
    <w:rsid w:val="0009310F"/>
    <w:rsid w:val="00093310"/>
    <w:rsid w:val="000939E0"/>
    <w:rsid w:val="00093D59"/>
    <w:rsid w:val="00093EEF"/>
    <w:rsid w:val="000942F1"/>
    <w:rsid w:val="0009445C"/>
    <w:rsid w:val="00094724"/>
    <w:rsid w:val="00094CE2"/>
    <w:rsid w:val="00095200"/>
    <w:rsid w:val="0009523B"/>
    <w:rsid w:val="00095937"/>
    <w:rsid w:val="00095D39"/>
    <w:rsid w:val="00095FE5"/>
    <w:rsid w:val="00096284"/>
    <w:rsid w:val="00096418"/>
    <w:rsid w:val="0009683E"/>
    <w:rsid w:val="00096A28"/>
    <w:rsid w:val="00096BC0"/>
    <w:rsid w:val="000975C7"/>
    <w:rsid w:val="0009792E"/>
    <w:rsid w:val="00097B88"/>
    <w:rsid w:val="00097D86"/>
    <w:rsid w:val="000A0BBA"/>
    <w:rsid w:val="000A0D72"/>
    <w:rsid w:val="000A10C7"/>
    <w:rsid w:val="000A155E"/>
    <w:rsid w:val="000A1BC0"/>
    <w:rsid w:val="000A2705"/>
    <w:rsid w:val="000A29E3"/>
    <w:rsid w:val="000A2BB3"/>
    <w:rsid w:val="000A2DDE"/>
    <w:rsid w:val="000A2E3B"/>
    <w:rsid w:val="000A2F9E"/>
    <w:rsid w:val="000A33D9"/>
    <w:rsid w:val="000A34DC"/>
    <w:rsid w:val="000A3CBE"/>
    <w:rsid w:val="000A3E47"/>
    <w:rsid w:val="000A492D"/>
    <w:rsid w:val="000A4D64"/>
    <w:rsid w:val="000A4E30"/>
    <w:rsid w:val="000A5110"/>
    <w:rsid w:val="000A522B"/>
    <w:rsid w:val="000A57FD"/>
    <w:rsid w:val="000A5978"/>
    <w:rsid w:val="000A5C75"/>
    <w:rsid w:val="000A6039"/>
    <w:rsid w:val="000A6F3A"/>
    <w:rsid w:val="000A6F66"/>
    <w:rsid w:val="000A73F4"/>
    <w:rsid w:val="000A7453"/>
    <w:rsid w:val="000A7569"/>
    <w:rsid w:val="000A7D08"/>
    <w:rsid w:val="000B0121"/>
    <w:rsid w:val="000B0297"/>
    <w:rsid w:val="000B0670"/>
    <w:rsid w:val="000B094B"/>
    <w:rsid w:val="000B0C19"/>
    <w:rsid w:val="000B0E75"/>
    <w:rsid w:val="000B1970"/>
    <w:rsid w:val="000B1B25"/>
    <w:rsid w:val="000B2CD0"/>
    <w:rsid w:val="000B2DAA"/>
    <w:rsid w:val="000B2DCB"/>
    <w:rsid w:val="000B3269"/>
    <w:rsid w:val="000B35AC"/>
    <w:rsid w:val="000B380A"/>
    <w:rsid w:val="000B380D"/>
    <w:rsid w:val="000B3B5C"/>
    <w:rsid w:val="000B3E48"/>
    <w:rsid w:val="000B4013"/>
    <w:rsid w:val="000B40F2"/>
    <w:rsid w:val="000B4313"/>
    <w:rsid w:val="000B4671"/>
    <w:rsid w:val="000B4878"/>
    <w:rsid w:val="000B50A3"/>
    <w:rsid w:val="000B5662"/>
    <w:rsid w:val="000B5CE0"/>
    <w:rsid w:val="000B6CAC"/>
    <w:rsid w:val="000B6CDA"/>
    <w:rsid w:val="000B6DF0"/>
    <w:rsid w:val="000B722F"/>
    <w:rsid w:val="000B72D2"/>
    <w:rsid w:val="000B7612"/>
    <w:rsid w:val="000B772A"/>
    <w:rsid w:val="000B7776"/>
    <w:rsid w:val="000B7820"/>
    <w:rsid w:val="000B78AE"/>
    <w:rsid w:val="000B7EF4"/>
    <w:rsid w:val="000C04FB"/>
    <w:rsid w:val="000C064D"/>
    <w:rsid w:val="000C0658"/>
    <w:rsid w:val="000C0E98"/>
    <w:rsid w:val="000C0FF4"/>
    <w:rsid w:val="000C12D0"/>
    <w:rsid w:val="000C208D"/>
    <w:rsid w:val="000C254B"/>
    <w:rsid w:val="000C267F"/>
    <w:rsid w:val="000C26B8"/>
    <w:rsid w:val="000C2CD9"/>
    <w:rsid w:val="000C30EF"/>
    <w:rsid w:val="000C34D4"/>
    <w:rsid w:val="000C3656"/>
    <w:rsid w:val="000C3716"/>
    <w:rsid w:val="000C3DF9"/>
    <w:rsid w:val="000C3FC4"/>
    <w:rsid w:val="000C4063"/>
    <w:rsid w:val="000C41E9"/>
    <w:rsid w:val="000C42C5"/>
    <w:rsid w:val="000C4551"/>
    <w:rsid w:val="000C48EE"/>
    <w:rsid w:val="000C4CF2"/>
    <w:rsid w:val="000C4D4A"/>
    <w:rsid w:val="000C5886"/>
    <w:rsid w:val="000C5E0E"/>
    <w:rsid w:val="000C6126"/>
    <w:rsid w:val="000C649C"/>
    <w:rsid w:val="000C6713"/>
    <w:rsid w:val="000C6F4B"/>
    <w:rsid w:val="000C7772"/>
    <w:rsid w:val="000C78BD"/>
    <w:rsid w:val="000C7C20"/>
    <w:rsid w:val="000D04E7"/>
    <w:rsid w:val="000D0A21"/>
    <w:rsid w:val="000D153D"/>
    <w:rsid w:val="000D1676"/>
    <w:rsid w:val="000D1A7B"/>
    <w:rsid w:val="000D1BFC"/>
    <w:rsid w:val="000D1C82"/>
    <w:rsid w:val="000D1CC9"/>
    <w:rsid w:val="000D1D5D"/>
    <w:rsid w:val="000D2013"/>
    <w:rsid w:val="000D2224"/>
    <w:rsid w:val="000D281A"/>
    <w:rsid w:val="000D2848"/>
    <w:rsid w:val="000D28A1"/>
    <w:rsid w:val="000D2C86"/>
    <w:rsid w:val="000D326A"/>
    <w:rsid w:val="000D32A8"/>
    <w:rsid w:val="000D3537"/>
    <w:rsid w:val="000D381E"/>
    <w:rsid w:val="000D38F8"/>
    <w:rsid w:val="000D3E7A"/>
    <w:rsid w:val="000D4532"/>
    <w:rsid w:val="000D46BD"/>
    <w:rsid w:val="000D4D7B"/>
    <w:rsid w:val="000D51FB"/>
    <w:rsid w:val="000D5FAD"/>
    <w:rsid w:val="000D6F79"/>
    <w:rsid w:val="000D7874"/>
    <w:rsid w:val="000E0181"/>
    <w:rsid w:val="000E023E"/>
    <w:rsid w:val="000E0640"/>
    <w:rsid w:val="000E07D4"/>
    <w:rsid w:val="000E0B52"/>
    <w:rsid w:val="000E0C31"/>
    <w:rsid w:val="000E0C86"/>
    <w:rsid w:val="000E0CF5"/>
    <w:rsid w:val="000E135D"/>
    <w:rsid w:val="000E13FC"/>
    <w:rsid w:val="000E1539"/>
    <w:rsid w:val="000E169D"/>
    <w:rsid w:val="000E2158"/>
    <w:rsid w:val="000E288F"/>
    <w:rsid w:val="000E2902"/>
    <w:rsid w:val="000E2A45"/>
    <w:rsid w:val="000E2B5C"/>
    <w:rsid w:val="000E2B6B"/>
    <w:rsid w:val="000E2C3B"/>
    <w:rsid w:val="000E2EDF"/>
    <w:rsid w:val="000E3AE2"/>
    <w:rsid w:val="000E45A9"/>
    <w:rsid w:val="000E47A0"/>
    <w:rsid w:val="000E4A70"/>
    <w:rsid w:val="000E4F67"/>
    <w:rsid w:val="000E53C8"/>
    <w:rsid w:val="000E5CFD"/>
    <w:rsid w:val="000E5E0C"/>
    <w:rsid w:val="000E6B67"/>
    <w:rsid w:val="000E7387"/>
    <w:rsid w:val="000F00BA"/>
    <w:rsid w:val="000F0308"/>
    <w:rsid w:val="000F03FB"/>
    <w:rsid w:val="000F0743"/>
    <w:rsid w:val="000F0B52"/>
    <w:rsid w:val="000F116B"/>
    <w:rsid w:val="000F12EF"/>
    <w:rsid w:val="000F157C"/>
    <w:rsid w:val="000F1647"/>
    <w:rsid w:val="000F1C2C"/>
    <w:rsid w:val="000F26F1"/>
    <w:rsid w:val="000F2D75"/>
    <w:rsid w:val="000F2D98"/>
    <w:rsid w:val="000F316A"/>
    <w:rsid w:val="000F33B9"/>
    <w:rsid w:val="000F3521"/>
    <w:rsid w:val="000F377A"/>
    <w:rsid w:val="000F3A53"/>
    <w:rsid w:val="000F3C74"/>
    <w:rsid w:val="000F42A5"/>
    <w:rsid w:val="000F4476"/>
    <w:rsid w:val="000F4595"/>
    <w:rsid w:val="000F4670"/>
    <w:rsid w:val="000F4BB8"/>
    <w:rsid w:val="000F4D74"/>
    <w:rsid w:val="000F4F5C"/>
    <w:rsid w:val="000F4FA9"/>
    <w:rsid w:val="000F53FB"/>
    <w:rsid w:val="000F6B9D"/>
    <w:rsid w:val="000F704D"/>
    <w:rsid w:val="000F7127"/>
    <w:rsid w:val="000F72AD"/>
    <w:rsid w:val="000F72B7"/>
    <w:rsid w:val="000F7398"/>
    <w:rsid w:val="000F73ED"/>
    <w:rsid w:val="000F7411"/>
    <w:rsid w:val="000F7567"/>
    <w:rsid w:val="000F7638"/>
    <w:rsid w:val="000F772E"/>
    <w:rsid w:val="000F7B54"/>
    <w:rsid w:val="0010002F"/>
    <w:rsid w:val="001000B3"/>
    <w:rsid w:val="00100355"/>
    <w:rsid w:val="00100459"/>
    <w:rsid w:val="00100DBC"/>
    <w:rsid w:val="00100F8A"/>
    <w:rsid w:val="00101088"/>
    <w:rsid w:val="00101176"/>
    <w:rsid w:val="0010127E"/>
    <w:rsid w:val="001017C4"/>
    <w:rsid w:val="00101929"/>
    <w:rsid w:val="00101997"/>
    <w:rsid w:val="00101D76"/>
    <w:rsid w:val="001021FA"/>
    <w:rsid w:val="00102399"/>
    <w:rsid w:val="0010261D"/>
    <w:rsid w:val="00102F56"/>
    <w:rsid w:val="00103810"/>
    <w:rsid w:val="00103FAA"/>
    <w:rsid w:val="0010423E"/>
    <w:rsid w:val="00104309"/>
    <w:rsid w:val="001043DF"/>
    <w:rsid w:val="0010452E"/>
    <w:rsid w:val="00104F26"/>
    <w:rsid w:val="0010512B"/>
    <w:rsid w:val="00105156"/>
    <w:rsid w:val="0010577D"/>
    <w:rsid w:val="00105AE2"/>
    <w:rsid w:val="00105D3A"/>
    <w:rsid w:val="001060C6"/>
    <w:rsid w:val="00106113"/>
    <w:rsid w:val="001065E3"/>
    <w:rsid w:val="00106629"/>
    <w:rsid w:val="00106B34"/>
    <w:rsid w:val="00106B6F"/>
    <w:rsid w:val="00106B80"/>
    <w:rsid w:val="001072E0"/>
    <w:rsid w:val="00107C16"/>
    <w:rsid w:val="00110270"/>
    <w:rsid w:val="00110285"/>
    <w:rsid w:val="0011032E"/>
    <w:rsid w:val="0011035B"/>
    <w:rsid w:val="0011044F"/>
    <w:rsid w:val="00110824"/>
    <w:rsid w:val="00110D97"/>
    <w:rsid w:val="00110FE0"/>
    <w:rsid w:val="0011100E"/>
    <w:rsid w:val="001117E3"/>
    <w:rsid w:val="001119C7"/>
    <w:rsid w:val="00111E52"/>
    <w:rsid w:val="00112662"/>
    <w:rsid w:val="00112D66"/>
    <w:rsid w:val="0011313D"/>
    <w:rsid w:val="001131EB"/>
    <w:rsid w:val="0011348B"/>
    <w:rsid w:val="00113C04"/>
    <w:rsid w:val="00113C75"/>
    <w:rsid w:val="00113C92"/>
    <w:rsid w:val="001150CA"/>
    <w:rsid w:val="0011531D"/>
    <w:rsid w:val="00115982"/>
    <w:rsid w:val="0011640F"/>
    <w:rsid w:val="00116ACF"/>
    <w:rsid w:val="00116C53"/>
    <w:rsid w:val="00116F2B"/>
    <w:rsid w:val="0011756B"/>
    <w:rsid w:val="001176B7"/>
    <w:rsid w:val="0012037C"/>
    <w:rsid w:val="0012105F"/>
    <w:rsid w:val="00121644"/>
    <w:rsid w:val="00121739"/>
    <w:rsid w:val="00121799"/>
    <w:rsid w:val="00121866"/>
    <w:rsid w:val="00121AFD"/>
    <w:rsid w:val="00121BC4"/>
    <w:rsid w:val="001222FC"/>
    <w:rsid w:val="00122CDC"/>
    <w:rsid w:val="0012325F"/>
    <w:rsid w:val="001234A2"/>
    <w:rsid w:val="00123829"/>
    <w:rsid w:val="00123902"/>
    <w:rsid w:val="00123B58"/>
    <w:rsid w:val="00123C73"/>
    <w:rsid w:val="00123C98"/>
    <w:rsid w:val="0012428C"/>
    <w:rsid w:val="001243C2"/>
    <w:rsid w:val="001248FA"/>
    <w:rsid w:val="00124A51"/>
    <w:rsid w:val="00124BFE"/>
    <w:rsid w:val="001254A4"/>
    <w:rsid w:val="00125A09"/>
    <w:rsid w:val="00125AC0"/>
    <w:rsid w:val="00125D1A"/>
    <w:rsid w:val="00126621"/>
    <w:rsid w:val="00126A91"/>
    <w:rsid w:val="00126B1D"/>
    <w:rsid w:val="001272D8"/>
    <w:rsid w:val="00127674"/>
    <w:rsid w:val="0012779B"/>
    <w:rsid w:val="00127CC6"/>
    <w:rsid w:val="001301E9"/>
    <w:rsid w:val="001302E4"/>
    <w:rsid w:val="001304FB"/>
    <w:rsid w:val="00130AFB"/>
    <w:rsid w:val="00130D27"/>
    <w:rsid w:val="00130DA3"/>
    <w:rsid w:val="00130E05"/>
    <w:rsid w:val="00131123"/>
    <w:rsid w:val="001317C0"/>
    <w:rsid w:val="00131BD3"/>
    <w:rsid w:val="00131BEB"/>
    <w:rsid w:val="00131D82"/>
    <w:rsid w:val="00131DC9"/>
    <w:rsid w:val="00131FED"/>
    <w:rsid w:val="00132084"/>
    <w:rsid w:val="001324F0"/>
    <w:rsid w:val="00132B22"/>
    <w:rsid w:val="00132B9A"/>
    <w:rsid w:val="00132D02"/>
    <w:rsid w:val="001333D6"/>
    <w:rsid w:val="0013340E"/>
    <w:rsid w:val="001336E7"/>
    <w:rsid w:val="00133D36"/>
    <w:rsid w:val="0013406E"/>
    <w:rsid w:val="00134393"/>
    <w:rsid w:val="00134745"/>
    <w:rsid w:val="00134AA6"/>
    <w:rsid w:val="001355B6"/>
    <w:rsid w:val="00135AF7"/>
    <w:rsid w:val="001364D6"/>
    <w:rsid w:val="0013677C"/>
    <w:rsid w:val="00136D1B"/>
    <w:rsid w:val="00136DC3"/>
    <w:rsid w:val="00136DF0"/>
    <w:rsid w:val="00136E39"/>
    <w:rsid w:val="00137195"/>
    <w:rsid w:val="001372F1"/>
    <w:rsid w:val="001375B7"/>
    <w:rsid w:val="00137645"/>
    <w:rsid w:val="00137BE0"/>
    <w:rsid w:val="0014015A"/>
    <w:rsid w:val="00140303"/>
    <w:rsid w:val="001409EE"/>
    <w:rsid w:val="00140E99"/>
    <w:rsid w:val="001411FD"/>
    <w:rsid w:val="001416C6"/>
    <w:rsid w:val="001417CF"/>
    <w:rsid w:val="00141F60"/>
    <w:rsid w:val="00142042"/>
    <w:rsid w:val="001426A5"/>
    <w:rsid w:val="0014294E"/>
    <w:rsid w:val="001432B5"/>
    <w:rsid w:val="0014338C"/>
    <w:rsid w:val="001433B6"/>
    <w:rsid w:val="001433D7"/>
    <w:rsid w:val="001437FE"/>
    <w:rsid w:val="00143D98"/>
    <w:rsid w:val="00143F67"/>
    <w:rsid w:val="00144945"/>
    <w:rsid w:val="00144AF0"/>
    <w:rsid w:val="00144BE6"/>
    <w:rsid w:val="00145234"/>
    <w:rsid w:val="0014524A"/>
    <w:rsid w:val="001452C9"/>
    <w:rsid w:val="00145540"/>
    <w:rsid w:val="001456B0"/>
    <w:rsid w:val="00145DE1"/>
    <w:rsid w:val="00146EC5"/>
    <w:rsid w:val="00146F1D"/>
    <w:rsid w:val="001473C0"/>
    <w:rsid w:val="0014785E"/>
    <w:rsid w:val="00150069"/>
    <w:rsid w:val="0015014A"/>
    <w:rsid w:val="00150969"/>
    <w:rsid w:val="001509C1"/>
    <w:rsid w:val="00150B1E"/>
    <w:rsid w:val="001511CE"/>
    <w:rsid w:val="001514EC"/>
    <w:rsid w:val="001519E5"/>
    <w:rsid w:val="00151E4F"/>
    <w:rsid w:val="001524E2"/>
    <w:rsid w:val="00153012"/>
    <w:rsid w:val="001534F8"/>
    <w:rsid w:val="0015355D"/>
    <w:rsid w:val="00153E42"/>
    <w:rsid w:val="00154224"/>
    <w:rsid w:val="001547AB"/>
    <w:rsid w:val="00154891"/>
    <w:rsid w:val="00155355"/>
    <w:rsid w:val="001556C4"/>
    <w:rsid w:val="001563CF"/>
    <w:rsid w:val="00156613"/>
    <w:rsid w:val="00156909"/>
    <w:rsid w:val="00156F7F"/>
    <w:rsid w:val="00156F8F"/>
    <w:rsid w:val="00157130"/>
    <w:rsid w:val="001576B1"/>
    <w:rsid w:val="00157DDA"/>
    <w:rsid w:val="00157F14"/>
    <w:rsid w:val="0016044F"/>
    <w:rsid w:val="0016047B"/>
    <w:rsid w:val="00160A4C"/>
    <w:rsid w:val="00160B2C"/>
    <w:rsid w:val="001612BB"/>
    <w:rsid w:val="001619B4"/>
    <w:rsid w:val="00161EBF"/>
    <w:rsid w:val="00162075"/>
    <w:rsid w:val="00162913"/>
    <w:rsid w:val="001629B1"/>
    <w:rsid w:val="0016319A"/>
    <w:rsid w:val="0016336F"/>
    <w:rsid w:val="00163596"/>
    <w:rsid w:val="0016370A"/>
    <w:rsid w:val="0016398B"/>
    <w:rsid w:val="00163EFF"/>
    <w:rsid w:val="00163F2C"/>
    <w:rsid w:val="00163F66"/>
    <w:rsid w:val="0016478E"/>
    <w:rsid w:val="00164B5B"/>
    <w:rsid w:val="001654DE"/>
    <w:rsid w:val="00165502"/>
    <w:rsid w:val="0016554D"/>
    <w:rsid w:val="001656AD"/>
    <w:rsid w:val="00165D47"/>
    <w:rsid w:val="00165EBE"/>
    <w:rsid w:val="00165EC4"/>
    <w:rsid w:val="001661FB"/>
    <w:rsid w:val="0016621C"/>
    <w:rsid w:val="001662A9"/>
    <w:rsid w:val="00166375"/>
    <w:rsid w:val="001664B6"/>
    <w:rsid w:val="00166692"/>
    <w:rsid w:val="0016676B"/>
    <w:rsid w:val="00166BBA"/>
    <w:rsid w:val="00166E33"/>
    <w:rsid w:val="001671A0"/>
    <w:rsid w:val="00167382"/>
    <w:rsid w:val="0016767F"/>
    <w:rsid w:val="001676DE"/>
    <w:rsid w:val="001705E8"/>
    <w:rsid w:val="00170A85"/>
    <w:rsid w:val="00170B22"/>
    <w:rsid w:val="00170B94"/>
    <w:rsid w:val="00170DD6"/>
    <w:rsid w:val="00170E64"/>
    <w:rsid w:val="001712FC"/>
    <w:rsid w:val="0017145C"/>
    <w:rsid w:val="0017169C"/>
    <w:rsid w:val="00171F96"/>
    <w:rsid w:val="0017245A"/>
    <w:rsid w:val="001725C0"/>
    <w:rsid w:val="00173211"/>
    <w:rsid w:val="00173565"/>
    <w:rsid w:val="0017383C"/>
    <w:rsid w:val="00173A5B"/>
    <w:rsid w:val="00173AA5"/>
    <w:rsid w:val="00173B07"/>
    <w:rsid w:val="00173B40"/>
    <w:rsid w:val="00173F80"/>
    <w:rsid w:val="00174094"/>
    <w:rsid w:val="001740B1"/>
    <w:rsid w:val="0017488C"/>
    <w:rsid w:val="00174E41"/>
    <w:rsid w:val="001750F2"/>
    <w:rsid w:val="001751FA"/>
    <w:rsid w:val="00175D45"/>
    <w:rsid w:val="00176655"/>
    <w:rsid w:val="001771F9"/>
    <w:rsid w:val="0017788B"/>
    <w:rsid w:val="001779E0"/>
    <w:rsid w:val="00177BBB"/>
    <w:rsid w:val="00177EA8"/>
    <w:rsid w:val="00180185"/>
    <w:rsid w:val="001809CA"/>
    <w:rsid w:val="00180F13"/>
    <w:rsid w:val="00181ADD"/>
    <w:rsid w:val="00181C10"/>
    <w:rsid w:val="00181CBF"/>
    <w:rsid w:val="00181D9C"/>
    <w:rsid w:val="00181DE6"/>
    <w:rsid w:val="00182966"/>
    <w:rsid w:val="00182CFE"/>
    <w:rsid w:val="00182EF1"/>
    <w:rsid w:val="00183381"/>
    <w:rsid w:val="00183391"/>
    <w:rsid w:val="00183512"/>
    <w:rsid w:val="001837FF"/>
    <w:rsid w:val="00183832"/>
    <w:rsid w:val="00183CB5"/>
    <w:rsid w:val="00184A29"/>
    <w:rsid w:val="00184A81"/>
    <w:rsid w:val="00184B0E"/>
    <w:rsid w:val="00184D9B"/>
    <w:rsid w:val="00184F86"/>
    <w:rsid w:val="001852ED"/>
    <w:rsid w:val="00185590"/>
    <w:rsid w:val="0018565A"/>
    <w:rsid w:val="00185F41"/>
    <w:rsid w:val="00186DB0"/>
    <w:rsid w:val="0018752F"/>
    <w:rsid w:val="0018762C"/>
    <w:rsid w:val="00187AE4"/>
    <w:rsid w:val="00190384"/>
    <w:rsid w:val="001906C4"/>
    <w:rsid w:val="001908E1"/>
    <w:rsid w:val="001909EE"/>
    <w:rsid w:val="00191213"/>
    <w:rsid w:val="00191567"/>
    <w:rsid w:val="001918C4"/>
    <w:rsid w:val="00191997"/>
    <w:rsid w:val="00191BD4"/>
    <w:rsid w:val="00191C7A"/>
    <w:rsid w:val="00191E50"/>
    <w:rsid w:val="00191F34"/>
    <w:rsid w:val="0019250A"/>
    <w:rsid w:val="00192581"/>
    <w:rsid w:val="0019266C"/>
    <w:rsid w:val="00192F10"/>
    <w:rsid w:val="00193543"/>
    <w:rsid w:val="001936CC"/>
    <w:rsid w:val="00193838"/>
    <w:rsid w:val="00193D7F"/>
    <w:rsid w:val="0019475A"/>
    <w:rsid w:val="00194A08"/>
    <w:rsid w:val="00194AD8"/>
    <w:rsid w:val="00194AE1"/>
    <w:rsid w:val="00194BB0"/>
    <w:rsid w:val="00194D83"/>
    <w:rsid w:val="0019518D"/>
    <w:rsid w:val="00195222"/>
    <w:rsid w:val="001952B9"/>
    <w:rsid w:val="00195452"/>
    <w:rsid w:val="00195A9E"/>
    <w:rsid w:val="0019627D"/>
    <w:rsid w:val="00196387"/>
    <w:rsid w:val="00196C6B"/>
    <w:rsid w:val="0019701F"/>
    <w:rsid w:val="001975D8"/>
    <w:rsid w:val="0019790F"/>
    <w:rsid w:val="001A035E"/>
    <w:rsid w:val="001A063A"/>
    <w:rsid w:val="001A0773"/>
    <w:rsid w:val="001A07F4"/>
    <w:rsid w:val="001A12EC"/>
    <w:rsid w:val="001A14B3"/>
    <w:rsid w:val="001A178E"/>
    <w:rsid w:val="001A184B"/>
    <w:rsid w:val="001A1D86"/>
    <w:rsid w:val="001A2396"/>
    <w:rsid w:val="001A26E2"/>
    <w:rsid w:val="001A2B90"/>
    <w:rsid w:val="001A2EDA"/>
    <w:rsid w:val="001A2FDE"/>
    <w:rsid w:val="001A417F"/>
    <w:rsid w:val="001A43FA"/>
    <w:rsid w:val="001A47C5"/>
    <w:rsid w:val="001A4899"/>
    <w:rsid w:val="001A4995"/>
    <w:rsid w:val="001A5971"/>
    <w:rsid w:val="001A59FB"/>
    <w:rsid w:val="001A5AC6"/>
    <w:rsid w:val="001A5E9E"/>
    <w:rsid w:val="001A5EDD"/>
    <w:rsid w:val="001A6354"/>
    <w:rsid w:val="001A6366"/>
    <w:rsid w:val="001A67CA"/>
    <w:rsid w:val="001A6CA3"/>
    <w:rsid w:val="001A6E2D"/>
    <w:rsid w:val="001A6E53"/>
    <w:rsid w:val="001A73EB"/>
    <w:rsid w:val="001A77F2"/>
    <w:rsid w:val="001A7AE8"/>
    <w:rsid w:val="001A7C8E"/>
    <w:rsid w:val="001B0034"/>
    <w:rsid w:val="001B0090"/>
    <w:rsid w:val="001B0724"/>
    <w:rsid w:val="001B1167"/>
    <w:rsid w:val="001B137E"/>
    <w:rsid w:val="001B1AFE"/>
    <w:rsid w:val="001B1C1D"/>
    <w:rsid w:val="001B1CC0"/>
    <w:rsid w:val="001B1F79"/>
    <w:rsid w:val="001B204E"/>
    <w:rsid w:val="001B2372"/>
    <w:rsid w:val="001B2641"/>
    <w:rsid w:val="001B27DF"/>
    <w:rsid w:val="001B2AB7"/>
    <w:rsid w:val="001B3443"/>
    <w:rsid w:val="001B360E"/>
    <w:rsid w:val="001B3E29"/>
    <w:rsid w:val="001B3E42"/>
    <w:rsid w:val="001B44BE"/>
    <w:rsid w:val="001B49A3"/>
    <w:rsid w:val="001B4B9D"/>
    <w:rsid w:val="001B4D20"/>
    <w:rsid w:val="001B5917"/>
    <w:rsid w:val="001B5A56"/>
    <w:rsid w:val="001B5EBD"/>
    <w:rsid w:val="001B5F27"/>
    <w:rsid w:val="001B60EF"/>
    <w:rsid w:val="001B68C3"/>
    <w:rsid w:val="001B6E59"/>
    <w:rsid w:val="001B7EC9"/>
    <w:rsid w:val="001B7F84"/>
    <w:rsid w:val="001C05CD"/>
    <w:rsid w:val="001C0CF4"/>
    <w:rsid w:val="001C1077"/>
    <w:rsid w:val="001C1A24"/>
    <w:rsid w:val="001C2473"/>
    <w:rsid w:val="001C2848"/>
    <w:rsid w:val="001C28E8"/>
    <w:rsid w:val="001C2A9B"/>
    <w:rsid w:val="001C2F56"/>
    <w:rsid w:val="001C3615"/>
    <w:rsid w:val="001C3A7A"/>
    <w:rsid w:val="001C3DD6"/>
    <w:rsid w:val="001C4299"/>
    <w:rsid w:val="001C479D"/>
    <w:rsid w:val="001C4874"/>
    <w:rsid w:val="001C48BA"/>
    <w:rsid w:val="001C4AD0"/>
    <w:rsid w:val="001C4E2A"/>
    <w:rsid w:val="001C510A"/>
    <w:rsid w:val="001C5988"/>
    <w:rsid w:val="001C5F94"/>
    <w:rsid w:val="001C64D2"/>
    <w:rsid w:val="001C6B29"/>
    <w:rsid w:val="001C6E66"/>
    <w:rsid w:val="001C6F6A"/>
    <w:rsid w:val="001C70E4"/>
    <w:rsid w:val="001C7739"/>
    <w:rsid w:val="001C7C43"/>
    <w:rsid w:val="001D0383"/>
    <w:rsid w:val="001D0BC1"/>
    <w:rsid w:val="001D1057"/>
    <w:rsid w:val="001D1100"/>
    <w:rsid w:val="001D1391"/>
    <w:rsid w:val="001D156E"/>
    <w:rsid w:val="001D1D7D"/>
    <w:rsid w:val="001D1FB2"/>
    <w:rsid w:val="001D25D7"/>
    <w:rsid w:val="001D28CC"/>
    <w:rsid w:val="001D31A0"/>
    <w:rsid w:val="001D3481"/>
    <w:rsid w:val="001D34A9"/>
    <w:rsid w:val="001D36ED"/>
    <w:rsid w:val="001D388A"/>
    <w:rsid w:val="001D39C5"/>
    <w:rsid w:val="001D470A"/>
    <w:rsid w:val="001D4E76"/>
    <w:rsid w:val="001D50B2"/>
    <w:rsid w:val="001D5439"/>
    <w:rsid w:val="001D655F"/>
    <w:rsid w:val="001D6AE3"/>
    <w:rsid w:val="001D6D72"/>
    <w:rsid w:val="001D6DB0"/>
    <w:rsid w:val="001D7148"/>
    <w:rsid w:val="001D71F4"/>
    <w:rsid w:val="001D74FC"/>
    <w:rsid w:val="001D7645"/>
    <w:rsid w:val="001D76F2"/>
    <w:rsid w:val="001D7D1C"/>
    <w:rsid w:val="001E00BF"/>
    <w:rsid w:val="001E0308"/>
    <w:rsid w:val="001E03A6"/>
    <w:rsid w:val="001E0673"/>
    <w:rsid w:val="001E0BB6"/>
    <w:rsid w:val="001E18E0"/>
    <w:rsid w:val="001E1E86"/>
    <w:rsid w:val="001E238E"/>
    <w:rsid w:val="001E2483"/>
    <w:rsid w:val="001E2A77"/>
    <w:rsid w:val="001E2AC7"/>
    <w:rsid w:val="001E2B1E"/>
    <w:rsid w:val="001E2CBD"/>
    <w:rsid w:val="001E2CFF"/>
    <w:rsid w:val="001E2D2A"/>
    <w:rsid w:val="001E2D3C"/>
    <w:rsid w:val="001E2F24"/>
    <w:rsid w:val="001E3009"/>
    <w:rsid w:val="001E30D4"/>
    <w:rsid w:val="001E34DF"/>
    <w:rsid w:val="001E3803"/>
    <w:rsid w:val="001E43F9"/>
    <w:rsid w:val="001E4444"/>
    <w:rsid w:val="001E4D67"/>
    <w:rsid w:val="001E4E80"/>
    <w:rsid w:val="001E52EB"/>
    <w:rsid w:val="001E53A6"/>
    <w:rsid w:val="001E53BE"/>
    <w:rsid w:val="001E53D4"/>
    <w:rsid w:val="001E55E7"/>
    <w:rsid w:val="001E59B2"/>
    <w:rsid w:val="001E5DA9"/>
    <w:rsid w:val="001E61D2"/>
    <w:rsid w:val="001E6662"/>
    <w:rsid w:val="001E6B3D"/>
    <w:rsid w:val="001E6DDC"/>
    <w:rsid w:val="001E715B"/>
    <w:rsid w:val="001E740C"/>
    <w:rsid w:val="001E783E"/>
    <w:rsid w:val="001E78C3"/>
    <w:rsid w:val="001E7DCB"/>
    <w:rsid w:val="001F0821"/>
    <w:rsid w:val="001F0E5C"/>
    <w:rsid w:val="001F11F6"/>
    <w:rsid w:val="001F1235"/>
    <w:rsid w:val="001F125D"/>
    <w:rsid w:val="001F161D"/>
    <w:rsid w:val="001F1670"/>
    <w:rsid w:val="001F1CB3"/>
    <w:rsid w:val="001F2192"/>
    <w:rsid w:val="001F252E"/>
    <w:rsid w:val="001F2FE5"/>
    <w:rsid w:val="001F31AA"/>
    <w:rsid w:val="001F333A"/>
    <w:rsid w:val="001F38B5"/>
    <w:rsid w:val="001F3AC7"/>
    <w:rsid w:val="001F4081"/>
    <w:rsid w:val="001F49F8"/>
    <w:rsid w:val="001F4BEF"/>
    <w:rsid w:val="001F4CD5"/>
    <w:rsid w:val="001F4D04"/>
    <w:rsid w:val="001F4F95"/>
    <w:rsid w:val="001F4FDB"/>
    <w:rsid w:val="001F5539"/>
    <w:rsid w:val="001F57E7"/>
    <w:rsid w:val="001F5855"/>
    <w:rsid w:val="001F5B2C"/>
    <w:rsid w:val="001F63E3"/>
    <w:rsid w:val="001F651B"/>
    <w:rsid w:val="001F6CA6"/>
    <w:rsid w:val="001F7253"/>
    <w:rsid w:val="001F7361"/>
    <w:rsid w:val="001F7B45"/>
    <w:rsid w:val="001F7C26"/>
    <w:rsid w:val="001F7F8E"/>
    <w:rsid w:val="00200624"/>
    <w:rsid w:val="002006E3"/>
    <w:rsid w:val="00200CEC"/>
    <w:rsid w:val="002011B0"/>
    <w:rsid w:val="002013A9"/>
    <w:rsid w:val="00201407"/>
    <w:rsid w:val="0020189D"/>
    <w:rsid w:val="00201AF3"/>
    <w:rsid w:val="00201B7D"/>
    <w:rsid w:val="00201EE2"/>
    <w:rsid w:val="002022C9"/>
    <w:rsid w:val="0020245B"/>
    <w:rsid w:val="00202531"/>
    <w:rsid w:val="0020290D"/>
    <w:rsid w:val="00202A5E"/>
    <w:rsid w:val="00202B23"/>
    <w:rsid w:val="00202CB0"/>
    <w:rsid w:val="00203181"/>
    <w:rsid w:val="00203783"/>
    <w:rsid w:val="0020385F"/>
    <w:rsid w:val="00204047"/>
    <w:rsid w:val="00204E74"/>
    <w:rsid w:val="00205038"/>
    <w:rsid w:val="002054A5"/>
    <w:rsid w:val="0020585D"/>
    <w:rsid w:val="00206224"/>
    <w:rsid w:val="0020672A"/>
    <w:rsid w:val="002068A0"/>
    <w:rsid w:val="00207021"/>
    <w:rsid w:val="0020732F"/>
    <w:rsid w:val="002078C2"/>
    <w:rsid w:val="002079FF"/>
    <w:rsid w:val="00207C4F"/>
    <w:rsid w:val="00207D00"/>
    <w:rsid w:val="00207EF3"/>
    <w:rsid w:val="0021056E"/>
    <w:rsid w:val="002105C1"/>
    <w:rsid w:val="002106A6"/>
    <w:rsid w:val="00210A66"/>
    <w:rsid w:val="00210B03"/>
    <w:rsid w:val="00211547"/>
    <w:rsid w:val="002116FD"/>
    <w:rsid w:val="002119E3"/>
    <w:rsid w:val="0021200E"/>
    <w:rsid w:val="002126E7"/>
    <w:rsid w:val="00212733"/>
    <w:rsid w:val="00212F63"/>
    <w:rsid w:val="00213045"/>
    <w:rsid w:val="002136B8"/>
    <w:rsid w:val="00213738"/>
    <w:rsid w:val="00213EF5"/>
    <w:rsid w:val="00213F66"/>
    <w:rsid w:val="00214136"/>
    <w:rsid w:val="00214299"/>
    <w:rsid w:val="0021476F"/>
    <w:rsid w:val="00214B48"/>
    <w:rsid w:val="00214C20"/>
    <w:rsid w:val="002151AA"/>
    <w:rsid w:val="00215304"/>
    <w:rsid w:val="0021574D"/>
    <w:rsid w:val="002157E0"/>
    <w:rsid w:val="0021605E"/>
    <w:rsid w:val="00216125"/>
    <w:rsid w:val="002163A0"/>
    <w:rsid w:val="0021668A"/>
    <w:rsid w:val="00216729"/>
    <w:rsid w:val="002169CE"/>
    <w:rsid w:val="00216BB9"/>
    <w:rsid w:val="00216BE4"/>
    <w:rsid w:val="00216BF5"/>
    <w:rsid w:val="00216DBE"/>
    <w:rsid w:val="002171C1"/>
    <w:rsid w:val="00220064"/>
    <w:rsid w:val="00220078"/>
    <w:rsid w:val="0022035E"/>
    <w:rsid w:val="0022092C"/>
    <w:rsid w:val="00220FC5"/>
    <w:rsid w:val="002211AB"/>
    <w:rsid w:val="00221385"/>
    <w:rsid w:val="002214CA"/>
    <w:rsid w:val="00221AD0"/>
    <w:rsid w:val="00221DD4"/>
    <w:rsid w:val="00222606"/>
    <w:rsid w:val="002227A0"/>
    <w:rsid w:val="00223937"/>
    <w:rsid w:val="00223B18"/>
    <w:rsid w:val="00223B49"/>
    <w:rsid w:val="00223D5A"/>
    <w:rsid w:val="00223D8B"/>
    <w:rsid w:val="00223D91"/>
    <w:rsid w:val="00224436"/>
    <w:rsid w:val="00224DD4"/>
    <w:rsid w:val="00224EE4"/>
    <w:rsid w:val="0022537D"/>
    <w:rsid w:val="0022553A"/>
    <w:rsid w:val="0022562D"/>
    <w:rsid w:val="00225812"/>
    <w:rsid w:val="00225ADA"/>
    <w:rsid w:val="00225AE3"/>
    <w:rsid w:val="00225DBD"/>
    <w:rsid w:val="0022612E"/>
    <w:rsid w:val="00226361"/>
    <w:rsid w:val="00226FEF"/>
    <w:rsid w:val="00227367"/>
    <w:rsid w:val="002278A0"/>
    <w:rsid w:val="00230454"/>
    <w:rsid w:val="002309CC"/>
    <w:rsid w:val="00230C11"/>
    <w:rsid w:val="00230F97"/>
    <w:rsid w:val="00231822"/>
    <w:rsid w:val="00231BA9"/>
    <w:rsid w:val="00231E8A"/>
    <w:rsid w:val="00231F7F"/>
    <w:rsid w:val="0023209F"/>
    <w:rsid w:val="002320A1"/>
    <w:rsid w:val="00232390"/>
    <w:rsid w:val="002325B4"/>
    <w:rsid w:val="002325FD"/>
    <w:rsid w:val="00232AD9"/>
    <w:rsid w:val="00232B8A"/>
    <w:rsid w:val="00232DFA"/>
    <w:rsid w:val="00233496"/>
    <w:rsid w:val="002337D4"/>
    <w:rsid w:val="00233858"/>
    <w:rsid w:val="0023386E"/>
    <w:rsid w:val="002338EB"/>
    <w:rsid w:val="00233C01"/>
    <w:rsid w:val="00233EE3"/>
    <w:rsid w:val="0023413C"/>
    <w:rsid w:val="002346F0"/>
    <w:rsid w:val="00234A3F"/>
    <w:rsid w:val="00234B23"/>
    <w:rsid w:val="00234BBF"/>
    <w:rsid w:val="00234BDB"/>
    <w:rsid w:val="0023558F"/>
    <w:rsid w:val="0023583C"/>
    <w:rsid w:val="002359A7"/>
    <w:rsid w:val="00235C2A"/>
    <w:rsid w:val="0023629D"/>
    <w:rsid w:val="002364DE"/>
    <w:rsid w:val="00236915"/>
    <w:rsid w:val="00237108"/>
    <w:rsid w:val="0023719C"/>
    <w:rsid w:val="00237255"/>
    <w:rsid w:val="0023789C"/>
    <w:rsid w:val="00237B22"/>
    <w:rsid w:val="0024038F"/>
    <w:rsid w:val="002403EE"/>
    <w:rsid w:val="00240467"/>
    <w:rsid w:val="00241308"/>
    <w:rsid w:val="00241545"/>
    <w:rsid w:val="0024199F"/>
    <w:rsid w:val="00241AE1"/>
    <w:rsid w:val="00241C35"/>
    <w:rsid w:val="00241DB0"/>
    <w:rsid w:val="002420A1"/>
    <w:rsid w:val="00242470"/>
    <w:rsid w:val="002424AF"/>
    <w:rsid w:val="0024254C"/>
    <w:rsid w:val="00242967"/>
    <w:rsid w:val="00242A2F"/>
    <w:rsid w:val="002434D7"/>
    <w:rsid w:val="002435D7"/>
    <w:rsid w:val="002439DC"/>
    <w:rsid w:val="00243A19"/>
    <w:rsid w:val="002441D2"/>
    <w:rsid w:val="0024464B"/>
    <w:rsid w:val="00244842"/>
    <w:rsid w:val="00244DC8"/>
    <w:rsid w:val="00244DD4"/>
    <w:rsid w:val="00244E38"/>
    <w:rsid w:val="00244E89"/>
    <w:rsid w:val="0024554A"/>
    <w:rsid w:val="002458BA"/>
    <w:rsid w:val="00245975"/>
    <w:rsid w:val="00245CE9"/>
    <w:rsid w:val="002460A1"/>
    <w:rsid w:val="00246149"/>
    <w:rsid w:val="00246166"/>
    <w:rsid w:val="0024636C"/>
    <w:rsid w:val="00246AE1"/>
    <w:rsid w:val="00246B9B"/>
    <w:rsid w:val="00246C00"/>
    <w:rsid w:val="00246CCF"/>
    <w:rsid w:val="00247012"/>
    <w:rsid w:val="002472AB"/>
    <w:rsid w:val="00247492"/>
    <w:rsid w:val="002477A2"/>
    <w:rsid w:val="00247925"/>
    <w:rsid w:val="00247BA5"/>
    <w:rsid w:val="00247CA0"/>
    <w:rsid w:val="00247CB5"/>
    <w:rsid w:val="00250D48"/>
    <w:rsid w:val="00250E83"/>
    <w:rsid w:val="00251006"/>
    <w:rsid w:val="002518C2"/>
    <w:rsid w:val="00251D51"/>
    <w:rsid w:val="002523C4"/>
    <w:rsid w:val="002524D5"/>
    <w:rsid w:val="00252554"/>
    <w:rsid w:val="002525A5"/>
    <w:rsid w:val="00252895"/>
    <w:rsid w:val="00252A17"/>
    <w:rsid w:val="00252C83"/>
    <w:rsid w:val="002530A0"/>
    <w:rsid w:val="00253494"/>
    <w:rsid w:val="002539D8"/>
    <w:rsid w:val="00253B1D"/>
    <w:rsid w:val="00253C91"/>
    <w:rsid w:val="00253F08"/>
    <w:rsid w:val="002540C3"/>
    <w:rsid w:val="00254402"/>
    <w:rsid w:val="00254675"/>
    <w:rsid w:val="00254AD4"/>
    <w:rsid w:val="00254B98"/>
    <w:rsid w:val="00254DCF"/>
    <w:rsid w:val="0025506F"/>
    <w:rsid w:val="0025534B"/>
    <w:rsid w:val="002556F4"/>
    <w:rsid w:val="00255BB7"/>
    <w:rsid w:val="00255BF2"/>
    <w:rsid w:val="0025604B"/>
    <w:rsid w:val="0025608C"/>
    <w:rsid w:val="0025699E"/>
    <w:rsid w:val="00256D1E"/>
    <w:rsid w:val="002570B5"/>
    <w:rsid w:val="00257435"/>
    <w:rsid w:val="00257541"/>
    <w:rsid w:val="00257A39"/>
    <w:rsid w:val="00257AC4"/>
    <w:rsid w:val="00257BB2"/>
    <w:rsid w:val="00257BBE"/>
    <w:rsid w:val="00257CE9"/>
    <w:rsid w:val="00257EA6"/>
    <w:rsid w:val="0026018B"/>
    <w:rsid w:val="0026090A"/>
    <w:rsid w:val="00260AE2"/>
    <w:rsid w:val="00260D36"/>
    <w:rsid w:val="0026111A"/>
    <w:rsid w:val="002616B9"/>
    <w:rsid w:val="00261738"/>
    <w:rsid w:val="00261760"/>
    <w:rsid w:val="00261C4F"/>
    <w:rsid w:val="00261EEF"/>
    <w:rsid w:val="002628A9"/>
    <w:rsid w:val="00262992"/>
    <w:rsid w:val="00262A1A"/>
    <w:rsid w:val="00262A87"/>
    <w:rsid w:val="002631D1"/>
    <w:rsid w:val="002633D9"/>
    <w:rsid w:val="002637B7"/>
    <w:rsid w:val="00263A16"/>
    <w:rsid w:val="00263C67"/>
    <w:rsid w:val="00263DB8"/>
    <w:rsid w:val="00264791"/>
    <w:rsid w:val="00264C2D"/>
    <w:rsid w:val="00264D26"/>
    <w:rsid w:val="00265A1A"/>
    <w:rsid w:val="00265CCF"/>
    <w:rsid w:val="00265F76"/>
    <w:rsid w:val="00265FEE"/>
    <w:rsid w:val="00266971"/>
    <w:rsid w:val="0026709F"/>
    <w:rsid w:val="00267642"/>
    <w:rsid w:val="002678E8"/>
    <w:rsid w:val="00267AEA"/>
    <w:rsid w:val="00267D4D"/>
    <w:rsid w:val="00267DEA"/>
    <w:rsid w:val="002700E6"/>
    <w:rsid w:val="0027021F"/>
    <w:rsid w:val="0027053D"/>
    <w:rsid w:val="0027062B"/>
    <w:rsid w:val="00270670"/>
    <w:rsid w:val="0027163D"/>
    <w:rsid w:val="00271876"/>
    <w:rsid w:val="00272228"/>
    <w:rsid w:val="00272284"/>
    <w:rsid w:val="002725D8"/>
    <w:rsid w:val="0027294B"/>
    <w:rsid w:val="00272AEC"/>
    <w:rsid w:val="00272FDA"/>
    <w:rsid w:val="00273258"/>
    <w:rsid w:val="00273386"/>
    <w:rsid w:val="0027353C"/>
    <w:rsid w:val="002739FA"/>
    <w:rsid w:val="00273BE3"/>
    <w:rsid w:val="00273EB4"/>
    <w:rsid w:val="00273F58"/>
    <w:rsid w:val="002742BD"/>
    <w:rsid w:val="00274682"/>
    <w:rsid w:val="00274E45"/>
    <w:rsid w:val="00275158"/>
    <w:rsid w:val="0027553C"/>
    <w:rsid w:val="00275C5A"/>
    <w:rsid w:val="00275EC4"/>
    <w:rsid w:val="00277638"/>
    <w:rsid w:val="002777AB"/>
    <w:rsid w:val="00277857"/>
    <w:rsid w:val="0028013E"/>
    <w:rsid w:val="00281014"/>
    <w:rsid w:val="0028119A"/>
    <w:rsid w:val="00281BCC"/>
    <w:rsid w:val="00282410"/>
    <w:rsid w:val="002824DE"/>
    <w:rsid w:val="00282711"/>
    <w:rsid w:val="00282C5F"/>
    <w:rsid w:val="002832AB"/>
    <w:rsid w:val="00283363"/>
    <w:rsid w:val="00283771"/>
    <w:rsid w:val="0028379B"/>
    <w:rsid w:val="002837B5"/>
    <w:rsid w:val="002847CD"/>
    <w:rsid w:val="002849E8"/>
    <w:rsid w:val="00285021"/>
    <w:rsid w:val="002858BF"/>
    <w:rsid w:val="00285964"/>
    <w:rsid w:val="00285AE3"/>
    <w:rsid w:val="00285BCE"/>
    <w:rsid w:val="00285D8E"/>
    <w:rsid w:val="0028620A"/>
    <w:rsid w:val="00286291"/>
    <w:rsid w:val="0028665D"/>
    <w:rsid w:val="0028673E"/>
    <w:rsid w:val="00286A03"/>
    <w:rsid w:val="00286CB2"/>
    <w:rsid w:val="00286EE3"/>
    <w:rsid w:val="00286FDC"/>
    <w:rsid w:val="002876F4"/>
    <w:rsid w:val="002877CC"/>
    <w:rsid w:val="00287837"/>
    <w:rsid w:val="00287DBA"/>
    <w:rsid w:val="00290718"/>
    <w:rsid w:val="00290C5C"/>
    <w:rsid w:val="00291410"/>
    <w:rsid w:val="00291989"/>
    <w:rsid w:val="00291C3F"/>
    <w:rsid w:val="00291D32"/>
    <w:rsid w:val="00291D66"/>
    <w:rsid w:val="00292264"/>
    <w:rsid w:val="00292513"/>
    <w:rsid w:val="002929CF"/>
    <w:rsid w:val="00292B43"/>
    <w:rsid w:val="00292CB1"/>
    <w:rsid w:val="00292CE6"/>
    <w:rsid w:val="00293F04"/>
    <w:rsid w:val="00294303"/>
    <w:rsid w:val="00295926"/>
    <w:rsid w:val="00295B7A"/>
    <w:rsid w:val="00296100"/>
    <w:rsid w:val="00296743"/>
    <w:rsid w:val="002973FA"/>
    <w:rsid w:val="00297694"/>
    <w:rsid w:val="002976CC"/>
    <w:rsid w:val="002A03E1"/>
    <w:rsid w:val="002A0A56"/>
    <w:rsid w:val="002A0EBE"/>
    <w:rsid w:val="002A1346"/>
    <w:rsid w:val="002A14AB"/>
    <w:rsid w:val="002A1808"/>
    <w:rsid w:val="002A2377"/>
    <w:rsid w:val="002A2807"/>
    <w:rsid w:val="002A2893"/>
    <w:rsid w:val="002A28C2"/>
    <w:rsid w:val="002A2ADE"/>
    <w:rsid w:val="002A2C12"/>
    <w:rsid w:val="002A2CC1"/>
    <w:rsid w:val="002A2F50"/>
    <w:rsid w:val="002A33CC"/>
    <w:rsid w:val="002A5370"/>
    <w:rsid w:val="002A5C50"/>
    <w:rsid w:val="002A5DED"/>
    <w:rsid w:val="002A5DF2"/>
    <w:rsid w:val="002A601A"/>
    <w:rsid w:val="002A654B"/>
    <w:rsid w:val="002A67BC"/>
    <w:rsid w:val="002A6E14"/>
    <w:rsid w:val="002A7438"/>
    <w:rsid w:val="002A76B2"/>
    <w:rsid w:val="002A7851"/>
    <w:rsid w:val="002A7943"/>
    <w:rsid w:val="002A7DBC"/>
    <w:rsid w:val="002B05A1"/>
    <w:rsid w:val="002B0945"/>
    <w:rsid w:val="002B09A4"/>
    <w:rsid w:val="002B0A6B"/>
    <w:rsid w:val="002B17C4"/>
    <w:rsid w:val="002B19A3"/>
    <w:rsid w:val="002B1C1F"/>
    <w:rsid w:val="002B1D86"/>
    <w:rsid w:val="002B221B"/>
    <w:rsid w:val="002B2B26"/>
    <w:rsid w:val="002B2C19"/>
    <w:rsid w:val="002B2D37"/>
    <w:rsid w:val="002B2F33"/>
    <w:rsid w:val="002B32DD"/>
    <w:rsid w:val="002B3483"/>
    <w:rsid w:val="002B3D87"/>
    <w:rsid w:val="002B40F3"/>
    <w:rsid w:val="002B432F"/>
    <w:rsid w:val="002B472F"/>
    <w:rsid w:val="002B5140"/>
    <w:rsid w:val="002B5349"/>
    <w:rsid w:val="002B5A42"/>
    <w:rsid w:val="002B5C34"/>
    <w:rsid w:val="002B62B3"/>
    <w:rsid w:val="002B6417"/>
    <w:rsid w:val="002B66C3"/>
    <w:rsid w:val="002B6754"/>
    <w:rsid w:val="002B6B65"/>
    <w:rsid w:val="002B6C21"/>
    <w:rsid w:val="002B6CCE"/>
    <w:rsid w:val="002B6CF7"/>
    <w:rsid w:val="002B6F5E"/>
    <w:rsid w:val="002B7BF8"/>
    <w:rsid w:val="002B7CC9"/>
    <w:rsid w:val="002B7D12"/>
    <w:rsid w:val="002C029D"/>
    <w:rsid w:val="002C0697"/>
    <w:rsid w:val="002C08CE"/>
    <w:rsid w:val="002C0AD2"/>
    <w:rsid w:val="002C0AD5"/>
    <w:rsid w:val="002C11EE"/>
    <w:rsid w:val="002C11EF"/>
    <w:rsid w:val="002C13B8"/>
    <w:rsid w:val="002C14F4"/>
    <w:rsid w:val="002C1565"/>
    <w:rsid w:val="002C17C5"/>
    <w:rsid w:val="002C1817"/>
    <w:rsid w:val="002C1E66"/>
    <w:rsid w:val="002C21E9"/>
    <w:rsid w:val="002C2510"/>
    <w:rsid w:val="002C2775"/>
    <w:rsid w:val="002C27C1"/>
    <w:rsid w:val="002C2B97"/>
    <w:rsid w:val="002C2C10"/>
    <w:rsid w:val="002C2E8B"/>
    <w:rsid w:val="002C3217"/>
    <w:rsid w:val="002C36E3"/>
    <w:rsid w:val="002C39A7"/>
    <w:rsid w:val="002C3A1F"/>
    <w:rsid w:val="002C3A8A"/>
    <w:rsid w:val="002C3CB6"/>
    <w:rsid w:val="002C3E9B"/>
    <w:rsid w:val="002C3EAE"/>
    <w:rsid w:val="002C40E4"/>
    <w:rsid w:val="002C43E9"/>
    <w:rsid w:val="002C4824"/>
    <w:rsid w:val="002C4B6D"/>
    <w:rsid w:val="002C4E9B"/>
    <w:rsid w:val="002C4EFA"/>
    <w:rsid w:val="002C5099"/>
    <w:rsid w:val="002C5378"/>
    <w:rsid w:val="002C5889"/>
    <w:rsid w:val="002C5B49"/>
    <w:rsid w:val="002C61F5"/>
    <w:rsid w:val="002C6A40"/>
    <w:rsid w:val="002C6BD2"/>
    <w:rsid w:val="002C6D48"/>
    <w:rsid w:val="002C6E49"/>
    <w:rsid w:val="002C71AB"/>
    <w:rsid w:val="002C71CE"/>
    <w:rsid w:val="002C7690"/>
    <w:rsid w:val="002D0132"/>
    <w:rsid w:val="002D0375"/>
    <w:rsid w:val="002D05A7"/>
    <w:rsid w:val="002D08F8"/>
    <w:rsid w:val="002D1603"/>
    <w:rsid w:val="002D183E"/>
    <w:rsid w:val="002D1AB5"/>
    <w:rsid w:val="002D1C9C"/>
    <w:rsid w:val="002D22F0"/>
    <w:rsid w:val="002D2892"/>
    <w:rsid w:val="002D2A75"/>
    <w:rsid w:val="002D3716"/>
    <w:rsid w:val="002D374F"/>
    <w:rsid w:val="002D3F5E"/>
    <w:rsid w:val="002D4140"/>
    <w:rsid w:val="002D4431"/>
    <w:rsid w:val="002D4CF0"/>
    <w:rsid w:val="002D55BA"/>
    <w:rsid w:val="002D577C"/>
    <w:rsid w:val="002D5794"/>
    <w:rsid w:val="002D58F6"/>
    <w:rsid w:val="002D5D5A"/>
    <w:rsid w:val="002D5DAB"/>
    <w:rsid w:val="002D627B"/>
    <w:rsid w:val="002D6518"/>
    <w:rsid w:val="002D7832"/>
    <w:rsid w:val="002D795F"/>
    <w:rsid w:val="002D79EF"/>
    <w:rsid w:val="002D7EA7"/>
    <w:rsid w:val="002E0804"/>
    <w:rsid w:val="002E0B2C"/>
    <w:rsid w:val="002E0DB5"/>
    <w:rsid w:val="002E0F80"/>
    <w:rsid w:val="002E1071"/>
    <w:rsid w:val="002E15B9"/>
    <w:rsid w:val="002E2158"/>
    <w:rsid w:val="002E21F6"/>
    <w:rsid w:val="002E251C"/>
    <w:rsid w:val="002E2DCA"/>
    <w:rsid w:val="002E3104"/>
    <w:rsid w:val="002E379E"/>
    <w:rsid w:val="002E38E7"/>
    <w:rsid w:val="002E4515"/>
    <w:rsid w:val="002E463E"/>
    <w:rsid w:val="002E47C2"/>
    <w:rsid w:val="002E4A6A"/>
    <w:rsid w:val="002E4F02"/>
    <w:rsid w:val="002E51E7"/>
    <w:rsid w:val="002E55A3"/>
    <w:rsid w:val="002E57A3"/>
    <w:rsid w:val="002E5ABD"/>
    <w:rsid w:val="002E5E0B"/>
    <w:rsid w:val="002E5FCE"/>
    <w:rsid w:val="002E6373"/>
    <w:rsid w:val="002E6A3A"/>
    <w:rsid w:val="002E6B6B"/>
    <w:rsid w:val="002E6DD9"/>
    <w:rsid w:val="002E72C2"/>
    <w:rsid w:val="002E73B0"/>
    <w:rsid w:val="002E7722"/>
    <w:rsid w:val="002E77DC"/>
    <w:rsid w:val="002E7F67"/>
    <w:rsid w:val="002F02AA"/>
    <w:rsid w:val="002F05C8"/>
    <w:rsid w:val="002F07BA"/>
    <w:rsid w:val="002F0DA9"/>
    <w:rsid w:val="002F0DD9"/>
    <w:rsid w:val="002F1014"/>
    <w:rsid w:val="002F146B"/>
    <w:rsid w:val="002F18C9"/>
    <w:rsid w:val="002F1A5D"/>
    <w:rsid w:val="002F1E3B"/>
    <w:rsid w:val="002F1EDF"/>
    <w:rsid w:val="002F2267"/>
    <w:rsid w:val="002F22AC"/>
    <w:rsid w:val="002F26E0"/>
    <w:rsid w:val="002F2738"/>
    <w:rsid w:val="002F2745"/>
    <w:rsid w:val="002F3588"/>
    <w:rsid w:val="002F4979"/>
    <w:rsid w:val="002F5432"/>
    <w:rsid w:val="002F543D"/>
    <w:rsid w:val="002F5660"/>
    <w:rsid w:val="002F60FE"/>
    <w:rsid w:val="002F643C"/>
    <w:rsid w:val="002F6694"/>
    <w:rsid w:val="002F6BB8"/>
    <w:rsid w:val="002F71C0"/>
    <w:rsid w:val="002F74F1"/>
    <w:rsid w:val="002F7C00"/>
    <w:rsid w:val="0030040C"/>
    <w:rsid w:val="00300523"/>
    <w:rsid w:val="003007A6"/>
    <w:rsid w:val="00300819"/>
    <w:rsid w:val="00300A00"/>
    <w:rsid w:val="00300B8D"/>
    <w:rsid w:val="00300F95"/>
    <w:rsid w:val="00301017"/>
    <w:rsid w:val="003013C3"/>
    <w:rsid w:val="0030149F"/>
    <w:rsid w:val="0030155F"/>
    <w:rsid w:val="00301710"/>
    <w:rsid w:val="00301FF1"/>
    <w:rsid w:val="003023FC"/>
    <w:rsid w:val="00302461"/>
    <w:rsid w:val="00302D3E"/>
    <w:rsid w:val="00302DBB"/>
    <w:rsid w:val="00302EB5"/>
    <w:rsid w:val="0030352E"/>
    <w:rsid w:val="0030391F"/>
    <w:rsid w:val="00303998"/>
    <w:rsid w:val="003039A2"/>
    <w:rsid w:val="00303AC9"/>
    <w:rsid w:val="00303D38"/>
    <w:rsid w:val="00303DD0"/>
    <w:rsid w:val="0030409B"/>
    <w:rsid w:val="0030437F"/>
    <w:rsid w:val="003043F5"/>
    <w:rsid w:val="00304A9B"/>
    <w:rsid w:val="00304C99"/>
    <w:rsid w:val="003053C6"/>
    <w:rsid w:val="0030558C"/>
    <w:rsid w:val="0030587B"/>
    <w:rsid w:val="003059C2"/>
    <w:rsid w:val="00305EB2"/>
    <w:rsid w:val="00305F77"/>
    <w:rsid w:val="003067DA"/>
    <w:rsid w:val="00306A10"/>
    <w:rsid w:val="00306CFC"/>
    <w:rsid w:val="00306D98"/>
    <w:rsid w:val="003071A9"/>
    <w:rsid w:val="0030786C"/>
    <w:rsid w:val="00307BEA"/>
    <w:rsid w:val="00307D44"/>
    <w:rsid w:val="00307FA8"/>
    <w:rsid w:val="003100FB"/>
    <w:rsid w:val="0031031A"/>
    <w:rsid w:val="0031042A"/>
    <w:rsid w:val="00310890"/>
    <w:rsid w:val="00310981"/>
    <w:rsid w:val="00310D23"/>
    <w:rsid w:val="00310F46"/>
    <w:rsid w:val="00311232"/>
    <w:rsid w:val="00311712"/>
    <w:rsid w:val="00311908"/>
    <w:rsid w:val="00311B75"/>
    <w:rsid w:val="00311D9B"/>
    <w:rsid w:val="003124D9"/>
    <w:rsid w:val="00312594"/>
    <w:rsid w:val="00312683"/>
    <w:rsid w:val="003127F7"/>
    <w:rsid w:val="0031287A"/>
    <w:rsid w:val="00312917"/>
    <w:rsid w:val="00312B56"/>
    <w:rsid w:val="00312D10"/>
    <w:rsid w:val="00312ED6"/>
    <w:rsid w:val="003130F3"/>
    <w:rsid w:val="00313974"/>
    <w:rsid w:val="0031492E"/>
    <w:rsid w:val="00315498"/>
    <w:rsid w:val="00315668"/>
    <w:rsid w:val="00315D46"/>
    <w:rsid w:val="00316474"/>
    <w:rsid w:val="003164B1"/>
    <w:rsid w:val="00316D32"/>
    <w:rsid w:val="003171E2"/>
    <w:rsid w:val="003178B0"/>
    <w:rsid w:val="00317A8E"/>
    <w:rsid w:val="00317ECF"/>
    <w:rsid w:val="003204C1"/>
    <w:rsid w:val="003206B0"/>
    <w:rsid w:val="00320775"/>
    <w:rsid w:val="00320B50"/>
    <w:rsid w:val="00320F63"/>
    <w:rsid w:val="0032121C"/>
    <w:rsid w:val="003214FA"/>
    <w:rsid w:val="00321B38"/>
    <w:rsid w:val="00321FAC"/>
    <w:rsid w:val="00322107"/>
    <w:rsid w:val="00322355"/>
    <w:rsid w:val="003225F3"/>
    <w:rsid w:val="003226AE"/>
    <w:rsid w:val="003226D0"/>
    <w:rsid w:val="00322846"/>
    <w:rsid w:val="00322B5E"/>
    <w:rsid w:val="00322C21"/>
    <w:rsid w:val="00323592"/>
    <w:rsid w:val="00323E77"/>
    <w:rsid w:val="00323F53"/>
    <w:rsid w:val="00324A12"/>
    <w:rsid w:val="00324BE4"/>
    <w:rsid w:val="00324E0F"/>
    <w:rsid w:val="0032558E"/>
    <w:rsid w:val="0032634D"/>
    <w:rsid w:val="00326DA7"/>
    <w:rsid w:val="00326EBE"/>
    <w:rsid w:val="003270E4"/>
    <w:rsid w:val="003272B6"/>
    <w:rsid w:val="003275DF"/>
    <w:rsid w:val="00327ED9"/>
    <w:rsid w:val="00327EFE"/>
    <w:rsid w:val="003303BA"/>
    <w:rsid w:val="00330AF7"/>
    <w:rsid w:val="00330BEA"/>
    <w:rsid w:val="00330DAA"/>
    <w:rsid w:val="00330F5C"/>
    <w:rsid w:val="0033174C"/>
    <w:rsid w:val="00331B4B"/>
    <w:rsid w:val="00331B9B"/>
    <w:rsid w:val="00331C9B"/>
    <w:rsid w:val="0033274A"/>
    <w:rsid w:val="00332AA0"/>
    <w:rsid w:val="00332D36"/>
    <w:rsid w:val="003334C6"/>
    <w:rsid w:val="0033360D"/>
    <w:rsid w:val="003338DB"/>
    <w:rsid w:val="00333CDA"/>
    <w:rsid w:val="00333D0E"/>
    <w:rsid w:val="00333EAA"/>
    <w:rsid w:val="00334A39"/>
    <w:rsid w:val="00334D17"/>
    <w:rsid w:val="00334E16"/>
    <w:rsid w:val="00335629"/>
    <w:rsid w:val="003357A8"/>
    <w:rsid w:val="00336371"/>
    <w:rsid w:val="003366C9"/>
    <w:rsid w:val="003368BC"/>
    <w:rsid w:val="00336FFC"/>
    <w:rsid w:val="003371B0"/>
    <w:rsid w:val="00337B30"/>
    <w:rsid w:val="00337F52"/>
    <w:rsid w:val="00337F71"/>
    <w:rsid w:val="003401A6"/>
    <w:rsid w:val="003406AB"/>
    <w:rsid w:val="003409E8"/>
    <w:rsid w:val="00340B44"/>
    <w:rsid w:val="00340CDB"/>
    <w:rsid w:val="00340DF1"/>
    <w:rsid w:val="0034193F"/>
    <w:rsid w:val="003422AF"/>
    <w:rsid w:val="00342828"/>
    <w:rsid w:val="00342BEA"/>
    <w:rsid w:val="00343137"/>
    <w:rsid w:val="0034336F"/>
    <w:rsid w:val="00343385"/>
    <w:rsid w:val="00343572"/>
    <w:rsid w:val="00343629"/>
    <w:rsid w:val="0034378A"/>
    <w:rsid w:val="0034380C"/>
    <w:rsid w:val="00343901"/>
    <w:rsid w:val="00344084"/>
    <w:rsid w:val="00344283"/>
    <w:rsid w:val="00344587"/>
    <w:rsid w:val="00344923"/>
    <w:rsid w:val="00344A80"/>
    <w:rsid w:val="003450BF"/>
    <w:rsid w:val="003453BD"/>
    <w:rsid w:val="00345E18"/>
    <w:rsid w:val="0034690C"/>
    <w:rsid w:val="00346C3B"/>
    <w:rsid w:val="00346CE6"/>
    <w:rsid w:val="00346CF7"/>
    <w:rsid w:val="00346D0C"/>
    <w:rsid w:val="00346D41"/>
    <w:rsid w:val="00346E71"/>
    <w:rsid w:val="003473AD"/>
    <w:rsid w:val="003474C8"/>
    <w:rsid w:val="0034751D"/>
    <w:rsid w:val="00350296"/>
    <w:rsid w:val="0035044B"/>
    <w:rsid w:val="0035070E"/>
    <w:rsid w:val="00350853"/>
    <w:rsid w:val="00351667"/>
    <w:rsid w:val="003517F9"/>
    <w:rsid w:val="00351BA9"/>
    <w:rsid w:val="00351C6F"/>
    <w:rsid w:val="00351D60"/>
    <w:rsid w:val="00352617"/>
    <w:rsid w:val="003529D9"/>
    <w:rsid w:val="00352BB1"/>
    <w:rsid w:val="0035318C"/>
    <w:rsid w:val="00353C7B"/>
    <w:rsid w:val="00354C8C"/>
    <w:rsid w:val="00354F64"/>
    <w:rsid w:val="00355061"/>
    <w:rsid w:val="0035524C"/>
    <w:rsid w:val="0035620E"/>
    <w:rsid w:val="00356856"/>
    <w:rsid w:val="003569FE"/>
    <w:rsid w:val="00356BA8"/>
    <w:rsid w:val="00356C46"/>
    <w:rsid w:val="00357198"/>
    <w:rsid w:val="0035735B"/>
    <w:rsid w:val="003575BE"/>
    <w:rsid w:val="00357957"/>
    <w:rsid w:val="00357BD4"/>
    <w:rsid w:val="00360345"/>
    <w:rsid w:val="0036092E"/>
    <w:rsid w:val="00360C6D"/>
    <w:rsid w:val="00360D19"/>
    <w:rsid w:val="00361164"/>
    <w:rsid w:val="00361A05"/>
    <w:rsid w:val="00361CB0"/>
    <w:rsid w:val="003624C4"/>
    <w:rsid w:val="00363639"/>
    <w:rsid w:val="003636D5"/>
    <w:rsid w:val="00363B00"/>
    <w:rsid w:val="003643A2"/>
    <w:rsid w:val="00365228"/>
    <w:rsid w:val="003654AC"/>
    <w:rsid w:val="00365584"/>
    <w:rsid w:val="00365AB2"/>
    <w:rsid w:val="00366252"/>
    <w:rsid w:val="00366858"/>
    <w:rsid w:val="003672DB"/>
    <w:rsid w:val="00367DF6"/>
    <w:rsid w:val="003702D4"/>
    <w:rsid w:val="00370EFC"/>
    <w:rsid w:val="003710CF"/>
    <w:rsid w:val="00371599"/>
    <w:rsid w:val="00371B48"/>
    <w:rsid w:val="00371E7E"/>
    <w:rsid w:val="003720DF"/>
    <w:rsid w:val="003722D9"/>
    <w:rsid w:val="00373041"/>
    <w:rsid w:val="00373087"/>
    <w:rsid w:val="003733FA"/>
    <w:rsid w:val="0037358A"/>
    <w:rsid w:val="00373D34"/>
    <w:rsid w:val="00373F21"/>
    <w:rsid w:val="00374104"/>
    <w:rsid w:val="003741F7"/>
    <w:rsid w:val="00374CEE"/>
    <w:rsid w:val="003750F6"/>
    <w:rsid w:val="00375AD3"/>
    <w:rsid w:val="00375D9E"/>
    <w:rsid w:val="003760FC"/>
    <w:rsid w:val="00376306"/>
    <w:rsid w:val="00376385"/>
    <w:rsid w:val="0037644A"/>
    <w:rsid w:val="003767DA"/>
    <w:rsid w:val="00377074"/>
    <w:rsid w:val="00377313"/>
    <w:rsid w:val="0037736A"/>
    <w:rsid w:val="0037738A"/>
    <w:rsid w:val="003805DB"/>
    <w:rsid w:val="003805EB"/>
    <w:rsid w:val="003806C3"/>
    <w:rsid w:val="00380BD3"/>
    <w:rsid w:val="00380C45"/>
    <w:rsid w:val="00381670"/>
    <w:rsid w:val="003819DD"/>
    <w:rsid w:val="003823AE"/>
    <w:rsid w:val="003824D2"/>
    <w:rsid w:val="003829AD"/>
    <w:rsid w:val="00382B95"/>
    <w:rsid w:val="00382C43"/>
    <w:rsid w:val="00382FB6"/>
    <w:rsid w:val="0038365C"/>
    <w:rsid w:val="0038369B"/>
    <w:rsid w:val="003837AC"/>
    <w:rsid w:val="00383B78"/>
    <w:rsid w:val="00383E93"/>
    <w:rsid w:val="00385308"/>
    <w:rsid w:val="00385A9D"/>
    <w:rsid w:val="00385D96"/>
    <w:rsid w:val="00385F55"/>
    <w:rsid w:val="00386068"/>
    <w:rsid w:val="003861EF"/>
    <w:rsid w:val="00386226"/>
    <w:rsid w:val="003864D1"/>
    <w:rsid w:val="0038655D"/>
    <w:rsid w:val="00386665"/>
    <w:rsid w:val="003868F7"/>
    <w:rsid w:val="00387115"/>
    <w:rsid w:val="00387121"/>
    <w:rsid w:val="0038755F"/>
    <w:rsid w:val="00387605"/>
    <w:rsid w:val="00387BB6"/>
    <w:rsid w:val="00387ED8"/>
    <w:rsid w:val="003902B1"/>
    <w:rsid w:val="003908FE"/>
    <w:rsid w:val="00390A6B"/>
    <w:rsid w:val="0039123B"/>
    <w:rsid w:val="00391296"/>
    <w:rsid w:val="00391322"/>
    <w:rsid w:val="0039179C"/>
    <w:rsid w:val="003923AE"/>
    <w:rsid w:val="0039265A"/>
    <w:rsid w:val="00392A0D"/>
    <w:rsid w:val="00392BD0"/>
    <w:rsid w:val="0039343D"/>
    <w:rsid w:val="0039351F"/>
    <w:rsid w:val="003938F1"/>
    <w:rsid w:val="00393AF9"/>
    <w:rsid w:val="00393C45"/>
    <w:rsid w:val="00394A78"/>
    <w:rsid w:val="00394AC9"/>
    <w:rsid w:val="003956F8"/>
    <w:rsid w:val="00395928"/>
    <w:rsid w:val="00395B84"/>
    <w:rsid w:val="00395CC4"/>
    <w:rsid w:val="00395E97"/>
    <w:rsid w:val="003966AF"/>
    <w:rsid w:val="00396896"/>
    <w:rsid w:val="00396FD0"/>
    <w:rsid w:val="00397937"/>
    <w:rsid w:val="00397946"/>
    <w:rsid w:val="00397FD4"/>
    <w:rsid w:val="003A013A"/>
    <w:rsid w:val="003A0325"/>
    <w:rsid w:val="003A0454"/>
    <w:rsid w:val="003A04A5"/>
    <w:rsid w:val="003A06F1"/>
    <w:rsid w:val="003A0FFD"/>
    <w:rsid w:val="003A120B"/>
    <w:rsid w:val="003A15AD"/>
    <w:rsid w:val="003A166A"/>
    <w:rsid w:val="003A1A7A"/>
    <w:rsid w:val="003A2175"/>
    <w:rsid w:val="003A232B"/>
    <w:rsid w:val="003A2392"/>
    <w:rsid w:val="003A2831"/>
    <w:rsid w:val="003A2EB2"/>
    <w:rsid w:val="003A3B36"/>
    <w:rsid w:val="003A3CB6"/>
    <w:rsid w:val="003A3ED1"/>
    <w:rsid w:val="003A44DB"/>
    <w:rsid w:val="003A4665"/>
    <w:rsid w:val="003A46D8"/>
    <w:rsid w:val="003A48B0"/>
    <w:rsid w:val="003A4C14"/>
    <w:rsid w:val="003A59AC"/>
    <w:rsid w:val="003A5D0E"/>
    <w:rsid w:val="003A5D25"/>
    <w:rsid w:val="003A6578"/>
    <w:rsid w:val="003A6C2B"/>
    <w:rsid w:val="003A6E6F"/>
    <w:rsid w:val="003A750C"/>
    <w:rsid w:val="003A7621"/>
    <w:rsid w:val="003A7FAD"/>
    <w:rsid w:val="003B0287"/>
    <w:rsid w:val="003B0736"/>
    <w:rsid w:val="003B0B05"/>
    <w:rsid w:val="003B1199"/>
    <w:rsid w:val="003B136E"/>
    <w:rsid w:val="003B1ABC"/>
    <w:rsid w:val="003B1F07"/>
    <w:rsid w:val="003B2012"/>
    <w:rsid w:val="003B2259"/>
    <w:rsid w:val="003B25B7"/>
    <w:rsid w:val="003B262A"/>
    <w:rsid w:val="003B29C8"/>
    <w:rsid w:val="003B2BD1"/>
    <w:rsid w:val="003B2E74"/>
    <w:rsid w:val="003B2F09"/>
    <w:rsid w:val="003B3302"/>
    <w:rsid w:val="003B33ED"/>
    <w:rsid w:val="003B3499"/>
    <w:rsid w:val="003B3971"/>
    <w:rsid w:val="003B3CC5"/>
    <w:rsid w:val="003B3E5B"/>
    <w:rsid w:val="003B43FA"/>
    <w:rsid w:val="003B45C3"/>
    <w:rsid w:val="003B52C1"/>
    <w:rsid w:val="003B55D1"/>
    <w:rsid w:val="003B5802"/>
    <w:rsid w:val="003B5B61"/>
    <w:rsid w:val="003B5D8F"/>
    <w:rsid w:val="003B6422"/>
    <w:rsid w:val="003B67B6"/>
    <w:rsid w:val="003B73A7"/>
    <w:rsid w:val="003B74D0"/>
    <w:rsid w:val="003B7DD1"/>
    <w:rsid w:val="003C0817"/>
    <w:rsid w:val="003C0CD5"/>
    <w:rsid w:val="003C1207"/>
    <w:rsid w:val="003C1654"/>
    <w:rsid w:val="003C17C3"/>
    <w:rsid w:val="003C1ABC"/>
    <w:rsid w:val="003C1F66"/>
    <w:rsid w:val="003C23F8"/>
    <w:rsid w:val="003C2436"/>
    <w:rsid w:val="003C26A4"/>
    <w:rsid w:val="003C280B"/>
    <w:rsid w:val="003C2970"/>
    <w:rsid w:val="003C2AD9"/>
    <w:rsid w:val="003C2C8D"/>
    <w:rsid w:val="003C305E"/>
    <w:rsid w:val="003C3152"/>
    <w:rsid w:val="003C340F"/>
    <w:rsid w:val="003C3462"/>
    <w:rsid w:val="003C357C"/>
    <w:rsid w:val="003C3AB5"/>
    <w:rsid w:val="003C3C11"/>
    <w:rsid w:val="003C3CCD"/>
    <w:rsid w:val="003C4981"/>
    <w:rsid w:val="003C4B8F"/>
    <w:rsid w:val="003C4CDF"/>
    <w:rsid w:val="003C4F8E"/>
    <w:rsid w:val="003C51B9"/>
    <w:rsid w:val="003C5542"/>
    <w:rsid w:val="003C58D9"/>
    <w:rsid w:val="003C5917"/>
    <w:rsid w:val="003C592B"/>
    <w:rsid w:val="003C5AE7"/>
    <w:rsid w:val="003C5AF4"/>
    <w:rsid w:val="003C6A79"/>
    <w:rsid w:val="003C6D48"/>
    <w:rsid w:val="003C7C15"/>
    <w:rsid w:val="003C7D19"/>
    <w:rsid w:val="003C7D20"/>
    <w:rsid w:val="003C7D2F"/>
    <w:rsid w:val="003C7D7F"/>
    <w:rsid w:val="003D06AD"/>
    <w:rsid w:val="003D0C5A"/>
    <w:rsid w:val="003D0ED1"/>
    <w:rsid w:val="003D0FC9"/>
    <w:rsid w:val="003D112B"/>
    <w:rsid w:val="003D12C9"/>
    <w:rsid w:val="003D1828"/>
    <w:rsid w:val="003D1B6D"/>
    <w:rsid w:val="003D1DE4"/>
    <w:rsid w:val="003D1E9A"/>
    <w:rsid w:val="003D20A7"/>
    <w:rsid w:val="003D22B4"/>
    <w:rsid w:val="003D2422"/>
    <w:rsid w:val="003D2AA6"/>
    <w:rsid w:val="003D2C11"/>
    <w:rsid w:val="003D2E3E"/>
    <w:rsid w:val="003D3022"/>
    <w:rsid w:val="003D3039"/>
    <w:rsid w:val="003D39A1"/>
    <w:rsid w:val="003D3A3E"/>
    <w:rsid w:val="003D3A5A"/>
    <w:rsid w:val="003D3D01"/>
    <w:rsid w:val="003D3FBF"/>
    <w:rsid w:val="003D43A9"/>
    <w:rsid w:val="003D4545"/>
    <w:rsid w:val="003D464D"/>
    <w:rsid w:val="003D4A30"/>
    <w:rsid w:val="003D4B86"/>
    <w:rsid w:val="003D4C09"/>
    <w:rsid w:val="003D4DA0"/>
    <w:rsid w:val="003D5224"/>
    <w:rsid w:val="003D54CF"/>
    <w:rsid w:val="003D568F"/>
    <w:rsid w:val="003D5D4E"/>
    <w:rsid w:val="003D6129"/>
    <w:rsid w:val="003D62D3"/>
    <w:rsid w:val="003D65CD"/>
    <w:rsid w:val="003D6DB8"/>
    <w:rsid w:val="003D6EA7"/>
    <w:rsid w:val="003D71FA"/>
    <w:rsid w:val="003D7452"/>
    <w:rsid w:val="003D75C7"/>
    <w:rsid w:val="003D79BB"/>
    <w:rsid w:val="003D7C98"/>
    <w:rsid w:val="003D7D9D"/>
    <w:rsid w:val="003E018C"/>
    <w:rsid w:val="003E0543"/>
    <w:rsid w:val="003E0988"/>
    <w:rsid w:val="003E0B01"/>
    <w:rsid w:val="003E0C41"/>
    <w:rsid w:val="003E1080"/>
    <w:rsid w:val="003E177E"/>
    <w:rsid w:val="003E1805"/>
    <w:rsid w:val="003E1809"/>
    <w:rsid w:val="003E1CB5"/>
    <w:rsid w:val="003E1D12"/>
    <w:rsid w:val="003E23AF"/>
    <w:rsid w:val="003E25B3"/>
    <w:rsid w:val="003E287B"/>
    <w:rsid w:val="003E2F58"/>
    <w:rsid w:val="003E342D"/>
    <w:rsid w:val="003E34AC"/>
    <w:rsid w:val="003E36A7"/>
    <w:rsid w:val="003E3876"/>
    <w:rsid w:val="003E3D3F"/>
    <w:rsid w:val="003E3D97"/>
    <w:rsid w:val="003E3EBE"/>
    <w:rsid w:val="003E47AB"/>
    <w:rsid w:val="003E4DBB"/>
    <w:rsid w:val="003E4E12"/>
    <w:rsid w:val="003E4E80"/>
    <w:rsid w:val="003E513C"/>
    <w:rsid w:val="003E5603"/>
    <w:rsid w:val="003E5C87"/>
    <w:rsid w:val="003E66C4"/>
    <w:rsid w:val="003E6785"/>
    <w:rsid w:val="003E700D"/>
    <w:rsid w:val="003E749E"/>
    <w:rsid w:val="003E74F5"/>
    <w:rsid w:val="003E7E57"/>
    <w:rsid w:val="003F0089"/>
    <w:rsid w:val="003F038B"/>
    <w:rsid w:val="003F147F"/>
    <w:rsid w:val="003F178E"/>
    <w:rsid w:val="003F1AC9"/>
    <w:rsid w:val="003F1F9F"/>
    <w:rsid w:val="003F2360"/>
    <w:rsid w:val="003F2635"/>
    <w:rsid w:val="003F2642"/>
    <w:rsid w:val="003F2B72"/>
    <w:rsid w:val="003F2C95"/>
    <w:rsid w:val="003F2CAE"/>
    <w:rsid w:val="003F2D40"/>
    <w:rsid w:val="003F2E66"/>
    <w:rsid w:val="003F2F38"/>
    <w:rsid w:val="003F3870"/>
    <w:rsid w:val="003F4156"/>
    <w:rsid w:val="003F444D"/>
    <w:rsid w:val="003F480F"/>
    <w:rsid w:val="003F4AAA"/>
    <w:rsid w:val="003F4F94"/>
    <w:rsid w:val="003F50DE"/>
    <w:rsid w:val="003F54B9"/>
    <w:rsid w:val="003F5705"/>
    <w:rsid w:val="003F5871"/>
    <w:rsid w:val="003F598A"/>
    <w:rsid w:val="003F5ADF"/>
    <w:rsid w:val="003F6141"/>
    <w:rsid w:val="003F6226"/>
    <w:rsid w:val="003F69DE"/>
    <w:rsid w:val="003F7651"/>
    <w:rsid w:val="003F76CD"/>
    <w:rsid w:val="0040004F"/>
    <w:rsid w:val="00400255"/>
    <w:rsid w:val="0040046D"/>
    <w:rsid w:val="0040075D"/>
    <w:rsid w:val="00400B29"/>
    <w:rsid w:val="00400D2A"/>
    <w:rsid w:val="00400F82"/>
    <w:rsid w:val="004015D8"/>
    <w:rsid w:val="00401B28"/>
    <w:rsid w:val="00401F96"/>
    <w:rsid w:val="0040210E"/>
    <w:rsid w:val="00402812"/>
    <w:rsid w:val="00403050"/>
    <w:rsid w:val="00403275"/>
    <w:rsid w:val="00403410"/>
    <w:rsid w:val="0040350D"/>
    <w:rsid w:val="00403C5B"/>
    <w:rsid w:val="00403D96"/>
    <w:rsid w:val="00403DA7"/>
    <w:rsid w:val="00404D09"/>
    <w:rsid w:val="00404EDE"/>
    <w:rsid w:val="00404FDD"/>
    <w:rsid w:val="0040504B"/>
    <w:rsid w:val="004053BC"/>
    <w:rsid w:val="00405852"/>
    <w:rsid w:val="004059F4"/>
    <w:rsid w:val="00405D48"/>
    <w:rsid w:val="00406144"/>
    <w:rsid w:val="0040614D"/>
    <w:rsid w:val="00406330"/>
    <w:rsid w:val="00406DFA"/>
    <w:rsid w:val="004072B2"/>
    <w:rsid w:val="004076E6"/>
    <w:rsid w:val="00407D19"/>
    <w:rsid w:val="00407F7B"/>
    <w:rsid w:val="00407FAE"/>
    <w:rsid w:val="00407FE5"/>
    <w:rsid w:val="004101B0"/>
    <w:rsid w:val="00410326"/>
    <w:rsid w:val="00410708"/>
    <w:rsid w:val="0041070A"/>
    <w:rsid w:val="00410844"/>
    <w:rsid w:val="00410A6E"/>
    <w:rsid w:val="00410AF4"/>
    <w:rsid w:val="00410DB4"/>
    <w:rsid w:val="00410EC7"/>
    <w:rsid w:val="004113C8"/>
    <w:rsid w:val="004115F5"/>
    <w:rsid w:val="00411AC1"/>
    <w:rsid w:val="00411B39"/>
    <w:rsid w:val="00411F16"/>
    <w:rsid w:val="00412170"/>
    <w:rsid w:val="00412510"/>
    <w:rsid w:val="004127A7"/>
    <w:rsid w:val="004129AB"/>
    <w:rsid w:val="00412BFB"/>
    <w:rsid w:val="00412C2F"/>
    <w:rsid w:val="00412E16"/>
    <w:rsid w:val="00412ED2"/>
    <w:rsid w:val="00412F17"/>
    <w:rsid w:val="00413244"/>
    <w:rsid w:val="004136A9"/>
    <w:rsid w:val="00413928"/>
    <w:rsid w:val="00413A1E"/>
    <w:rsid w:val="00414100"/>
    <w:rsid w:val="0041445F"/>
    <w:rsid w:val="00414476"/>
    <w:rsid w:val="00414C2E"/>
    <w:rsid w:val="00414D0E"/>
    <w:rsid w:val="004151CF"/>
    <w:rsid w:val="00415483"/>
    <w:rsid w:val="00415761"/>
    <w:rsid w:val="00415ACA"/>
    <w:rsid w:val="00415D9D"/>
    <w:rsid w:val="00415E4C"/>
    <w:rsid w:val="004161B1"/>
    <w:rsid w:val="00416364"/>
    <w:rsid w:val="00416806"/>
    <w:rsid w:val="00416FB7"/>
    <w:rsid w:val="00417235"/>
    <w:rsid w:val="004178C2"/>
    <w:rsid w:val="00417A59"/>
    <w:rsid w:val="0042047F"/>
    <w:rsid w:val="00420AA6"/>
    <w:rsid w:val="00420B9F"/>
    <w:rsid w:val="00420CBA"/>
    <w:rsid w:val="00420EDF"/>
    <w:rsid w:val="00421303"/>
    <w:rsid w:val="00421488"/>
    <w:rsid w:val="00421691"/>
    <w:rsid w:val="0042192C"/>
    <w:rsid w:val="00422260"/>
    <w:rsid w:val="0042256B"/>
    <w:rsid w:val="004227D8"/>
    <w:rsid w:val="00422ADA"/>
    <w:rsid w:val="004231AA"/>
    <w:rsid w:val="00423483"/>
    <w:rsid w:val="004236AE"/>
    <w:rsid w:val="0042413F"/>
    <w:rsid w:val="004243A1"/>
    <w:rsid w:val="0042454A"/>
    <w:rsid w:val="0042471A"/>
    <w:rsid w:val="00425055"/>
    <w:rsid w:val="00425586"/>
    <w:rsid w:val="0042577D"/>
    <w:rsid w:val="00425C05"/>
    <w:rsid w:val="004262D2"/>
    <w:rsid w:val="004265B9"/>
    <w:rsid w:val="004265EC"/>
    <w:rsid w:val="00426971"/>
    <w:rsid w:val="00426D66"/>
    <w:rsid w:val="00426DC3"/>
    <w:rsid w:val="004270D4"/>
    <w:rsid w:val="004273F3"/>
    <w:rsid w:val="004275BF"/>
    <w:rsid w:val="0042765D"/>
    <w:rsid w:val="004276C9"/>
    <w:rsid w:val="00427863"/>
    <w:rsid w:val="0042798C"/>
    <w:rsid w:val="00430472"/>
    <w:rsid w:val="0043090D"/>
    <w:rsid w:val="00431770"/>
    <w:rsid w:val="004319F8"/>
    <w:rsid w:val="00431A41"/>
    <w:rsid w:val="00431E55"/>
    <w:rsid w:val="004321F6"/>
    <w:rsid w:val="0043252F"/>
    <w:rsid w:val="004326CC"/>
    <w:rsid w:val="00432BAE"/>
    <w:rsid w:val="00432D0C"/>
    <w:rsid w:val="00432F3E"/>
    <w:rsid w:val="00433044"/>
    <w:rsid w:val="00433764"/>
    <w:rsid w:val="00433BA1"/>
    <w:rsid w:val="00433DFA"/>
    <w:rsid w:val="00434088"/>
    <w:rsid w:val="00434172"/>
    <w:rsid w:val="00435267"/>
    <w:rsid w:val="00435365"/>
    <w:rsid w:val="004355F7"/>
    <w:rsid w:val="004356AD"/>
    <w:rsid w:val="00435D15"/>
    <w:rsid w:val="00436015"/>
    <w:rsid w:val="00436509"/>
    <w:rsid w:val="004368A6"/>
    <w:rsid w:val="00436C49"/>
    <w:rsid w:val="00436DAD"/>
    <w:rsid w:val="00436F52"/>
    <w:rsid w:val="00436FB5"/>
    <w:rsid w:val="004370C8"/>
    <w:rsid w:val="004375B9"/>
    <w:rsid w:val="00437658"/>
    <w:rsid w:val="0044017F"/>
    <w:rsid w:val="0044072E"/>
    <w:rsid w:val="00440EC9"/>
    <w:rsid w:val="00441EBF"/>
    <w:rsid w:val="00442648"/>
    <w:rsid w:val="004426B9"/>
    <w:rsid w:val="004428D0"/>
    <w:rsid w:val="00442E6B"/>
    <w:rsid w:val="00442FE3"/>
    <w:rsid w:val="004430A3"/>
    <w:rsid w:val="00443E7D"/>
    <w:rsid w:val="00444112"/>
    <w:rsid w:val="00444185"/>
    <w:rsid w:val="004443A7"/>
    <w:rsid w:val="0044442C"/>
    <w:rsid w:val="00444F27"/>
    <w:rsid w:val="00444F50"/>
    <w:rsid w:val="004458A4"/>
    <w:rsid w:val="00445941"/>
    <w:rsid w:val="004459EB"/>
    <w:rsid w:val="00445B5D"/>
    <w:rsid w:val="00445C19"/>
    <w:rsid w:val="00445FC7"/>
    <w:rsid w:val="00446037"/>
    <w:rsid w:val="004464EB"/>
    <w:rsid w:val="004465DE"/>
    <w:rsid w:val="004467B8"/>
    <w:rsid w:val="00446C8F"/>
    <w:rsid w:val="00447072"/>
    <w:rsid w:val="00447655"/>
    <w:rsid w:val="00447D09"/>
    <w:rsid w:val="00447D26"/>
    <w:rsid w:val="00447DFC"/>
    <w:rsid w:val="0045030B"/>
    <w:rsid w:val="00450F91"/>
    <w:rsid w:val="004517EB"/>
    <w:rsid w:val="00451879"/>
    <w:rsid w:val="00451D88"/>
    <w:rsid w:val="004521C3"/>
    <w:rsid w:val="0045246A"/>
    <w:rsid w:val="00452D1B"/>
    <w:rsid w:val="004536C7"/>
    <w:rsid w:val="00453A6E"/>
    <w:rsid w:val="00453BE1"/>
    <w:rsid w:val="00453BE9"/>
    <w:rsid w:val="00453C45"/>
    <w:rsid w:val="00455258"/>
    <w:rsid w:val="00455319"/>
    <w:rsid w:val="00455492"/>
    <w:rsid w:val="0045549F"/>
    <w:rsid w:val="0045580A"/>
    <w:rsid w:val="004558C5"/>
    <w:rsid w:val="0045595F"/>
    <w:rsid w:val="00455B64"/>
    <w:rsid w:val="00455D45"/>
    <w:rsid w:val="00456140"/>
    <w:rsid w:val="00456975"/>
    <w:rsid w:val="004570A2"/>
    <w:rsid w:val="004570F6"/>
    <w:rsid w:val="004575AC"/>
    <w:rsid w:val="004577FA"/>
    <w:rsid w:val="00457A99"/>
    <w:rsid w:val="00457D46"/>
    <w:rsid w:val="0046012B"/>
    <w:rsid w:val="00460619"/>
    <w:rsid w:val="0046068A"/>
    <w:rsid w:val="004608A4"/>
    <w:rsid w:val="00460B90"/>
    <w:rsid w:val="00460F00"/>
    <w:rsid w:val="0046125F"/>
    <w:rsid w:val="0046141E"/>
    <w:rsid w:val="004616C1"/>
    <w:rsid w:val="004624A5"/>
    <w:rsid w:val="004626A6"/>
    <w:rsid w:val="0046278D"/>
    <w:rsid w:val="00462AF7"/>
    <w:rsid w:val="00462CC5"/>
    <w:rsid w:val="00463E3A"/>
    <w:rsid w:val="00464507"/>
    <w:rsid w:val="00464595"/>
    <w:rsid w:val="00464C6D"/>
    <w:rsid w:val="00464CDB"/>
    <w:rsid w:val="00465113"/>
    <w:rsid w:val="00465227"/>
    <w:rsid w:val="0046554E"/>
    <w:rsid w:val="004658B5"/>
    <w:rsid w:val="00465C8E"/>
    <w:rsid w:val="00465E2E"/>
    <w:rsid w:val="00466166"/>
    <w:rsid w:val="00466584"/>
    <w:rsid w:val="0046665D"/>
    <w:rsid w:val="00466F9D"/>
    <w:rsid w:val="00467236"/>
    <w:rsid w:val="00467743"/>
    <w:rsid w:val="00467AD5"/>
    <w:rsid w:val="00467FCA"/>
    <w:rsid w:val="0047004B"/>
    <w:rsid w:val="004700DD"/>
    <w:rsid w:val="00470AA9"/>
    <w:rsid w:val="00470DAF"/>
    <w:rsid w:val="0047137D"/>
    <w:rsid w:val="004713E3"/>
    <w:rsid w:val="00471529"/>
    <w:rsid w:val="0047179A"/>
    <w:rsid w:val="00471C18"/>
    <w:rsid w:val="00471EA5"/>
    <w:rsid w:val="004721E9"/>
    <w:rsid w:val="00472A79"/>
    <w:rsid w:val="00472CAE"/>
    <w:rsid w:val="00472D51"/>
    <w:rsid w:val="004731EF"/>
    <w:rsid w:val="0047382D"/>
    <w:rsid w:val="00473AF6"/>
    <w:rsid w:val="00473DE0"/>
    <w:rsid w:val="00473EA1"/>
    <w:rsid w:val="00473EC6"/>
    <w:rsid w:val="00473F19"/>
    <w:rsid w:val="00473FAF"/>
    <w:rsid w:val="004741F8"/>
    <w:rsid w:val="004743A2"/>
    <w:rsid w:val="00474BB5"/>
    <w:rsid w:val="00474F83"/>
    <w:rsid w:val="00475796"/>
    <w:rsid w:val="00475AD4"/>
    <w:rsid w:val="00475E22"/>
    <w:rsid w:val="0047640A"/>
    <w:rsid w:val="0047644F"/>
    <w:rsid w:val="00476534"/>
    <w:rsid w:val="004765D3"/>
    <w:rsid w:val="00476698"/>
    <w:rsid w:val="004769C7"/>
    <w:rsid w:val="00477784"/>
    <w:rsid w:val="0048088E"/>
    <w:rsid w:val="00480B22"/>
    <w:rsid w:val="00480F2B"/>
    <w:rsid w:val="00480F2C"/>
    <w:rsid w:val="0048147F"/>
    <w:rsid w:val="004817C0"/>
    <w:rsid w:val="004822B8"/>
    <w:rsid w:val="00482720"/>
    <w:rsid w:val="00482D95"/>
    <w:rsid w:val="004835E7"/>
    <w:rsid w:val="0048360C"/>
    <w:rsid w:val="00483715"/>
    <w:rsid w:val="004837E8"/>
    <w:rsid w:val="00483A6B"/>
    <w:rsid w:val="00483EF2"/>
    <w:rsid w:val="00484124"/>
    <w:rsid w:val="00484CFA"/>
    <w:rsid w:val="00485142"/>
    <w:rsid w:val="004851C4"/>
    <w:rsid w:val="004854F5"/>
    <w:rsid w:val="00485848"/>
    <w:rsid w:val="00485896"/>
    <w:rsid w:val="004859E1"/>
    <w:rsid w:val="00485A13"/>
    <w:rsid w:val="004867E2"/>
    <w:rsid w:val="0048688A"/>
    <w:rsid w:val="00487104"/>
    <w:rsid w:val="00487631"/>
    <w:rsid w:val="0048763A"/>
    <w:rsid w:val="0048773D"/>
    <w:rsid w:val="00487935"/>
    <w:rsid w:val="004900A3"/>
    <w:rsid w:val="004902AD"/>
    <w:rsid w:val="00490710"/>
    <w:rsid w:val="00490B17"/>
    <w:rsid w:val="004910C8"/>
    <w:rsid w:val="00491A89"/>
    <w:rsid w:val="00491B3A"/>
    <w:rsid w:val="00491B5D"/>
    <w:rsid w:val="0049236C"/>
    <w:rsid w:val="00492CFD"/>
    <w:rsid w:val="00492E5D"/>
    <w:rsid w:val="0049305C"/>
    <w:rsid w:val="0049338F"/>
    <w:rsid w:val="00493524"/>
    <w:rsid w:val="00493A1E"/>
    <w:rsid w:val="00493E07"/>
    <w:rsid w:val="00494207"/>
    <w:rsid w:val="00494252"/>
    <w:rsid w:val="004943F6"/>
    <w:rsid w:val="00494A57"/>
    <w:rsid w:val="00494DD5"/>
    <w:rsid w:val="00494DE7"/>
    <w:rsid w:val="00494E5D"/>
    <w:rsid w:val="00494E61"/>
    <w:rsid w:val="00494EFA"/>
    <w:rsid w:val="00495150"/>
    <w:rsid w:val="00495497"/>
    <w:rsid w:val="00495D95"/>
    <w:rsid w:val="004961C7"/>
    <w:rsid w:val="004962D2"/>
    <w:rsid w:val="00496A10"/>
    <w:rsid w:val="00496B90"/>
    <w:rsid w:val="00496F48"/>
    <w:rsid w:val="00497397"/>
    <w:rsid w:val="004975B5"/>
    <w:rsid w:val="004976AC"/>
    <w:rsid w:val="00497A8E"/>
    <w:rsid w:val="00497DA6"/>
    <w:rsid w:val="00497DD9"/>
    <w:rsid w:val="004A0791"/>
    <w:rsid w:val="004A0DA1"/>
    <w:rsid w:val="004A0F1B"/>
    <w:rsid w:val="004A1241"/>
    <w:rsid w:val="004A13D6"/>
    <w:rsid w:val="004A15E6"/>
    <w:rsid w:val="004A193D"/>
    <w:rsid w:val="004A1CE4"/>
    <w:rsid w:val="004A1EEF"/>
    <w:rsid w:val="004A304C"/>
    <w:rsid w:val="004A3646"/>
    <w:rsid w:val="004A40DA"/>
    <w:rsid w:val="004A413E"/>
    <w:rsid w:val="004A41F5"/>
    <w:rsid w:val="004A449E"/>
    <w:rsid w:val="004A4A1C"/>
    <w:rsid w:val="004A5049"/>
    <w:rsid w:val="004A51B7"/>
    <w:rsid w:val="004A526C"/>
    <w:rsid w:val="004A52E9"/>
    <w:rsid w:val="004A5579"/>
    <w:rsid w:val="004A55EB"/>
    <w:rsid w:val="004A58BA"/>
    <w:rsid w:val="004A5E3F"/>
    <w:rsid w:val="004A6040"/>
    <w:rsid w:val="004A614A"/>
    <w:rsid w:val="004A6597"/>
    <w:rsid w:val="004A6863"/>
    <w:rsid w:val="004A6B23"/>
    <w:rsid w:val="004A6B5C"/>
    <w:rsid w:val="004A6FAB"/>
    <w:rsid w:val="004A7108"/>
    <w:rsid w:val="004A7848"/>
    <w:rsid w:val="004A793B"/>
    <w:rsid w:val="004A7DC0"/>
    <w:rsid w:val="004B0487"/>
    <w:rsid w:val="004B0504"/>
    <w:rsid w:val="004B0AA6"/>
    <w:rsid w:val="004B0EEA"/>
    <w:rsid w:val="004B14DD"/>
    <w:rsid w:val="004B1599"/>
    <w:rsid w:val="004B16A4"/>
    <w:rsid w:val="004B1CB4"/>
    <w:rsid w:val="004B1D2B"/>
    <w:rsid w:val="004B1D86"/>
    <w:rsid w:val="004B1E94"/>
    <w:rsid w:val="004B1F0E"/>
    <w:rsid w:val="004B2051"/>
    <w:rsid w:val="004B23A1"/>
    <w:rsid w:val="004B2493"/>
    <w:rsid w:val="004B25F3"/>
    <w:rsid w:val="004B27AD"/>
    <w:rsid w:val="004B28E1"/>
    <w:rsid w:val="004B2923"/>
    <w:rsid w:val="004B293A"/>
    <w:rsid w:val="004B296A"/>
    <w:rsid w:val="004B2AF4"/>
    <w:rsid w:val="004B2CD7"/>
    <w:rsid w:val="004B2E14"/>
    <w:rsid w:val="004B2F18"/>
    <w:rsid w:val="004B3040"/>
    <w:rsid w:val="004B33B2"/>
    <w:rsid w:val="004B3450"/>
    <w:rsid w:val="004B3CBD"/>
    <w:rsid w:val="004B3DDB"/>
    <w:rsid w:val="004B43B0"/>
    <w:rsid w:val="004B44FD"/>
    <w:rsid w:val="004B49CA"/>
    <w:rsid w:val="004B4EF3"/>
    <w:rsid w:val="004B4F0C"/>
    <w:rsid w:val="004B5CFC"/>
    <w:rsid w:val="004B6F79"/>
    <w:rsid w:val="004B716A"/>
    <w:rsid w:val="004B7377"/>
    <w:rsid w:val="004B73E0"/>
    <w:rsid w:val="004B7579"/>
    <w:rsid w:val="004B774D"/>
    <w:rsid w:val="004B789D"/>
    <w:rsid w:val="004C0161"/>
    <w:rsid w:val="004C052E"/>
    <w:rsid w:val="004C09AC"/>
    <w:rsid w:val="004C11D6"/>
    <w:rsid w:val="004C1C2C"/>
    <w:rsid w:val="004C1C46"/>
    <w:rsid w:val="004C1DBB"/>
    <w:rsid w:val="004C2347"/>
    <w:rsid w:val="004C2AC2"/>
    <w:rsid w:val="004C2B22"/>
    <w:rsid w:val="004C3B02"/>
    <w:rsid w:val="004C3CF3"/>
    <w:rsid w:val="004C3D26"/>
    <w:rsid w:val="004C3FB5"/>
    <w:rsid w:val="004C44D9"/>
    <w:rsid w:val="004C46A8"/>
    <w:rsid w:val="004C46F0"/>
    <w:rsid w:val="004C4892"/>
    <w:rsid w:val="004C4AED"/>
    <w:rsid w:val="004C5694"/>
    <w:rsid w:val="004C5771"/>
    <w:rsid w:val="004C59F4"/>
    <w:rsid w:val="004C6C03"/>
    <w:rsid w:val="004C6EC0"/>
    <w:rsid w:val="004C78D7"/>
    <w:rsid w:val="004C7919"/>
    <w:rsid w:val="004C7A23"/>
    <w:rsid w:val="004C7D40"/>
    <w:rsid w:val="004D06CE"/>
    <w:rsid w:val="004D0C08"/>
    <w:rsid w:val="004D0F94"/>
    <w:rsid w:val="004D1391"/>
    <w:rsid w:val="004D1CEB"/>
    <w:rsid w:val="004D1CF7"/>
    <w:rsid w:val="004D1D6E"/>
    <w:rsid w:val="004D1EF3"/>
    <w:rsid w:val="004D2150"/>
    <w:rsid w:val="004D21BC"/>
    <w:rsid w:val="004D2C2D"/>
    <w:rsid w:val="004D30B7"/>
    <w:rsid w:val="004D35C6"/>
    <w:rsid w:val="004D35C7"/>
    <w:rsid w:val="004D3BE0"/>
    <w:rsid w:val="004D3DE6"/>
    <w:rsid w:val="004D3F7D"/>
    <w:rsid w:val="004D4516"/>
    <w:rsid w:val="004D4FCA"/>
    <w:rsid w:val="004D529D"/>
    <w:rsid w:val="004D547E"/>
    <w:rsid w:val="004D5572"/>
    <w:rsid w:val="004D5DD3"/>
    <w:rsid w:val="004D65F3"/>
    <w:rsid w:val="004D69B5"/>
    <w:rsid w:val="004D6AA4"/>
    <w:rsid w:val="004D6AB2"/>
    <w:rsid w:val="004D6BAF"/>
    <w:rsid w:val="004D6DE0"/>
    <w:rsid w:val="004D6E1D"/>
    <w:rsid w:val="004D7227"/>
    <w:rsid w:val="004D7B5E"/>
    <w:rsid w:val="004E0755"/>
    <w:rsid w:val="004E079F"/>
    <w:rsid w:val="004E0A35"/>
    <w:rsid w:val="004E0B89"/>
    <w:rsid w:val="004E0BF7"/>
    <w:rsid w:val="004E0C22"/>
    <w:rsid w:val="004E0D80"/>
    <w:rsid w:val="004E0E7F"/>
    <w:rsid w:val="004E0EB8"/>
    <w:rsid w:val="004E0F3D"/>
    <w:rsid w:val="004E0F6C"/>
    <w:rsid w:val="004E110D"/>
    <w:rsid w:val="004E1573"/>
    <w:rsid w:val="004E18A3"/>
    <w:rsid w:val="004E18E9"/>
    <w:rsid w:val="004E190A"/>
    <w:rsid w:val="004E1B27"/>
    <w:rsid w:val="004E1E6C"/>
    <w:rsid w:val="004E205F"/>
    <w:rsid w:val="004E22C8"/>
    <w:rsid w:val="004E2686"/>
    <w:rsid w:val="004E2ADC"/>
    <w:rsid w:val="004E2CE9"/>
    <w:rsid w:val="004E2F6C"/>
    <w:rsid w:val="004E3706"/>
    <w:rsid w:val="004E3C87"/>
    <w:rsid w:val="004E4032"/>
    <w:rsid w:val="004E41A3"/>
    <w:rsid w:val="004E43B2"/>
    <w:rsid w:val="004E49FC"/>
    <w:rsid w:val="004E4A63"/>
    <w:rsid w:val="004E5675"/>
    <w:rsid w:val="004E5B2E"/>
    <w:rsid w:val="004E6104"/>
    <w:rsid w:val="004E613D"/>
    <w:rsid w:val="004E6804"/>
    <w:rsid w:val="004E6C41"/>
    <w:rsid w:val="004E6F71"/>
    <w:rsid w:val="004E7DCA"/>
    <w:rsid w:val="004E7EF5"/>
    <w:rsid w:val="004F05D6"/>
    <w:rsid w:val="004F06CB"/>
    <w:rsid w:val="004F0AF5"/>
    <w:rsid w:val="004F0DC7"/>
    <w:rsid w:val="004F1D02"/>
    <w:rsid w:val="004F2670"/>
    <w:rsid w:val="004F2679"/>
    <w:rsid w:val="004F2703"/>
    <w:rsid w:val="004F2C1D"/>
    <w:rsid w:val="004F2C40"/>
    <w:rsid w:val="004F2D62"/>
    <w:rsid w:val="004F2F1C"/>
    <w:rsid w:val="004F2F21"/>
    <w:rsid w:val="004F30A6"/>
    <w:rsid w:val="004F338B"/>
    <w:rsid w:val="004F3DB8"/>
    <w:rsid w:val="004F3DE5"/>
    <w:rsid w:val="004F432B"/>
    <w:rsid w:val="004F4860"/>
    <w:rsid w:val="004F51A8"/>
    <w:rsid w:val="004F5563"/>
    <w:rsid w:val="004F576B"/>
    <w:rsid w:val="004F584E"/>
    <w:rsid w:val="004F593E"/>
    <w:rsid w:val="004F5EB1"/>
    <w:rsid w:val="004F5F63"/>
    <w:rsid w:val="004F61C2"/>
    <w:rsid w:val="004F64A2"/>
    <w:rsid w:val="004F67EC"/>
    <w:rsid w:val="004F681F"/>
    <w:rsid w:val="004F6913"/>
    <w:rsid w:val="004F7865"/>
    <w:rsid w:val="004F79BE"/>
    <w:rsid w:val="0050032E"/>
    <w:rsid w:val="00500932"/>
    <w:rsid w:val="00501018"/>
    <w:rsid w:val="0050112E"/>
    <w:rsid w:val="0050174E"/>
    <w:rsid w:val="00501854"/>
    <w:rsid w:val="00501A04"/>
    <w:rsid w:val="00501A53"/>
    <w:rsid w:val="00501CEF"/>
    <w:rsid w:val="0050219B"/>
    <w:rsid w:val="00502555"/>
    <w:rsid w:val="00502A0C"/>
    <w:rsid w:val="005033B7"/>
    <w:rsid w:val="00503474"/>
    <w:rsid w:val="0050395D"/>
    <w:rsid w:val="00503F17"/>
    <w:rsid w:val="00503F3A"/>
    <w:rsid w:val="00504007"/>
    <w:rsid w:val="005042C0"/>
    <w:rsid w:val="00504A85"/>
    <w:rsid w:val="00504F18"/>
    <w:rsid w:val="0050535E"/>
    <w:rsid w:val="005054F0"/>
    <w:rsid w:val="00505744"/>
    <w:rsid w:val="00506928"/>
    <w:rsid w:val="00507178"/>
    <w:rsid w:val="00507293"/>
    <w:rsid w:val="005077EF"/>
    <w:rsid w:val="00510286"/>
    <w:rsid w:val="005106AF"/>
    <w:rsid w:val="00510B7D"/>
    <w:rsid w:val="00510DC4"/>
    <w:rsid w:val="00511467"/>
    <w:rsid w:val="00511600"/>
    <w:rsid w:val="00511932"/>
    <w:rsid w:val="00511AD5"/>
    <w:rsid w:val="00511DC7"/>
    <w:rsid w:val="00511DEF"/>
    <w:rsid w:val="00512400"/>
    <w:rsid w:val="00512452"/>
    <w:rsid w:val="005124C6"/>
    <w:rsid w:val="00512992"/>
    <w:rsid w:val="00512AC2"/>
    <w:rsid w:val="00512E5A"/>
    <w:rsid w:val="00513C3A"/>
    <w:rsid w:val="005142C5"/>
    <w:rsid w:val="00514568"/>
    <w:rsid w:val="005148C6"/>
    <w:rsid w:val="00514E8E"/>
    <w:rsid w:val="00514EEA"/>
    <w:rsid w:val="0051501B"/>
    <w:rsid w:val="00515086"/>
    <w:rsid w:val="005152B5"/>
    <w:rsid w:val="00515886"/>
    <w:rsid w:val="0051593D"/>
    <w:rsid w:val="0051636F"/>
    <w:rsid w:val="0051670A"/>
    <w:rsid w:val="0051694B"/>
    <w:rsid w:val="005171B7"/>
    <w:rsid w:val="0051748B"/>
    <w:rsid w:val="00517654"/>
    <w:rsid w:val="0052034B"/>
    <w:rsid w:val="00520520"/>
    <w:rsid w:val="005206D4"/>
    <w:rsid w:val="00520AD7"/>
    <w:rsid w:val="00520B39"/>
    <w:rsid w:val="0052123C"/>
    <w:rsid w:val="00521319"/>
    <w:rsid w:val="0052193D"/>
    <w:rsid w:val="00521E3C"/>
    <w:rsid w:val="0052206A"/>
    <w:rsid w:val="0052223F"/>
    <w:rsid w:val="005222AD"/>
    <w:rsid w:val="00522BC8"/>
    <w:rsid w:val="00522C08"/>
    <w:rsid w:val="00522E75"/>
    <w:rsid w:val="005234D4"/>
    <w:rsid w:val="00523C28"/>
    <w:rsid w:val="00523F31"/>
    <w:rsid w:val="00523FAF"/>
    <w:rsid w:val="00524714"/>
    <w:rsid w:val="00524D57"/>
    <w:rsid w:val="00524FE4"/>
    <w:rsid w:val="005252CB"/>
    <w:rsid w:val="005253FC"/>
    <w:rsid w:val="0052549C"/>
    <w:rsid w:val="00525648"/>
    <w:rsid w:val="00525A4F"/>
    <w:rsid w:val="00525A7F"/>
    <w:rsid w:val="00525F18"/>
    <w:rsid w:val="00525FD5"/>
    <w:rsid w:val="0052668E"/>
    <w:rsid w:val="005268C8"/>
    <w:rsid w:val="00526E90"/>
    <w:rsid w:val="00526FB3"/>
    <w:rsid w:val="005270FA"/>
    <w:rsid w:val="0052734B"/>
    <w:rsid w:val="005273BC"/>
    <w:rsid w:val="005274DB"/>
    <w:rsid w:val="00527594"/>
    <w:rsid w:val="00527869"/>
    <w:rsid w:val="00527DB9"/>
    <w:rsid w:val="00527E47"/>
    <w:rsid w:val="005300DE"/>
    <w:rsid w:val="00530233"/>
    <w:rsid w:val="0053056C"/>
    <w:rsid w:val="00530E63"/>
    <w:rsid w:val="00531025"/>
    <w:rsid w:val="0053104A"/>
    <w:rsid w:val="00531070"/>
    <w:rsid w:val="00531467"/>
    <w:rsid w:val="00531569"/>
    <w:rsid w:val="0053176B"/>
    <w:rsid w:val="00531CB1"/>
    <w:rsid w:val="005321EC"/>
    <w:rsid w:val="005321F4"/>
    <w:rsid w:val="005322BF"/>
    <w:rsid w:val="00532718"/>
    <w:rsid w:val="0053312F"/>
    <w:rsid w:val="0053316E"/>
    <w:rsid w:val="005332AB"/>
    <w:rsid w:val="0053359B"/>
    <w:rsid w:val="00533690"/>
    <w:rsid w:val="005337D6"/>
    <w:rsid w:val="00533C82"/>
    <w:rsid w:val="00533C8C"/>
    <w:rsid w:val="005341B3"/>
    <w:rsid w:val="00534C25"/>
    <w:rsid w:val="005350B2"/>
    <w:rsid w:val="00535800"/>
    <w:rsid w:val="005358E8"/>
    <w:rsid w:val="00536085"/>
    <w:rsid w:val="00536244"/>
    <w:rsid w:val="005367AA"/>
    <w:rsid w:val="005369BE"/>
    <w:rsid w:val="00536F42"/>
    <w:rsid w:val="00537182"/>
    <w:rsid w:val="0053762E"/>
    <w:rsid w:val="00537F40"/>
    <w:rsid w:val="00540733"/>
    <w:rsid w:val="00540781"/>
    <w:rsid w:val="0054085F"/>
    <w:rsid w:val="00540EC1"/>
    <w:rsid w:val="005413C3"/>
    <w:rsid w:val="005415EF"/>
    <w:rsid w:val="0054162C"/>
    <w:rsid w:val="0054194A"/>
    <w:rsid w:val="00541CB2"/>
    <w:rsid w:val="00541EDD"/>
    <w:rsid w:val="0054201C"/>
    <w:rsid w:val="005420A0"/>
    <w:rsid w:val="00542743"/>
    <w:rsid w:val="00542C2D"/>
    <w:rsid w:val="005434D6"/>
    <w:rsid w:val="00543E9C"/>
    <w:rsid w:val="005445AD"/>
    <w:rsid w:val="0054470C"/>
    <w:rsid w:val="00544F96"/>
    <w:rsid w:val="005450C2"/>
    <w:rsid w:val="005454AF"/>
    <w:rsid w:val="005459B7"/>
    <w:rsid w:val="0054604A"/>
    <w:rsid w:val="0054611F"/>
    <w:rsid w:val="00546585"/>
    <w:rsid w:val="005465FB"/>
    <w:rsid w:val="00546D42"/>
    <w:rsid w:val="00546FAF"/>
    <w:rsid w:val="00547884"/>
    <w:rsid w:val="005478BD"/>
    <w:rsid w:val="005479E3"/>
    <w:rsid w:val="005479FF"/>
    <w:rsid w:val="00547F9D"/>
    <w:rsid w:val="005500CB"/>
    <w:rsid w:val="00550501"/>
    <w:rsid w:val="0055054D"/>
    <w:rsid w:val="0055056F"/>
    <w:rsid w:val="00550684"/>
    <w:rsid w:val="0055075D"/>
    <w:rsid w:val="00550EC9"/>
    <w:rsid w:val="00550F3D"/>
    <w:rsid w:val="00551506"/>
    <w:rsid w:val="005515C0"/>
    <w:rsid w:val="005517C3"/>
    <w:rsid w:val="00551985"/>
    <w:rsid w:val="00551CB9"/>
    <w:rsid w:val="00551F3F"/>
    <w:rsid w:val="0055278A"/>
    <w:rsid w:val="00552BD3"/>
    <w:rsid w:val="005532A0"/>
    <w:rsid w:val="0055375A"/>
    <w:rsid w:val="005546CB"/>
    <w:rsid w:val="00555109"/>
    <w:rsid w:val="005551AC"/>
    <w:rsid w:val="00555209"/>
    <w:rsid w:val="005557D6"/>
    <w:rsid w:val="00555F4C"/>
    <w:rsid w:val="0055667C"/>
    <w:rsid w:val="00556B35"/>
    <w:rsid w:val="005573D4"/>
    <w:rsid w:val="0055741A"/>
    <w:rsid w:val="00557C12"/>
    <w:rsid w:val="00557C38"/>
    <w:rsid w:val="00557E8C"/>
    <w:rsid w:val="00557EA2"/>
    <w:rsid w:val="00560924"/>
    <w:rsid w:val="00560A86"/>
    <w:rsid w:val="00560BA1"/>
    <w:rsid w:val="00560F7A"/>
    <w:rsid w:val="00561117"/>
    <w:rsid w:val="005611B7"/>
    <w:rsid w:val="00561319"/>
    <w:rsid w:val="0056175C"/>
    <w:rsid w:val="005618D4"/>
    <w:rsid w:val="00561C55"/>
    <w:rsid w:val="00562097"/>
    <w:rsid w:val="005634A7"/>
    <w:rsid w:val="0056406D"/>
    <w:rsid w:val="00564867"/>
    <w:rsid w:val="00564890"/>
    <w:rsid w:val="00565665"/>
    <w:rsid w:val="00565C79"/>
    <w:rsid w:val="00565DF0"/>
    <w:rsid w:val="005660E9"/>
    <w:rsid w:val="00566691"/>
    <w:rsid w:val="0056669D"/>
    <w:rsid w:val="0056696F"/>
    <w:rsid w:val="00566A03"/>
    <w:rsid w:val="00566E3A"/>
    <w:rsid w:val="00567062"/>
    <w:rsid w:val="00567146"/>
    <w:rsid w:val="00567257"/>
    <w:rsid w:val="005673E4"/>
    <w:rsid w:val="005673F5"/>
    <w:rsid w:val="0056794C"/>
    <w:rsid w:val="00567B0E"/>
    <w:rsid w:val="00567D2C"/>
    <w:rsid w:val="00570129"/>
    <w:rsid w:val="00570485"/>
    <w:rsid w:val="00570EB4"/>
    <w:rsid w:val="00571035"/>
    <w:rsid w:val="0057121F"/>
    <w:rsid w:val="00571265"/>
    <w:rsid w:val="005715B4"/>
    <w:rsid w:val="00571849"/>
    <w:rsid w:val="0057198B"/>
    <w:rsid w:val="00571E0C"/>
    <w:rsid w:val="00571F66"/>
    <w:rsid w:val="0057223D"/>
    <w:rsid w:val="00572269"/>
    <w:rsid w:val="0057244A"/>
    <w:rsid w:val="0057294E"/>
    <w:rsid w:val="00572F26"/>
    <w:rsid w:val="005730BF"/>
    <w:rsid w:val="00574176"/>
    <w:rsid w:val="005742FA"/>
    <w:rsid w:val="005750C5"/>
    <w:rsid w:val="005752DE"/>
    <w:rsid w:val="005754AB"/>
    <w:rsid w:val="00575C75"/>
    <w:rsid w:val="00575D60"/>
    <w:rsid w:val="00575D8D"/>
    <w:rsid w:val="00576972"/>
    <w:rsid w:val="00576A36"/>
    <w:rsid w:val="00576AD9"/>
    <w:rsid w:val="00576B90"/>
    <w:rsid w:val="00576CDF"/>
    <w:rsid w:val="00576E0B"/>
    <w:rsid w:val="00576EDF"/>
    <w:rsid w:val="00577248"/>
    <w:rsid w:val="0057744B"/>
    <w:rsid w:val="00577663"/>
    <w:rsid w:val="0057798F"/>
    <w:rsid w:val="0058026F"/>
    <w:rsid w:val="0058060E"/>
    <w:rsid w:val="00581BE5"/>
    <w:rsid w:val="005826E9"/>
    <w:rsid w:val="00582AAE"/>
    <w:rsid w:val="005833B6"/>
    <w:rsid w:val="00583699"/>
    <w:rsid w:val="00584635"/>
    <w:rsid w:val="00584EBF"/>
    <w:rsid w:val="00584FAF"/>
    <w:rsid w:val="00585100"/>
    <w:rsid w:val="00585CDD"/>
    <w:rsid w:val="00586326"/>
    <w:rsid w:val="00586646"/>
    <w:rsid w:val="00586755"/>
    <w:rsid w:val="00586CB8"/>
    <w:rsid w:val="00587058"/>
    <w:rsid w:val="00587A6B"/>
    <w:rsid w:val="00587C0F"/>
    <w:rsid w:val="005906BF"/>
    <w:rsid w:val="00590806"/>
    <w:rsid w:val="00590F55"/>
    <w:rsid w:val="00591157"/>
    <w:rsid w:val="0059121C"/>
    <w:rsid w:val="0059138D"/>
    <w:rsid w:val="0059151D"/>
    <w:rsid w:val="00591957"/>
    <w:rsid w:val="00591AF0"/>
    <w:rsid w:val="00591B79"/>
    <w:rsid w:val="00591E38"/>
    <w:rsid w:val="00591F66"/>
    <w:rsid w:val="00592096"/>
    <w:rsid w:val="00592718"/>
    <w:rsid w:val="00592857"/>
    <w:rsid w:val="00592B71"/>
    <w:rsid w:val="00592CD8"/>
    <w:rsid w:val="00592F9C"/>
    <w:rsid w:val="005931F7"/>
    <w:rsid w:val="0059360A"/>
    <w:rsid w:val="00593D91"/>
    <w:rsid w:val="00594430"/>
    <w:rsid w:val="0059461A"/>
    <w:rsid w:val="0059465A"/>
    <w:rsid w:val="00594B38"/>
    <w:rsid w:val="005959F8"/>
    <w:rsid w:val="005960F8"/>
    <w:rsid w:val="0059630E"/>
    <w:rsid w:val="005964FA"/>
    <w:rsid w:val="00596C40"/>
    <w:rsid w:val="00597278"/>
    <w:rsid w:val="00597AEF"/>
    <w:rsid w:val="00597BF9"/>
    <w:rsid w:val="00597C91"/>
    <w:rsid w:val="00597E1F"/>
    <w:rsid w:val="00597F5E"/>
    <w:rsid w:val="005A0335"/>
    <w:rsid w:val="005A09CE"/>
    <w:rsid w:val="005A0C11"/>
    <w:rsid w:val="005A108B"/>
    <w:rsid w:val="005A136B"/>
    <w:rsid w:val="005A14E4"/>
    <w:rsid w:val="005A1736"/>
    <w:rsid w:val="005A17F3"/>
    <w:rsid w:val="005A1A86"/>
    <w:rsid w:val="005A1F94"/>
    <w:rsid w:val="005A22F2"/>
    <w:rsid w:val="005A2E67"/>
    <w:rsid w:val="005A309A"/>
    <w:rsid w:val="005A31CA"/>
    <w:rsid w:val="005A3524"/>
    <w:rsid w:val="005A373D"/>
    <w:rsid w:val="005A3B79"/>
    <w:rsid w:val="005A4668"/>
    <w:rsid w:val="005A46BA"/>
    <w:rsid w:val="005A4C69"/>
    <w:rsid w:val="005A4CB9"/>
    <w:rsid w:val="005A4DD2"/>
    <w:rsid w:val="005A4F16"/>
    <w:rsid w:val="005A544F"/>
    <w:rsid w:val="005A565E"/>
    <w:rsid w:val="005A57C0"/>
    <w:rsid w:val="005A61D5"/>
    <w:rsid w:val="005A6DB2"/>
    <w:rsid w:val="005A7B42"/>
    <w:rsid w:val="005A7E3A"/>
    <w:rsid w:val="005B0849"/>
    <w:rsid w:val="005B0A76"/>
    <w:rsid w:val="005B0B58"/>
    <w:rsid w:val="005B0F48"/>
    <w:rsid w:val="005B155D"/>
    <w:rsid w:val="005B1B29"/>
    <w:rsid w:val="005B1F92"/>
    <w:rsid w:val="005B23D0"/>
    <w:rsid w:val="005B2633"/>
    <w:rsid w:val="005B325C"/>
    <w:rsid w:val="005B3663"/>
    <w:rsid w:val="005B38E8"/>
    <w:rsid w:val="005B39B5"/>
    <w:rsid w:val="005B39D1"/>
    <w:rsid w:val="005B3B2C"/>
    <w:rsid w:val="005B3DC3"/>
    <w:rsid w:val="005B3F88"/>
    <w:rsid w:val="005B4161"/>
    <w:rsid w:val="005B4166"/>
    <w:rsid w:val="005B41B6"/>
    <w:rsid w:val="005B4428"/>
    <w:rsid w:val="005B499B"/>
    <w:rsid w:val="005B4D18"/>
    <w:rsid w:val="005B4E53"/>
    <w:rsid w:val="005B5452"/>
    <w:rsid w:val="005B5857"/>
    <w:rsid w:val="005B5AE7"/>
    <w:rsid w:val="005B61F0"/>
    <w:rsid w:val="005B6DD7"/>
    <w:rsid w:val="005B7E99"/>
    <w:rsid w:val="005C00AC"/>
    <w:rsid w:val="005C00E5"/>
    <w:rsid w:val="005C017A"/>
    <w:rsid w:val="005C0380"/>
    <w:rsid w:val="005C19C4"/>
    <w:rsid w:val="005C1B83"/>
    <w:rsid w:val="005C1D33"/>
    <w:rsid w:val="005C22E4"/>
    <w:rsid w:val="005C25FF"/>
    <w:rsid w:val="005C28C0"/>
    <w:rsid w:val="005C29BA"/>
    <w:rsid w:val="005C2A73"/>
    <w:rsid w:val="005C2C08"/>
    <w:rsid w:val="005C2D55"/>
    <w:rsid w:val="005C2E97"/>
    <w:rsid w:val="005C3084"/>
    <w:rsid w:val="005C32C8"/>
    <w:rsid w:val="005C3381"/>
    <w:rsid w:val="005C340B"/>
    <w:rsid w:val="005C346B"/>
    <w:rsid w:val="005C3A51"/>
    <w:rsid w:val="005C3E9E"/>
    <w:rsid w:val="005C4E68"/>
    <w:rsid w:val="005C5570"/>
    <w:rsid w:val="005C5605"/>
    <w:rsid w:val="005C563C"/>
    <w:rsid w:val="005C5A93"/>
    <w:rsid w:val="005C5ABC"/>
    <w:rsid w:val="005C5AE3"/>
    <w:rsid w:val="005C66E2"/>
    <w:rsid w:val="005C6DEC"/>
    <w:rsid w:val="005C7001"/>
    <w:rsid w:val="005C7648"/>
    <w:rsid w:val="005C781E"/>
    <w:rsid w:val="005D0413"/>
    <w:rsid w:val="005D044D"/>
    <w:rsid w:val="005D0ABD"/>
    <w:rsid w:val="005D118B"/>
    <w:rsid w:val="005D18AD"/>
    <w:rsid w:val="005D26B4"/>
    <w:rsid w:val="005D270E"/>
    <w:rsid w:val="005D27F9"/>
    <w:rsid w:val="005D343D"/>
    <w:rsid w:val="005D36C7"/>
    <w:rsid w:val="005D38A7"/>
    <w:rsid w:val="005D3B01"/>
    <w:rsid w:val="005D3DF0"/>
    <w:rsid w:val="005D3DF1"/>
    <w:rsid w:val="005D40E4"/>
    <w:rsid w:val="005D4D64"/>
    <w:rsid w:val="005D4DBA"/>
    <w:rsid w:val="005D5172"/>
    <w:rsid w:val="005D5827"/>
    <w:rsid w:val="005D5983"/>
    <w:rsid w:val="005D599B"/>
    <w:rsid w:val="005D6255"/>
    <w:rsid w:val="005D6499"/>
    <w:rsid w:val="005D6647"/>
    <w:rsid w:val="005D6691"/>
    <w:rsid w:val="005D6E8A"/>
    <w:rsid w:val="005D740A"/>
    <w:rsid w:val="005D7447"/>
    <w:rsid w:val="005D752B"/>
    <w:rsid w:val="005D7641"/>
    <w:rsid w:val="005D7653"/>
    <w:rsid w:val="005D77CD"/>
    <w:rsid w:val="005D7D2A"/>
    <w:rsid w:val="005E0234"/>
    <w:rsid w:val="005E0A6B"/>
    <w:rsid w:val="005E0D9C"/>
    <w:rsid w:val="005E0F64"/>
    <w:rsid w:val="005E14B7"/>
    <w:rsid w:val="005E1995"/>
    <w:rsid w:val="005E19E0"/>
    <w:rsid w:val="005E206C"/>
    <w:rsid w:val="005E21FB"/>
    <w:rsid w:val="005E2435"/>
    <w:rsid w:val="005E2E1A"/>
    <w:rsid w:val="005E3884"/>
    <w:rsid w:val="005E39CF"/>
    <w:rsid w:val="005E3EC1"/>
    <w:rsid w:val="005E4571"/>
    <w:rsid w:val="005E468E"/>
    <w:rsid w:val="005E4717"/>
    <w:rsid w:val="005E48F9"/>
    <w:rsid w:val="005E4988"/>
    <w:rsid w:val="005E50BC"/>
    <w:rsid w:val="005E5F10"/>
    <w:rsid w:val="005E6465"/>
    <w:rsid w:val="005E66BF"/>
    <w:rsid w:val="005E66FD"/>
    <w:rsid w:val="005E69EB"/>
    <w:rsid w:val="005E6CBC"/>
    <w:rsid w:val="005E6FEF"/>
    <w:rsid w:val="005E7051"/>
    <w:rsid w:val="005E72FF"/>
    <w:rsid w:val="005E732E"/>
    <w:rsid w:val="005E73C0"/>
    <w:rsid w:val="005E7D36"/>
    <w:rsid w:val="005F07ED"/>
    <w:rsid w:val="005F0D22"/>
    <w:rsid w:val="005F0EC8"/>
    <w:rsid w:val="005F101A"/>
    <w:rsid w:val="005F1798"/>
    <w:rsid w:val="005F1E26"/>
    <w:rsid w:val="005F2120"/>
    <w:rsid w:val="005F246A"/>
    <w:rsid w:val="005F26AB"/>
    <w:rsid w:val="005F2706"/>
    <w:rsid w:val="005F2994"/>
    <w:rsid w:val="005F2A66"/>
    <w:rsid w:val="005F2C9E"/>
    <w:rsid w:val="005F2CAE"/>
    <w:rsid w:val="005F2CC9"/>
    <w:rsid w:val="005F334A"/>
    <w:rsid w:val="005F35D7"/>
    <w:rsid w:val="005F3A31"/>
    <w:rsid w:val="005F3ACE"/>
    <w:rsid w:val="005F3B56"/>
    <w:rsid w:val="005F3DEC"/>
    <w:rsid w:val="005F3E52"/>
    <w:rsid w:val="005F418A"/>
    <w:rsid w:val="005F430D"/>
    <w:rsid w:val="005F46F8"/>
    <w:rsid w:val="005F4B7A"/>
    <w:rsid w:val="005F4B87"/>
    <w:rsid w:val="005F4E70"/>
    <w:rsid w:val="005F4EB3"/>
    <w:rsid w:val="005F50E6"/>
    <w:rsid w:val="005F5274"/>
    <w:rsid w:val="005F537A"/>
    <w:rsid w:val="005F5656"/>
    <w:rsid w:val="005F5680"/>
    <w:rsid w:val="005F59D8"/>
    <w:rsid w:val="005F64D7"/>
    <w:rsid w:val="005F6A8F"/>
    <w:rsid w:val="005F6BB7"/>
    <w:rsid w:val="005F6BE3"/>
    <w:rsid w:val="005F6C26"/>
    <w:rsid w:val="005F7279"/>
    <w:rsid w:val="005F73DA"/>
    <w:rsid w:val="005F74F3"/>
    <w:rsid w:val="005F7588"/>
    <w:rsid w:val="005F7877"/>
    <w:rsid w:val="0060075E"/>
    <w:rsid w:val="00600BA5"/>
    <w:rsid w:val="00600CEC"/>
    <w:rsid w:val="006017CF"/>
    <w:rsid w:val="006019AE"/>
    <w:rsid w:val="00601E39"/>
    <w:rsid w:val="00602006"/>
    <w:rsid w:val="0060210D"/>
    <w:rsid w:val="00602594"/>
    <w:rsid w:val="006028D3"/>
    <w:rsid w:val="00602EE1"/>
    <w:rsid w:val="00603275"/>
    <w:rsid w:val="00603510"/>
    <w:rsid w:val="00603B98"/>
    <w:rsid w:val="00603DB9"/>
    <w:rsid w:val="00604413"/>
    <w:rsid w:val="00604868"/>
    <w:rsid w:val="006049CC"/>
    <w:rsid w:val="00604DBF"/>
    <w:rsid w:val="006053B4"/>
    <w:rsid w:val="006054B2"/>
    <w:rsid w:val="00605B5C"/>
    <w:rsid w:val="00606357"/>
    <w:rsid w:val="00606BB0"/>
    <w:rsid w:val="00606BE4"/>
    <w:rsid w:val="00606C4F"/>
    <w:rsid w:val="00606FBA"/>
    <w:rsid w:val="00607669"/>
    <w:rsid w:val="006076F4"/>
    <w:rsid w:val="0060776F"/>
    <w:rsid w:val="00607AFD"/>
    <w:rsid w:val="00607BA2"/>
    <w:rsid w:val="00607F7C"/>
    <w:rsid w:val="00607F9F"/>
    <w:rsid w:val="006100B7"/>
    <w:rsid w:val="00610172"/>
    <w:rsid w:val="00610582"/>
    <w:rsid w:val="00610AED"/>
    <w:rsid w:val="006114B6"/>
    <w:rsid w:val="00611B12"/>
    <w:rsid w:val="00611D7B"/>
    <w:rsid w:val="00611DED"/>
    <w:rsid w:val="00611E52"/>
    <w:rsid w:val="00611FF7"/>
    <w:rsid w:val="00612169"/>
    <w:rsid w:val="006122B0"/>
    <w:rsid w:val="00612377"/>
    <w:rsid w:val="006127C5"/>
    <w:rsid w:val="00612C1D"/>
    <w:rsid w:val="00612C22"/>
    <w:rsid w:val="00612C83"/>
    <w:rsid w:val="00612F97"/>
    <w:rsid w:val="006131DF"/>
    <w:rsid w:val="00613450"/>
    <w:rsid w:val="0061345D"/>
    <w:rsid w:val="006134E3"/>
    <w:rsid w:val="006134EE"/>
    <w:rsid w:val="00613724"/>
    <w:rsid w:val="00613A9B"/>
    <w:rsid w:val="00613BF8"/>
    <w:rsid w:val="00614191"/>
    <w:rsid w:val="0061496E"/>
    <w:rsid w:val="00614FAD"/>
    <w:rsid w:val="0061549B"/>
    <w:rsid w:val="00615C8E"/>
    <w:rsid w:val="00615EAE"/>
    <w:rsid w:val="006161E5"/>
    <w:rsid w:val="00616802"/>
    <w:rsid w:val="00616C55"/>
    <w:rsid w:val="00616D45"/>
    <w:rsid w:val="00616E3B"/>
    <w:rsid w:val="00617287"/>
    <w:rsid w:val="00617681"/>
    <w:rsid w:val="00617996"/>
    <w:rsid w:val="00617DE1"/>
    <w:rsid w:val="00617E12"/>
    <w:rsid w:val="00617FA1"/>
    <w:rsid w:val="0062002C"/>
    <w:rsid w:val="00620C25"/>
    <w:rsid w:val="006211D1"/>
    <w:rsid w:val="00621477"/>
    <w:rsid w:val="0062180B"/>
    <w:rsid w:val="00621931"/>
    <w:rsid w:val="00621ADA"/>
    <w:rsid w:val="00621FB2"/>
    <w:rsid w:val="00622744"/>
    <w:rsid w:val="006229F3"/>
    <w:rsid w:val="00622CF4"/>
    <w:rsid w:val="00622F5C"/>
    <w:rsid w:val="00623B53"/>
    <w:rsid w:val="00623C14"/>
    <w:rsid w:val="00623CB7"/>
    <w:rsid w:val="00623DCF"/>
    <w:rsid w:val="00623F7B"/>
    <w:rsid w:val="00624AB7"/>
    <w:rsid w:val="00624ACB"/>
    <w:rsid w:val="00624AD0"/>
    <w:rsid w:val="00624B5B"/>
    <w:rsid w:val="00624BD4"/>
    <w:rsid w:val="00624FC4"/>
    <w:rsid w:val="0062654A"/>
    <w:rsid w:val="0062657C"/>
    <w:rsid w:val="00626721"/>
    <w:rsid w:val="0063071B"/>
    <w:rsid w:val="00630CA4"/>
    <w:rsid w:val="00630D68"/>
    <w:rsid w:val="00630D8D"/>
    <w:rsid w:val="00630E11"/>
    <w:rsid w:val="00630F1A"/>
    <w:rsid w:val="0063158F"/>
    <w:rsid w:val="00631706"/>
    <w:rsid w:val="00631BB4"/>
    <w:rsid w:val="00631BE6"/>
    <w:rsid w:val="00631D6B"/>
    <w:rsid w:val="00632183"/>
    <w:rsid w:val="00632486"/>
    <w:rsid w:val="00632C6D"/>
    <w:rsid w:val="0063303D"/>
    <w:rsid w:val="0063305B"/>
    <w:rsid w:val="006330A1"/>
    <w:rsid w:val="00633AC1"/>
    <w:rsid w:val="00633B34"/>
    <w:rsid w:val="006341B8"/>
    <w:rsid w:val="0063479F"/>
    <w:rsid w:val="00634E38"/>
    <w:rsid w:val="00634E3E"/>
    <w:rsid w:val="00634F26"/>
    <w:rsid w:val="006350F1"/>
    <w:rsid w:val="006351ED"/>
    <w:rsid w:val="0063538A"/>
    <w:rsid w:val="006353F0"/>
    <w:rsid w:val="006357B5"/>
    <w:rsid w:val="00636174"/>
    <w:rsid w:val="00636455"/>
    <w:rsid w:val="006364A1"/>
    <w:rsid w:val="00636761"/>
    <w:rsid w:val="0063678E"/>
    <w:rsid w:val="00637462"/>
    <w:rsid w:val="0063768E"/>
    <w:rsid w:val="00637BFD"/>
    <w:rsid w:val="00637C5C"/>
    <w:rsid w:val="00637D4F"/>
    <w:rsid w:val="00637ED9"/>
    <w:rsid w:val="006400C7"/>
    <w:rsid w:val="0064035D"/>
    <w:rsid w:val="00641A06"/>
    <w:rsid w:val="00641C4E"/>
    <w:rsid w:val="00641FB3"/>
    <w:rsid w:val="00642247"/>
    <w:rsid w:val="006427ED"/>
    <w:rsid w:val="0064283F"/>
    <w:rsid w:val="00642BC6"/>
    <w:rsid w:val="00642E63"/>
    <w:rsid w:val="00642EBE"/>
    <w:rsid w:val="00642F2F"/>
    <w:rsid w:val="006433E2"/>
    <w:rsid w:val="0064342D"/>
    <w:rsid w:val="0064366D"/>
    <w:rsid w:val="00643AC6"/>
    <w:rsid w:val="00643C3E"/>
    <w:rsid w:val="00643D6D"/>
    <w:rsid w:val="00644121"/>
    <w:rsid w:val="006442BC"/>
    <w:rsid w:val="00644349"/>
    <w:rsid w:val="0064434C"/>
    <w:rsid w:val="00644B3A"/>
    <w:rsid w:val="00644D38"/>
    <w:rsid w:val="00645644"/>
    <w:rsid w:val="00645986"/>
    <w:rsid w:val="00645A84"/>
    <w:rsid w:val="00645C6C"/>
    <w:rsid w:val="00646375"/>
    <w:rsid w:val="00646CF4"/>
    <w:rsid w:val="00646D32"/>
    <w:rsid w:val="006471CC"/>
    <w:rsid w:val="0064728B"/>
    <w:rsid w:val="006472FE"/>
    <w:rsid w:val="00647629"/>
    <w:rsid w:val="00647A29"/>
    <w:rsid w:val="00647FC8"/>
    <w:rsid w:val="006505F4"/>
    <w:rsid w:val="0065079F"/>
    <w:rsid w:val="00650F2D"/>
    <w:rsid w:val="00651523"/>
    <w:rsid w:val="0065184B"/>
    <w:rsid w:val="006518F6"/>
    <w:rsid w:val="006519D9"/>
    <w:rsid w:val="00651BCA"/>
    <w:rsid w:val="00651FF0"/>
    <w:rsid w:val="00652227"/>
    <w:rsid w:val="006523B6"/>
    <w:rsid w:val="0065244B"/>
    <w:rsid w:val="00652A28"/>
    <w:rsid w:val="00652E4D"/>
    <w:rsid w:val="006530CE"/>
    <w:rsid w:val="00653225"/>
    <w:rsid w:val="0065379F"/>
    <w:rsid w:val="00653C25"/>
    <w:rsid w:val="006540B2"/>
    <w:rsid w:val="006541E9"/>
    <w:rsid w:val="00654492"/>
    <w:rsid w:val="00654A0C"/>
    <w:rsid w:val="00654B28"/>
    <w:rsid w:val="00654FFE"/>
    <w:rsid w:val="0065549C"/>
    <w:rsid w:val="006556F5"/>
    <w:rsid w:val="00655B8B"/>
    <w:rsid w:val="00656188"/>
    <w:rsid w:val="00656BD0"/>
    <w:rsid w:val="0065715A"/>
    <w:rsid w:val="00657788"/>
    <w:rsid w:val="00657C57"/>
    <w:rsid w:val="00657D3D"/>
    <w:rsid w:val="006602A2"/>
    <w:rsid w:val="00660592"/>
    <w:rsid w:val="00660973"/>
    <w:rsid w:val="00660BA7"/>
    <w:rsid w:val="00660C40"/>
    <w:rsid w:val="006610F1"/>
    <w:rsid w:val="00661387"/>
    <w:rsid w:val="006616CD"/>
    <w:rsid w:val="00661801"/>
    <w:rsid w:val="00661A41"/>
    <w:rsid w:val="00661C6B"/>
    <w:rsid w:val="00662212"/>
    <w:rsid w:val="006624C6"/>
    <w:rsid w:val="006625D2"/>
    <w:rsid w:val="006626CF"/>
    <w:rsid w:val="00662A9A"/>
    <w:rsid w:val="00662D3E"/>
    <w:rsid w:val="00662DFE"/>
    <w:rsid w:val="00662E3A"/>
    <w:rsid w:val="0066318C"/>
    <w:rsid w:val="006631D3"/>
    <w:rsid w:val="0066322F"/>
    <w:rsid w:val="0066323B"/>
    <w:rsid w:val="0066395E"/>
    <w:rsid w:val="0066398F"/>
    <w:rsid w:val="00663B52"/>
    <w:rsid w:val="00663D47"/>
    <w:rsid w:val="00663FC3"/>
    <w:rsid w:val="00664A2D"/>
    <w:rsid w:val="00664C24"/>
    <w:rsid w:val="00664E84"/>
    <w:rsid w:val="00664FB2"/>
    <w:rsid w:val="0066547A"/>
    <w:rsid w:val="00665DF3"/>
    <w:rsid w:val="00667186"/>
    <w:rsid w:val="00667380"/>
    <w:rsid w:val="006673F2"/>
    <w:rsid w:val="00667526"/>
    <w:rsid w:val="0066791B"/>
    <w:rsid w:val="00667BE3"/>
    <w:rsid w:val="00667FEB"/>
    <w:rsid w:val="006701C3"/>
    <w:rsid w:val="00670254"/>
    <w:rsid w:val="006708B3"/>
    <w:rsid w:val="00670A16"/>
    <w:rsid w:val="00670AC1"/>
    <w:rsid w:val="00670C03"/>
    <w:rsid w:val="00670CFD"/>
    <w:rsid w:val="00671004"/>
    <w:rsid w:val="00671015"/>
    <w:rsid w:val="0067117F"/>
    <w:rsid w:val="00671426"/>
    <w:rsid w:val="00672021"/>
    <w:rsid w:val="0067253B"/>
    <w:rsid w:val="00672646"/>
    <w:rsid w:val="0067302B"/>
    <w:rsid w:val="00673256"/>
    <w:rsid w:val="006732BB"/>
    <w:rsid w:val="006733CD"/>
    <w:rsid w:val="00673630"/>
    <w:rsid w:val="0067382A"/>
    <w:rsid w:val="0067399B"/>
    <w:rsid w:val="00674782"/>
    <w:rsid w:val="00674A02"/>
    <w:rsid w:val="00674BBC"/>
    <w:rsid w:val="00674E42"/>
    <w:rsid w:val="00675A32"/>
    <w:rsid w:val="00675E60"/>
    <w:rsid w:val="00676563"/>
    <w:rsid w:val="00676681"/>
    <w:rsid w:val="00676C79"/>
    <w:rsid w:val="00676E41"/>
    <w:rsid w:val="00676FAA"/>
    <w:rsid w:val="00677AE0"/>
    <w:rsid w:val="006801E3"/>
    <w:rsid w:val="00680279"/>
    <w:rsid w:val="00680754"/>
    <w:rsid w:val="00680995"/>
    <w:rsid w:val="00681072"/>
    <w:rsid w:val="006813F8"/>
    <w:rsid w:val="00681C22"/>
    <w:rsid w:val="00681DDC"/>
    <w:rsid w:val="00681E6A"/>
    <w:rsid w:val="00681EAD"/>
    <w:rsid w:val="00682055"/>
    <w:rsid w:val="006820D3"/>
    <w:rsid w:val="00682112"/>
    <w:rsid w:val="00682348"/>
    <w:rsid w:val="00682474"/>
    <w:rsid w:val="0068258F"/>
    <w:rsid w:val="00682717"/>
    <w:rsid w:val="00682BA6"/>
    <w:rsid w:val="00682F43"/>
    <w:rsid w:val="006835A8"/>
    <w:rsid w:val="00683744"/>
    <w:rsid w:val="00683D6D"/>
    <w:rsid w:val="006849E4"/>
    <w:rsid w:val="00684A95"/>
    <w:rsid w:val="00684EF1"/>
    <w:rsid w:val="006850FF"/>
    <w:rsid w:val="006852FB"/>
    <w:rsid w:val="00685AD6"/>
    <w:rsid w:val="00685C2E"/>
    <w:rsid w:val="0068610A"/>
    <w:rsid w:val="0068631F"/>
    <w:rsid w:val="0068667C"/>
    <w:rsid w:val="00686957"/>
    <w:rsid w:val="006869B2"/>
    <w:rsid w:val="00686D5F"/>
    <w:rsid w:val="00686E21"/>
    <w:rsid w:val="00686E6F"/>
    <w:rsid w:val="006872BA"/>
    <w:rsid w:val="006875A3"/>
    <w:rsid w:val="00687633"/>
    <w:rsid w:val="006903A1"/>
    <w:rsid w:val="006904B4"/>
    <w:rsid w:val="0069065A"/>
    <w:rsid w:val="00690795"/>
    <w:rsid w:val="00690BB1"/>
    <w:rsid w:val="00690CF0"/>
    <w:rsid w:val="00690ED1"/>
    <w:rsid w:val="00691648"/>
    <w:rsid w:val="006917D7"/>
    <w:rsid w:val="00691A04"/>
    <w:rsid w:val="00691F2A"/>
    <w:rsid w:val="00692632"/>
    <w:rsid w:val="00692747"/>
    <w:rsid w:val="00692929"/>
    <w:rsid w:val="00692A18"/>
    <w:rsid w:val="00692BD8"/>
    <w:rsid w:val="00693365"/>
    <w:rsid w:val="0069363E"/>
    <w:rsid w:val="00693993"/>
    <w:rsid w:val="00693A86"/>
    <w:rsid w:val="00693CB3"/>
    <w:rsid w:val="00693F61"/>
    <w:rsid w:val="00694113"/>
    <w:rsid w:val="0069434C"/>
    <w:rsid w:val="006944E7"/>
    <w:rsid w:val="006946B4"/>
    <w:rsid w:val="00694930"/>
    <w:rsid w:val="00694F44"/>
    <w:rsid w:val="006959FE"/>
    <w:rsid w:val="00695F0A"/>
    <w:rsid w:val="00696EF9"/>
    <w:rsid w:val="00696F3E"/>
    <w:rsid w:val="00696F51"/>
    <w:rsid w:val="00697016"/>
    <w:rsid w:val="00697079"/>
    <w:rsid w:val="0069751B"/>
    <w:rsid w:val="00697769"/>
    <w:rsid w:val="0069777E"/>
    <w:rsid w:val="00697828"/>
    <w:rsid w:val="006979A5"/>
    <w:rsid w:val="006A016F"/>
    <w:rsid w:val="006A03F7"/>
    <w:rsid w:val="006A05C0"/>
    <w:rsid w:val="006A0852"/>
    <w:rsid w:val="006A0BD3"/>
    <w:rsid w:val="006A0DF7"/>
    <w:rsid w:val="006A147B"/>
    <w:rsid w:val="006A152E"/>
    <w:rsid w:val="006A1AB8"/>
    <w:rsid w:val="006A3DE4"/>
    <w:rsid w:val="006A3FCB"/>
    <w:rsid w:val="006A4321"/>
    <w:rsid w:val="006A43D9"/>
    <w:rsid w:val="006A4543"/>
    <w:rsid w:val="006A4BC9"/>
    <w:rsid w:val="006A5145"/>
    <w:rsid w:val="006A516C"/>
    <w:rsid w:val="006A533E"/>
    <w:rsid w:val="006A664A"/>
    <w:rsid w:val="006A671B"/>
    <w:rsid w:val="006A672E"/>
    <w:rsid w:val="006A67C1"/>
    <w:rsid w:val="006A6B99"/>
    <w:rsid w:val="006A6D56"/>
    <w:rsid w:val="006A6FEF"/>
    <w:rsid w:val="006A7983"/>
    <w:rsid w:val="006A7E5F"/>
    <w:rsid w:val="006B0203"/>
    <w:rsid w:val="006B021C"/>
    <w:rsid w:val="006B0362"/>
    <w:rsid w:val="006B0762"/>
    <w:rsid w:val="006B08FC"/>
    <w:rsid w:val="006B1372"/>
    <w:rsid w:val="006B1EDF"/>
    <w:rsid w:val="006B261B"/>
    <w:rsid w:val="006B2684"/>
    <w:rsid w:val="006B274D"/>
    <w:rsid w:val="006B2C90"/>
    <w:rsid w:val="006B35E6"/>
    <w:rsid w:val="006B391C"/>
    <w:rsid w:val="006B3977"/>
    <w:rsid w:val="006B4196"/>
    <w:rsid w:val="006B4554"/>
    <w:rsid w:val="006B4589"/>
    <w:rsid w:val="006B465A"/>
    <w:rsid w:val="006B48D7"/>
    <w:rsid w:val="006B4A07"/>
    <w:rsid w:val="006B4EF7"/>
    <w:rsid w:val="006B50ED"/>
    <w:rsid w:val="006B5199"/>
    <w:rsid w:val="006B5276"/>
    <w:rsid w:val="006B5837"/>
    <w:rsid w:val="006B5989"/>
    <w:rsid w:val="006B59C1"/>
    <w:rsid w:val="006B626C"/>
    <w:rsid w:val="006B64BC"/>
    <w:rsid w:val="006B6C76"/>
    <w:rsid w:val="006B6DD0"/>
    <w:rsid w:val="006B7117"/>
    <w:rsid w:val="006B7AD3"/>
    <w:rsid w:val="006B7F52"/>
    <w:rsid w:val="006C0399"/>
    <w:rsid w:val="006C04D5"/>
    <w:rsid w:val="006C0C24"/>
    <w:rsid w:val="006C0DFF"/>
    <w:rsid w:val="006C100B"/>
    <w:rsid w:val="006C12AA"/>
    <w:rsid w:val="006C1DBE"/>
    <w:rsid w:val="006C2405"/>
    <w:rsid w:val="006C2A8E"/>
    <w:rsid w:val="006C2C80"/>
    <w:rsid w:val="006C30A9"/>
    <w:rsid w:val="006C31AC"/>
    <w:rsid w:val="006C3255"/>
    <w:rsid w:val="006C33AC"/>
    <w:rsid w:val="006C365D"/>
    <w:rsid w:val="006C3B4D"/>
    <w:rsid w:val="006C3C4F"/>
    <w:rsid w:val="006C3F26"/>
    <w:rsid w:val="006C3FA9"/>
    <w:rsid w:val="006C3FC4"/>
    <w:rsid w:val="006C4B90"/>
    <w:rsid w:val="006C4D6E"/>
    <w:rsid w:val="006C4E80"/>
    <w:rsid w:val="006C5051"/>
    <w:rsid w:val="006C5E73"/>
    <w:rsid w:val="006C75EB"/>
    <w:rsid w:val="006C7817"/>
    <w:rsid w:val="006C795D"/>
    <w:rsid w:val="006C7A2E"/>
    <w:rsid w:val="006C7A64"/>
    <w:rsid w:val="006C7EAF"/>
    <w:rsid w:val="006D05DE"/>
    <w:rsid w:val="006D0624"/>
    <w:rsid w:val="006D06E7"/>
    <w:rsid w:val="006D0AA8"/>
    <w:rsid w:val="006D0D17"/>
    <w:rsid w:val="006D10B2"/>
    <w:rsid w:val="006D14D3"/>
    <w:rsid w:val="006D1503"/>
    <w:rsid w:val="006D152B"/>
    <w:rsid w:val="006D15CA"/>
    <w:rsid w:val="006D19CC"/>
    <w:rsid w:val="006D1D45"/>
    <w:rsid w:val="006D1D7F"/>
    <w:rsid w:val="006D208C"/>
    <w:rsid w:val="006D27CC"/>
    <w:rsid w:val="006D2939"/>
    <w:rsid w:val="006D2EA9"/>
    <w:rsid w:val="006D3658"/>
    <w:rsid w:val="006D3B85"/>
    <w:rsid w:val="006D3C7D"/>
    <w:rsid w:val="006D4659"/>
    <w:rsid w:val="006D492F"/>
    <w:rsid w:val="006D4A53"/>
    <w:rsid w:val="006D4BF3"/>
    <w:rsid w:val="006D599D"/>
    <w:rsid w:val="006D5D14"/>
    <w:rsid w:val="006D5D5F"/>
    <w:rsid w:val="006D5EF4"/>
    <w:rsid w:val="006D6677"/>
    <w:rsid w:val="006D6878"/>
    <w:rsid w:val="006D68FB"/>
    <w:rsid w:val="006D784B"/>
    <w:rsid w:val="006D7D90"/>
    <w:rsid w:val="006D7E3F"/>
    <w:rsid w:val="006E0007"/>
    <w:rsid w:val="006E060A"/>
    <w:rsid w:val="006E0AF4"/>
    <w:rsid w:val="006E0E71"/>
    <w:rsid w:val="006E1837"/>
    <w:rsid w:val="006E184B"/>
    <w:rsid w:val="006E193A"/>
    <w:rsid w:val="006E1BA7"/>
    <w:rsid w:val="006E2003"/>
    <w:rsid w:val="006E2401"/>
    <w:rsid w:val="006E2426"/>
    <w:rsid w:val="006E255A"/>
    <w:rsid w:val="006E2868"/>
    <w:rsid w:val="006E2D20"/>
    <w:rsid w:val="006E33DF"/>
    <w:rsid w:val="006E398F"/>
    <w:rsid w:val="006E3BE7"/>
    <w:rsid w:val="006E3D7A"/>
    <w:rsid w:val="006E3FA2"/>
    <w:rsid w:val="006E4155"/>
    <w:rsid w:val="006E464D"/>
    <w:rsid w:val="006E4C85"/>
    <w:rsid w:val="006E4F83"/>
    <w:rsid w:val="006E5332"/>
    <w:rsid w:val="006E5346"/>
    <w:rsid w:val="006E534F"/>
    <w:rsid w:val="006E5809"/>
    <w:rsid w:val="006E5DF3"/>
    <w:rsid w:val="006E625F"/>
    <w:rsid w:val="006E67A0"/>
    <w:rsid w:val="006E67EC"/>
    <w:rsid w:val="006E6D49"/>
    <w:rsid w:val="006E6D86"/>
    <w:rsid w:val="006E74D9"/>
    <w:rsid w:val="006F09C4"/>
    <w:rsid w:val="006F0F95"/>
    <w:rsid w:val="006F169C"/>
    <w:rsid w:val="006F295E"/>
    <w:rsid w:val="006F306C"/>
    <w:rsid w:val="006F4241"/>
    <w:rsid w:val="006F44CB"/>
    <w:rsid w:val="006F45EB"/>
    <w:rsid w:val="006F4672"/>
    <w:rsid w:val="006F4928"/>
    <w:rsid w:val="006F49BE"/>
    <w:rsid w:val="006F5242"/>
    <w:rsid w:val="006F52F9"/>
    <w:rsid w:val="006F5C1E"/>
    <w:rsid w:val="006F5EC5"/>
    <w:rsid w:val="006F63A5"/>
    <w:rsid w:val="006F64A7"/>
    <w:rsid w:val="006F6DAE"/>
    <w:rsid w:val="006F6E21"/>
    <w:rsid w:val="006F7112"/>
    <w:rsid w:val="006F72CA"/>
    <w:rsid w:val="006F72E6"/>
    <w:rsid w:val="006F7D79"/>
    <w:rsid w:val="0070002C"/>
    <w:rsid w:val="0070041D"/>
    <w:rsid w:val="00700536"/>
    <w:rsid w:val="00700981"/>
    <w:rsid w:val="00700B3B"/>
    <w:rsid w:val="00700C60"/>
    <w:rsid w:val="00700D0F"/>
    <w:rsid w:val="00700D43"/>
    <w:rsid w:val="00700F62"/>
    <w:rsid w:val="0070142B"/>
    <w:rsid w:val="007014AF"/>
    <w:rsid w:val="0070174A"/>
    <w:rsid w:val="00701B70"/>
    <w:rsid w:val="00701C5C"/>
    <w:rsid w:val="00701CB3"/>
    <w:rsid w:val="0070208E"/>
    <w:rsid w:val="0070276E"/>
    <w:rsid w:val="007029FA"/>
    <w:rsid w:val="00702CD1"/>
    <w:rsid w:val="00702E28"/>
    <w:rsid w:val="00702F8F"/>
    <w:rsid w:val="0070325C"/>
    <w:rsid w:val="00703283"/>
    <w:rsid w:val="0070361D"/>
    <w:rsid w:val="00703C58"/>
    <w:rsid w:val="00704307"/>
    <w:rsid w:val="0070445D"/>
    <w:rsid w:val="00704555"/>
    <w:rsid w:val="007047D2"/>
    <w:rsid w:val="0070482C"/>
    <w:rsid w:val="00704B10"/>
    <w:rsid w:val="007051D7"/>
    <w:rsid w:val="00705281"/>
    <w:rsid w:val="00705406"/>
    <w:rsid w:val="00705DF2"/>
    <w:rsid w:val="007064D8"/>
    <w:rsid w:val="007068B6"/>
    <w:rsid w:val="00706A25"/>
    <w:rsid w:val="00706E4D"/>
    <w:rsid w:val="0070722F"/>
    <w:rsid w:val="0070772D"/>
    <w:rsid w:val="007078F3"/>
    <w:rsid w:val="007079FC"/>
    <w:rsid w:val="00707BEA"/>
    <w:rsid w:val="00707D14"/>
    <w:rsid w:val="00707D4C"/>
    <w:rsid w:val="00707F28"/>
    <w:rsid w:val="007101F3"/>
    <w:rsid w:val="00710360"/>
    <w:rsid w:val="0071078E"/>
    <w:rsid w:val="007108B9"/>
    <w:rsid w:val="00710BA4"/>
    <w:rsid w:val="00710F16"/>
    <w:rsid w:val="00710FC8"/>
    <w:rsid w:val="00711A36"/>
    <w:rsid w:val="00711E92"/>
    <w:rsid w:val="00711F37"/>
    <w:rsid w:val="007120D6"/>
    <w:rsid w:val="007125D3"/>
    <w:rsid w:val="00712670"/>
    <w:rsid w:val="00712EE3"/>
    <w:rsid w:val="007133D0"/>
    <w:rsid w:val="00713754"/>
    <w:rsid w:val="00713790"/>
    <w:rsid w:val="00713AD1"/>
    <w:rsid w:val="0071404B"/>
    <w:rsid w:val="0071408F"/>
    <w:rsid w:val="007141A8"/>
    <w:rsid w:val="0071476A"/>
    <w:rsid w:val="00714782"/>
    <w:rsid w:val="0071482B"/>
    <w:rsid w:val="00714C26"/>
    <w:rsid w:val="0071529C"/>
    <w:rsid w:val="00715387"/>
    <w:rsid w:val="007155C2"/>
    <w:rsid w:val="007165A5"/>
    <w:rsid w:val="00716AB1"/>
    <w:rsid w:val="00716FCE"/>
    <w:rsid w:val="007170DA"/>
    <w:rsid w:val="007172AD"/>
    <w:rsid w:val="00717314"/>
    <w:rsid w:val="00717546"/>
    <w:rsid w:val="0071769A"/>
    <w:rsid w:val="0071793C"/>
    <w:rsid w:val="00720801"/>
    <w:rsid w:val="007209BB"/>
    <w:rsid w:val="00720F07"/>
    <w:rsid w:val="00721A1C"/>
    <w:rsid w:val="00721B21"/>
    <w:rsid w:val="00721BFB"/>
    <w:rsid w:val="0072209B"/>
    <w:rsid w:val="00722B1B"/>
    <w:rsid w:val="00722B66"/>
    <w:rsid w:val="00722E72"/>
    <w:rsid w:val="00722FC4"/>
    <w:rsid w:val="007232EA"/>
    <w:rsid w:val="00723A55"/>
    <w:rsid w:val="007240EF"/>
    <w:rsid w:val="0072416F"/>
    <w:rsid w:val="0072426C"/>
    <w:rsid w:val="00724411"/>
    <w:rsid w:val="007245B7"/>
    <w:rsid w:val="00724660"/>
    <w:rsid w:val="00724F92"/>
    <w:rsid w:val="00725634"/>
    <w:rsid w:val="007256C6"/>
    <w:rsid w:val="00725B19"/>
    <w:rsid w:val="00725D54"/>
    <w:rsid w:val="007265D4"/>
    <w:rsid w:val="0072688F"/>
    <w:rsid w:val="00726B77"/>
    <w:rsid w:val="00727B1C"/>
    <w:rsid w:val="00727C94"/>
    <w:rsid w:val="00730794"/>
    <w:rsid w:val="00730B2B"/>
    <w:rsid w:val="00730B6F"/>
    <w:rsid w:val="00730D10"/>
    <w:rsid w:val="00731172"/>
    <w:rsid w:val="00731793"/>
    <w:rsid w:val="007318D6"/>
    <w:rsid w:val="00731A7A"/>
    <w:rsid w:val="00731AA5"/>
    <w:rsid w:val="00731B0A"/>
    <w:rsid w:val="00731EAE"/>
    <w:rsid w:val="00731F38"/>
    <w:rsid w:val="0073212F"/>
    <w:rsid w:val="00732B45"/>
    <w:rsid w:val="00732E86"/>
    <w:rsid w:val="00733073"/>
    <w:rsid w:val="00733446"/>
    <w:rsid w:val="007334B2"/>
    <w:rsid w:val="0073354F"/>
    <w:rsid w:val="007339D7"/>
    <w:rsid w:val="0073408D"/>
    <w:rsid w:val="00734BCC"/>
    <w:rsid w:val="00734C24"/>
    <w:rsid w:val="00734D78"/>
    <w:rsid w:val="00735033"/>
    <w:rsid w:val="00735328"/>
    <w:rsid w:val="0073538D"/>
    <w:rsid w:val="00735468"/>
    <w:rsid w:val="007357C8"/>
    <w:rsid w:val="007357F5"/>
    <w:rsid w:val="0073588F"/>
    <w:rsid w:val="0073591B"/>
    <w:rsid w:val="00736649"/>
    <w:rsid w:val="0073685B"/>
    <w:rsid w:val="00736ADE"/>
    <w:rsid w:val="00737B23"/>
    <w:rsid w:val="00737E0D"/>
    <w:rsid w:val="00737E1C"/>
    <w:rsid w:val="00740451"/>
    <w:rsid w:val="0074064D"/>
    <w:rsid w:val="00740915"/>
    <w:rsid w:val="00740B33"/>
    <w:rsid w:val="00741170"/>
    <w:rsid w:val="00741815"/>
    <w:rsid w:val="007419AF"/>
    <w:rsid w:val="00741BEE"/>
    <w:rsid w:val="00741E24"/>
    <w:rsid w:val="00742193"/>
    <w:rsid w:val="00742591"/>
    <w:rsid w:val="007428B3"/>
    <w:rsid w:val="007428C2"/>
    <w:rsid w:val="00742E61"/>
    <w:rsid w:val="007432A5"/>
    <w:rsid w:val="0074398D"/>
    <w:rsid w:val="00743E67"/>
    <w:rsid w:val="0074453A"/>
    <w:rsid w:val="007449BF"/>
    <w:rsid w:val="00744DC9"/>
    <w:rsid w:val="00744F04"/>
    <w:rsid w:val="0074614E"/>
    <w:rsid w:val="00746231"/>
    <w:rsid w:val="0074627B"/>
    <w:rsid w:val="007463FE"/>
    <w:rsid w:val="00746539"/>
    <w:rsid w:val="00746BC0"/>
    <w:rsid w:val="00746F94"/>
    <w:rsid w:val="007473E1"/>
    <w:rsid w:val="007476D9"/>
    <w:rsid w:val="00750510"/>
    <w:rsid w:val="00750F55"/>
    <w:rsid w:val="007510B4"/>
    <w:rsid w:val="00751477"/>
    <w:rsid w:val="007519D5"/>
    <w:rsid w:val="00751D8D"/>
    <w:rsid w:val="00752142"/>
    <w:rsid w:val="0075237A"/>
    <w:rsid w:val="007523F9"/>
    <w:rsid w:val="0075297A"/>
    <w:rsid w:val="00752BD7"/>
    <w:rsid w:val="00752C11"/>
    <w:rsid w:val="00752EBC"/>
    <w:rsid w:val="0075357E"/>
    <w:rsid w:val="00753B29"/>
    <w:rsid w:val="00753D08"/>
    <w:rsid w:val="00753E60"/>
    <w:rsid w:val="00753E87"/>
    <w:rsid w:val="007544F1"/>
    <w:rsid w:val="00754586"/>
    <w:rsid w:val="00754E6B"/>
    <w:rsid w:val="007552C0"/>
    <w:rsid w:val="007553CD"/>
    <w:rsid w:val="007555A7"/>
    <w:rsid w:val="00755942"/>
    <w:rsid w:val="00755B20"/>
    <w:rsid w:val="0075601C"/>
    <w:rsid w:val="0075649A"/>
    <w:rsid w:val="00756623"/>
    <w:rsid w:val="00756994"/>
    <w:rsid w:val="00756E74"/>
    <w:rsid w:val="007573BE"/>
    <w:rsid w:val="007573E8"/>
    <w:rsid w:val="00757646"/>
    <w:rsid w:val="00757944"/>
    <w:rsid w:val="00760544"/>
    <w:rsid w:val="007609BD"/>
    <w:rsid w:val="00760C4E"/>
    <w:rsid w:val="00760F9E"/>
    <w:rsid w:val="00761401"/>
    <w:rsid w:val="007615B2"/>
    <w:rsid w:val="007616E6"/>
    <w:rsid w:val="00761714"/>
    <w:rsid w:val="007619F2"/>
    <w:rsid w:val="0076245D"/>
    <w:rsid w:val="007627BE"/>
    <w:rsid w:val="0076319A"/>
    <w:rsid w:val="0076332D"/>
    <w:rsid w:val="00763F62"/>
    <w:rsid w:val="00764095"/>
    <w:rsid w:val="00764290"/>
    <w:rsid w:val="007646B9"/>
    <w:rsid w:val="00764AAA"/>
    <w:rsid w:val="00764B42"/>
    <w:rsid w:val="00764BE3"/>
    <w:rsid w:val="00764EBE"/>
    <w:rsid w:val="00764F03"/>
    <w:rsid w:val="00765B1A"/>
    <w:rsid w:val="00765CD1"/>
    <w:rsid w:val="00765DC1"/>
    <w:rsid w:val="00765E2C"/>
    <w:rsid w:val="007660E1"/>
    <w:rsid w:val="00766135"/>
    <w:rsid w:val="007669C8"/>
    <w:rsid w:val="00766AFC"/>
    <w:rsid w:val="00766B1F"/>
    <w:rsid w:val="00766CA6"/>
    <w:rsid w:val="00766EDF"/>
    <w:rsid w:val="00767220"/>
    <w:rsid w:val="00767419"/>
    <w:rsid w:val="0076769E"/>
    <w:rsid w:val="00767C12"/>
    <w:rsid w:val="00767E61"/>
    <w:rsid w:val="00767F25"/>
    <w:rsid w:val="00767F8A"/>
    <w:rsid w:val="0077032C"/>
    <w:rsid w:val="00770BCD"/>
    <w:rsid w:val="007712C8"/>
    <w:rsid w:val="00771368"/>
    <w:rsid w:val="00771979"/>
    <w:rsid w:val="00771D46"/>
    <w:rsid w:val="0077267B"/>
    <w:rsid w:val="00772AC7"/>
    <w:rsid w:val="007735D1"/>
    <w:rsid w:val="007743C9"/>
    <w:rsid w:val="00774B7D"/>
    <w:rsid w:val="00775228"/>
    <w:rsid w:val="0077528A"/>
    <w:rsid w:val="0077553C"/>
    <w:rsid w:val="00776A29"/>
    <w:rsid w:val="00776CA3"/>
    <w:rsid w:val="00777335"/>
    <w:rsid w:val="0077740E"/>
    <w:rsid w:val="007779A0"/>
    <w:rsid w:val="00777D01"/>
    <w:rsid w:val="00777E11"/>
    <w:rsid w:val="007800E9"/>
    <w:rsid w:val="00780351"/>
    <w:rsid w:val="00780385"/>
    <w:rsid w:val="00781A28"/>
    <w:rsid w:val="00781B65"/>
    <w:rsid w:val="00781EAF"/>
    <w:rsid w:val="007821EB"/>
    <w:rsid w:val="00782203"/>
    <w:rsid w:val="007822AC"/>
    <w:rsid w:val="0078286F"/>
    <w:rsid w:val="0078331A"/>
    <w:rsid w:val="0078343C"/>
    <w:rsid w:val="007835EC"/>
    <w:rsid w:val="00783F4C"/>
    <w:rsid w:val="00783F6A"/>
    <w:rsid w:val="007843F2"/>
    <w:rsid w:val="007846FA"/>
    <w:rsid w:val="00784AA0"/>
    <w:rsid w:val="00784AD1"/>
    <w:rsid w:val="00784B2A"/>
    <w:rsid w:val="00784B81"/>
    <w:rsid w:val="007851A8"/>
    <w:rsid w:val="00785478"/>
    <w:rsid w:val="00785A9F"/>
    <w:rsid w:val="007864C6"/>
    <w:rsid w:val="00786B24"/>
    <w:rsid w:val="00787789"/>
    <w:rsid w:val="00790029"/>
    <w:rsid w:val="00790753"/>
    <w:rsid w:val="00790870"/>
    <w:rsid w:val="00790E1A"/>
    <w:rsid w:val="00791709"/>
    <w:rsid w:val="00791E87"/>
    <w:rsid w:val="007920D0"/>
    <w:rsid w:val="00792228"/>
    <w:rsid w:val="00792306"/>
    <w:rsid w:val="007925DF"/>
    <w:rsid w:val="0079276C"/>
    <w:rsid w:val="00792A87"/>
    <w:rsid w:val="00792C49"/>
    <w:rsid w:val="00792F16"/>
    <w:rsid w:val="0079350C"/>
    <w:rsid w:val="007939CA"/>
    <w:rsid w:val="0079446D"/>
    <w:rsid w:val="0079453C"/>
    <w:rsid w:val="007951AE"/>
    <w:rsid w:val="00795BEE"/>
    <w:rsid w:val="00795CFB"/>
    <w:rsid w:val="00796274"/>
    <w:rsid w:val="007966F5"/>
    <w:rsid w:val="00796927"/>
    <w:rsid w:val="00796FDD"/>
    <w:rsid w:val="00797094"/>
    <w:rsid w:val="00797408"/>
    <w:rsid w:val="00797A60"/>
    <w:rsid w:val="007A08AA"/>
    <w:rsid w:val="007A0A12"/>
    <w:rsid w:val="007A0B36"/>
    <w:rsid w:val="007A0EA0"/>
    <w:rsid w:val="007A108F"/>
    <w:rsid w:val="007A132D"/>
    <w:rsid w:val="007A1345"/>
    <w:rsid w:val="007A1F1F"/>
    <w:rsid w:val="007A2476"/>
    <w:rsid w:val="007A29DD"/>
    <w:rsid w:val="007A2DDB"/>
    <w:rsid w:val="007A32F7"/>
    <w:rsid w:val="007A3451"/>
    <w:rsid w:val="007A38AF"/>
    <w:rsid w:val="007A3918"/>
    <w:rsid w:val="007A41C1"/>
    <w:rsid w:val="007A4989"/>
    <w:rsid w:val="007A4A2A"/>
    <w:rsid w:val="007A4F55"/>
    <w:rsid w:val="007A506B"/>
    <w:rsid w:val="007A549C"/>
    <w:rsid w:val="007A5CD7"/>
    <w:rsid w:val="007A61CA"/>
    <w:rsid w:val="007A6839"/>
    <w:rsid w:val="007A6E71"/>
    <w:rsid w:val="007A70BA"/>
    <w:rsid w:val="007A7276"/>
    <w:rsid w:val="007A762F"/>
    <w:rsid w:val="007A76E2"/>
    <w:rsid w:val="007A796F"/>
    <w:rsid w:val="007A7EC8"/>
    <w:rsid w:val="007B01A1"/>
    <w:rsid w:val="007B02A6"/>
    <w:rsid w:val="007B0AD7"/>
    <w:rsid w:val="007B0D68"/>
    <w:rsid w:val="007B0E39"/>
    <w:rsid w:val="007B0FEF"/>
    <w:rsid w:val="007B179A"/>
    <w:rsid w:val="007B1B52"/>
    <w:rsid w:val="007B1DE2"/>
    <w:rsid w:val="007B251D"/>
    <w:rsid w:val="007B2C3D"/>
    <w:rsid w:val="007B2D27"/>
    <w:rsid w:val="007B3533"/>
    <w:rsid w:val="007B39FD"/>
    <w:rsid w:val="007B3C79"/>
    <w:rsid w:val="007B402C"/>
    <w:rsid w:val="007B404A"/>
    <w:rsid w:val="007B42C4"/>
    <w:rsid w:val="007B43CE"/>
    <w:rsid w:val="007B4442"/>
    <w:rsid w:val="007B47C2"/>
    <w:rsid w:val="007B4801"/>
    <w:rsid w:val="007B4C8A"/>
    <w:rsid w:val="007B4E14"/>
    <w:rsid w:val="007B4E8B"/>
    <w:rsid w:val="007B4F58"/>
    <w:rsid w:val="007B50F3"/>
    <w:rsid w:val="007B5232"/>
    <w:rsid w:val="007B528D"/>
    <w:rsid w:val="007B534A"/>
    <w:rsid w:val="007B597C"/>
    <w:rsid w:val="007B6015"/>
    <w:rsid w:val="007B63CA"/>
    <w:rsid w:val="007B67FC"/>
    <w:rsid w:val="007B6B5E"/>
    <w:rsid w:val="007B6F0E"/>
    <w:rsid w:val="007B7700"/>
    <w:rsid w:val="007B77D1"/>
    <w:rsid w:val="007B7F04"/>
    <w:rsid w:val="007C03A9"/>
    <w:rsid w:val="007C07C7"/>
    <w:rsid w:val="007C14ED"/>
    <w:rsid w:val="007C1751"/>
    <w:rsid w:val="007C17F5"/>
    <w:rsid w:val="007C1CD9"/>
    <w:rsid w:val="007C28C1"/>
    <w:rsid w:val="007C2F75"/>
    <w:rsid w:val="007C301F"/>
    <w:rsid w:val="007C32EC"/>
    <w:rsid w:val="007C32EF"/>
    <w:rsid w:val="007C361D"/>
    <w:rsid w:val="007C3764"/>
    <w:rsid w:val="007C3D1B"/>
    <w:rsid w:val="007C40D2"/>
    <w:rsid w:val="007C467F"/>
    <w:rsid w:val="007C46D7"/>
    <w:rsid w:val="007C4B84"/>
    <w:rsid w:val="007C4C1B"/>
    <w:rsid w:val="007C4CC8"/>
    <w:rsid w:val="007C4F0A"/>
    <w:rsid w:val="007C5537"/>
    <w:rsid w:val="007C6444"/>
    <w:rsid w:val="007C66D8"/>
    <w:rsid w:val="007C6F31"/>
    <w:rsid w:val="007C70FF"/>
    <w:rsid w:val="007C7C25"/>
    <w:rsid w:val="007D004F"/>
    <w:rsid w:val="007D035F"/>
    <w:rsid w:val="007D037A"/>
    <w:rsid w:val="007D05F3"/>
    <w:rsid w:val="007D0678"/>
    <w:rsid w:val="007D06B2"/>
    <w:rsid w:val="007D0922"/>
    <w:rsid w:val="007D0ABB"/>
    <w:rsid w:val="007D0B38"/>
    <w:rsid w:val="007D0C5E"/>
    <w:rsid w:val="007D10A7"/>
    <w:rsid w:val="007D15C7"/>
    <w:rsid w:val="007D235E"/>
    <w:rsid w:val="007D2492"/>
    <w:rsid w:val="007D25A4"/>
    <w:rsid w:val="007D2C24"/>
    <w:rsid w:val="007D2DAE"/>
    <w:rsid w:val="007D2FF0"/>
    <w:rsid w:val="007D377D"/>
    <w:rsid w:val="007D38E9"/>
    <w:rsid w:val="007D3C7C"/>
    <w:rsid w:val="007D4222"/>
    <w:rsid w:val="007D436F"/>
    <w:rsid w:val="007D464C"/>
    <w:rsid w:val="007D46B4"/>
    <w:rsid w:val="007D4883"/>
    <w:rsid w:val="007D50F4"/>
    <w:rsid w:val="007D5440"/>
    <w:rsid w:val="007D5BE5"/>
    <w:rsid w:val="007D5F15"/>
    <w:rsid w:val="007D6159"/>
    <w:rsid w:val="007D63D4"/>
    <w:rsid w:val="007D649B"/>
    <w:rsid w:val="007D65F1"/>
    <w:rsid w:val="007D68B3"/>
    <w:rsid w:val="007D69EB"/>
    <w:rsid w:val="007D6DC0"/>
    <w:rsid w:val="007D7569"/>
    <w:rsid w:val="007D7A8E"/>
    <w:rsid w:val="007E00A4"/>
    <w:rsid w:val="007E022B"/>
    <w:rsid w:val="007E0682"/>
    <w:rsid w:val="007E090C"/>
    <w:rsid w:val="007E0CA4"/>
    <w:rsid w:val="007E0DAE"/>
    <w:rsid w:val="007E128F"/>
    <w:rsid w:val="007E18EF"/>
    <w:rsid w:val="007E197E"/>
    <w:rsid w:val="007E1AD2"/>
    <w:rsid w:val="007E24D6"/>
    <w:rsid w:val="007E2579"/>
    <w:rsid w:val="007E2629"/>
    <w:rsid w:val="007E277F"/>
    <w:rsid w:val="007E2BFE"/>
    <w:rsid w:val="007E2C39"/>
    <w:rsid w:val="007E2D50"/>
    <w:rsid w:val="007E3158"/>
    <w:rsid w:val="007E3184"/>
    <w:rsid w:val="007E3811"/>
    <w:rsid w:val="007E3A32"/>
    <w:rsid w:val="007E3C3D"/>
    <w:rsid w:val="007E4480"/>
    <w:rsid w:val="007E51A7"/>
    <w:rsid w:val="007E5337"/>
    <w:rsid w:val="007E542C"/>
    <w:rsid w:val="007E57C4"/>
    <w:rsid w:val="007E586C"/>
    <w:rsid w:val="007E5A1F"/>
    <w:rsid w:val="007E5E45"/>
    <w:rsid w:val="007E63ED"/>
    <w:rsid w:val="007E65F6"/>
    <w:rsid w:val="007E67FA"/>
    <w:rsid w:val="007E6CDC"/>
    <w:rsid w:val="007E6D54"/>
    <w:rsid w:val="007E7037"/>
    <w:rsid w:val="007E712A"/>
    <w:rsid w:val="007E7B0B"/>
    <w:rsid w:val="007E7FD8"/>
    <w:rsid w:val="007F0656"/>
    <w:rsid w:val="007F06EF"/>
    <w:rsid w:val="007F098F"/>
    <w:rsid w:val="007F1017"/>
    <w:rsid w:val="007F124A"/>
    <w:rsid w:val="007F1508"/>
    <w:rsid w:val="007F16D1"/>
    <w:rsid w:val="007F1948"/>
    <w:rsid w:val="007F196E"/>
    <w:rsid w:val="007F1ADB"/>
    <w:rsid w:val="007F1C07"/>
    <w:rsid w:val="007F24A1"/>
    <w:rsid w:val="007F2517"/>
    <w:rsid w:val="007F2BC2"/>
    <w:rsid w:val="007F2BC7"/>
    <w:rsid w:val="007F38BF"/>
    <w:rsid w:val="007F3DD4"/>
    <w:rsid w:val="007F42C7"/>
    <w:rsid w:val="007F442C"/>
    <w:rsid w:val="007F45A9"/>
    <w:rsid w:val="007F468A"/>
    <w:rsid w:val="007F49F3"/>
    <w:rsid w:val="007F4A3F"/>
    <w:rsid w:val="007F4A61"/>
    <w:rsid w:val="007F4B7C"/>
    <w:rsid w:val="007F4BF4"/>
    <w:rsid w:val="007F4E54"/>
    <w:rsid w:val="007F5255"/>
    <w:rsid w:val="007F553B"/>
    <w:rsid w:val="007F56CC"/>
    <w:rsid w:val="007F5AEC"/>
    <w:rsid w:val="007F5E2C"/>
    <w:rsid w:val="007F6004"/>
    <w:rsid w:val="007F61C2"/>
    <w:rsid w:val="007F667B"/>
    <w:rsid w:val="007F6BAA"/>
    <w:rsid w:val="007F6DC5"/>
    <w:rsid w:val="007F6EFD"/>
    <w:rsid w:val="007F7629"/>
    <w:rsid w:val="007F7642"/>
    <w:rsid w:val="007F7DCD"/>
    <w:rsid w:val="007F7DE1"/>
    <w:rsid w:val="007F7DF9"/>
    <w:rsid w:val="007F7EFB"/>
    <w:rsid w:val="00800A26"/>
    <w:rsid w:val="00800AE5"/>
    <w:rsid w:val="00800BB2"/>
    <w:rsid w:val="00800F2D"/>
    <w:rsid w:val="008011B6"/>
    <w:rsid w:val="00801C61"/>
    <w:rsid w:val="00801E8E"/>
    <w:rsid w:val="00801FD9"/>
    <w:rsid w:val="0080202E"/>
    <w:rsid w:val="0080262F"/>
    <w:rsid w:val="00803342"/>
    <w:rsid w:val="008033C0"/>
    <w:rsid w:val="00803F59"/>
    <w:rsid w:val="00804465"/>
    <w:rsid w:val="00804519"/>
    <w:rsid w:val="00805142"/>
    <w:rsid w:val="00805426"/>
    <w:rsid w:val="0080566B"/>
    <w:rsid w:val="00805C63"/>
    <w:rsid w:val="00805FCE"/>
    <w:rsid w:val="00806FD5"/>
    <w:rsid w:val="00807070"/>
    <w:rsid w:val="0080731D"/>
    <w:rsid w:val="008073C6"/>
    <w:rsid w:val="00807435"/>
    <w:rsid w:val="0080744B"/>
    <w:rsid w:val="008079A6"/>
    <w:rsid w:val="00807A8B"/>
    <w:rsid w:val="0081053E"/>
    <w:rsid w:val="00810744"/>
    <w:rsid w:val="00810C19"/>
    <w:rsid w:val="00810E56"/>
    <w:rsid w:val="00811383"/>
    <w:rsid w:val="00811611"/>
    <w:rsid w:val="0081176E"/>
    <w:rsid w:val="00811A51"/>
    <w:rsid w:val="00812147"/>
    <w:rsid w:val="00812149"/>
    <w:rsid w:val="00812482"/>
    <w:rsid w:val="00812CAC"/>
    <w:rsid w:val="00812F6B"/>
    <w:rsid w:val="0081375B"/>
    <w:rsid w:val="008138A2"/>
    <w:rsid w:val="00813A06"/>
    <w:rsid w:val="00813C73"/>
    <w:rsid w:val="00813E2E"/>
    <w:rsid w:val="00814033"/>
    <w:rsid w:val="00814152"/>
    <w:rsid w:val="0081473A"/>
    <w:rsid w:val="0081484A"/>
    <w:rsid w:val="00814854"/>
    <w:rsid w:val="008153CC"/>
    <w:rsid w:val="00815B77"/>
    <w:rsid w:val="00816361"/>
    <w:rsid w:val="008165D1"/>
    <w:rsid w:val="008166EF"/>
    <w:rsid w:val="0081675F"/>
    <w:rsid w:val="0081697E"/>
    <w:rsid w:val="00816B08"/>
    <w:rsid w:val="00816FEF"/>
    <w:rsid w:val="008170C4"/>
    <w:rsid w:val="008171B4"/>
    <w:rsid w:val="0081723D"/>
    <w:rsid w:val="008173A2"/>
    <w:rsid w:val="008173FF"/>
    <w:rsid w:val="0081759A"/>
    <w:rsid w:val="00817F1B"/>
    <w:rsid w:val="00817F4E"/>
    <w:rsid w:val="00817FBF"/>
    <w:rsid w:val="00820924"/>
    <w:rsid w:val="00820A8C"/>
    <w:rsid w:val="00820FCD"/>
    <w:rsid w:val="0082154C"/>
    <w:rsid w:val="008215FB"/>
    <w:rsid w:val="00821601"/>
    <w:rsid w:val="0082178A"/>
    <w:rsid w:val="00821BD9"/>
    <w:rsid w:val="00821E7C"/>
    <w:rsid w:val="00821F95"/>
    <w:rsid w:val="00822079"/>
    <w:rsid w:val="008220CC"/>
    <w:rsid w:val="0082282B"/>
    <w:rsid w:val="0082285E"/>
    <w:rsid w:val="00822927"/>
    <w:rsid w:val="00822ECD"/>
    <w:rsid w:val="00823174"/>
    <w:rsid w:val="008232EE"/>
    <w:rsid w:val="00823304"/>
    <w:rsid w:val="00823412"/>
    <w:rsid w:val="00823A85"/>
    <w:rsid w:val="00823AED"/>
    <w:rsid w:val="00823BF5"/>
    <w:rsid w:val="00823CF6"/>
    <w:rsid w:val="0082457B"/>
    <w:rsid w:val="00824832"/>
    <w:rsid w:val="00824DCE"/>
    <w:rsid w:val="008252DD"/>
    <w:rsid w:val="00825397"/>
    <w:rsid w:val="00825751"/>
    <w:rsid w:val="00825E8F"/>
    <w:rsid w:val="0082604A"/>
    <w:rsid w:val="008260D0"/>
    <w:rsid w:val="008264EB"/>
    <w:rsid w:val="008268CE"/>
    <w:rsid w:val="0082732C"/>
    <w:rsid w:val="008273FC"/>
    <w:rsid w:val="0082763F"/>
    <w:rsid w:val="00827C23"/>
    <w:rsid w:val="00827CE5"/>
    <w:rsid w:val="00827E82"/>
    <w:rsid w:val="00830103"/>
    <w:rsid w:val="008303A5"/>
    <w:rsid w:val="008312B5"/>
    <w:rsid w:val="00831716"/>
    <w:rsid w:val="00831772"/>
    <w:rsid w:val="0083184F"/>
    <w:rsid w:val="00831A3B"/>
    <w:rsid w:val="00831AAB"/>
    <w:rsid w:val="0083233B"/>
    <w:rsid w:val="0083262A"/>
    <w:rsid w:val="008328FB"/>
    <w:rsid w:val="00832E2E"/>
    <w:rsid w:val="00832FC6"/>
    <w:rsid w:val="008330C5"/>
    <w:rsid w:val="008335A4"/>
    <w:rsid w:val="008335D8"/>
    <w:rsid w:val="00833B05"/>
    <w:rsid w:val="00833D36"/>
    <w:rsid w:val="00834619"/>
    <w:rsid w:val="00834B91"/>
    <w:rsid w:val="00835022"/>
    <w:rsid w:val="00835511"/>
    <w:rsid w:val="0083565B"/>
    <w:rsid w:val="00835888"/>
    <w:rsid w:val="00836136"/>
    <w:rsid w:val="008362B4"/>
    <w:rsid w:val="00836BD0"/>
    <w:rsid w:val="008372E5"/>
    <w:rsid w:val="00837349"/>
    <w:rsid w:val="00837361"/>
    <w:rsid w:val="00837412"/>
    <w:rsid w:val="00837483"/>
    <w:rsid w:val="008379BF"/>
    <w:rsid w:val="008401AD"/>
    <w:rsid w:val="00840411"/>
    <w:rsid w:val="00840471"/>
    <w:rsid w:val="0084052A"/>
    <w:rsid w:val="0084076C"/>
    <w:rsid w:val="0084097F"/>
    <w:rsid w:val="00840CA2"/>
    <w:rsid w:val="00840F50"/>
    <w:rsid w:val="00840F57"/>
    <w:rsid w:val="0084142F"/>
    <w:rsid w:val="008415B1"/>
    <w:rsid w:val="00841615"/>
    <w:rsid w:val="00841958"/>
    <w:rsid w:val="00841CAB"/>
    <w:rsid w:val="0084248B"/>
    <w:rsid w:val="0084374F"/>
    <w:rsid w:val="00843914"/>
    <w:rsid w:val="00843BAC"/>
    <w:rsid w:val="00843C97"/>
    <w:rsid w:val="008440C0"/>
    <w:rsid w:val="008443F9"/>
    <w:rsid w:val="008448B0"/>
    <w:rsid w:val="008448EA"/>
    <w:rsid w:val="00844A22"/>
    <w:rsid w:val="008450A7"/>
    <w:rsid w:val="008454A7"/>
    <w:rsid w:val="008454F8"/>
    <w:rsid w:val="00845644"/>
    <w:rsid w:val="00846146"/>
    <w:rsid w:val="00846B83"/>
    <w:rsid w:val="00846F50"/>
    <w:rsid w:val="00847703"/>
    <w:rsid w:val="00847A96"/>
    <w:rsid w:val="00847C5B"/>
    <w:rsid w:val="00847DF5"/>
    <w:rsid w:val="00850188"/>
    <w:rsid w:val="00850B91"/>
    <w:rsid w:val="00850BD2"/>
    <w:rsid w:val="008515E6"/>
    <w:rsid w:val="00851FAA"/>
    <w:rsid w:val="00852542"/>
    <w:rsid w:val="00852590"/>
    <w:rsid w:val="008527D3"/>
    <w:rsid w:val="00852FA2"/>
    <w:rsid w:val="0085309D"/>
    <w:rsid w:val="00853A6C"/>
    <w:rsid w:val="00853A77"/>
    <w:rsid w:val="00853A97"/>
    <w:rsid w:val="00853F2E"/>
    <w:rsid w:val="00854040"/>
    <w:rsid w:val="00854B75"/>
    <w:rsid w:val="0085529E"/>
    <w:rsid w:val="0085529F"/>
    <w:rsid w:val="00855356"/>
    <w:rsid w:val="008557EE"/>
    <w:rsid w:val="00855C16"/>
    <w:rsid w:val="00855C63"/>
    <w:rsid w:val="00855CFE"/>
    <w:rsid w:val="008565DB"/>
    <w:rsid w:val="00856897"/>
    <w:rsid w:val="00856E9A"/>
    <w:rsid w:val="0085766B"/>
    <w:rsid w:val="00857868"/>
    <w:rsid w:val="00860465"/>
    <w:rsid w:val="0086075D"/>
    <w:rsid w:val="00860C1F"/>
    <w:rsid w:val="00861015"/>
    <w:rsid w:val="00861068"/>
    <w:rsid w:val="0086106E"/>
    <w:rsid w:val="0086116B"/>
    <w:rsid w:val="008613A4"/>
    <w:rsid w:val="00861413"/>
    <w:rsid w:val="008619C7"/>
    <w:rsid w:val="00861BFA"/>
    <w:rsid w:val="00861C65"/>
    <w:rsid w:val="00862502"/>
    <w:rsid w:val="00862A2F"/>
    <w:rsid w:val="00862BD9"/>
    <w:rsid w:val="00862CC1"/>
    <w:rsid w:val="00862F0B"/>
    <w:rsid w:val="00862FF3"/>
    <w:rsid w:val="00863654"/>
    <w:rsid w:val="008637D1"/>
    <w:rsid w:val="0086397E"/>
    <w:rsid w:val="00863A91"/>
    <w:rsid w:val="00863A99"/>
    <w:rsid w:val="00863DA9"/>
    <w:rsid w:val="00863F9D"/>
    <w:rsid w:val="008642A7"/>
    <w:rsid w:val="0086527E"/>
    <w:rsid w:val="00865419"/>
    <w:rsid w:val="008659F7"/>
    <w:rsid w:val="00865C13"/>
    <w:rsid w:val="0086605F"/>
    <w:rsid w:val="008660D4"/>
    <w:rsid w:val="008668B6"/>
    <w:rsid w:val="00866C6A"/>
    <w:rsid w:val="00866D1F"/>
    <w:rsid w:val="008671F6"/>
    <w:rsid w:val="0086750B"/>
    <w:rsid w:val="00867C18"/>
    <w:rsid w:val="00867C57"/>
    <w:rsid w:val="00867F35"/>
    <w:rsid w:val="0087007D"/>
    <w:rsid w:val="008704BB"/>
    <w:rsid w:val="0087088E"/>
    <w:rsid w:val="00870972"/>
    <w:rsid w:val="00870984"/>
    <w:rsid w:val="00870B15"/>
    <w:rsid w:val="00870BB1"/>
    <w:rsid w:val="00870DA0"/>
    <w:rsid w:val="00870DA7"/>
    <w:rsid w:val="0087156D"/>
    <w:rsid w:val="00871C58"/>
    <w:rsid w:val="00871EDA"/>
    <w:rsid w:val="00871FA9"/>
    <w:rsid w:val="00872279"/>
    <w:rsid w:val="00872456"/>
    <w:rsid w:val="00872523"/>
    <w:rsid w:val="008728E9"/>
    <w:rsid w:val="00872BB0"/>
    <w:rsid w:val="00872CEE"/>
    <w:rsid w:val="008737E2"/>
    <w:rsid w:val="0087415D"/>
    <w:rsid w:val="008743FD"/>
    <w:rsid w:val="00874C98"/>
    <w:rsid w:val="008750E3"/>
    <w:rsid w:val="00875112"/>
    <w:rsid w:val="008753D8"/>
    <w:rsid w:val="00875459"/>
    <w:rsid w:val="00875AD3"/>
    <w:rsid w:val="008766F4"/>
    <w:rsid w:val="00876B81"/>
    <w:rsid w:val="00876C7C"/>
    <w:rsid w:val="00876F79"/>
    <w:rsid w:val="008771BF"/>
    <w:rsid w:val="00877958"/>
    <w:rsid w:val="00877997"/>
    <w:rsid w:val="008779BE"/>
    <w:rsid w:val="008779D7"/>
    <w:rsid w:val="008779E9"/>
    <w:rsid w:val="00877F1D"/>
    <w:rsid w:val="00877F4C"/>
    <w:rsid w:val="00880335"/>
    <w:rsid w:val="008804BF"/>
    <w:rsid w:val="00880965"/>
    <w:rsid w:val="00880EA4"/>
    <w:rsid w:val="00880F70"/>
    <w:rsid w:val="00881199"/>
    <w:rsid w:val="00881261"/>
    <w:rsid w:val="008821F5"/>
    <w:rsid w:val="008823C6"/>
    <w:rsid w:val="00882430"/>
    <w:rsid w:val="0088246A"/>
    <w:rsid w:val="008827D9"/>
    <w:rsid w:val="00882874"/>
    <w:rsid w:val="00882C1A"/>
    <w:rsid w:val="00882E3C"/>
    <w:rsid w:val="0088308A"/>
    <w:rsid w:val="008830A1"/>
    <w:rsid w:val="00883589"/>
    <w:rsid w:val="00883787"/>
    <w:rsid w:val="00883E45"/>
    <w:rsid w:val="0088461E"/>
    <w:rsid w:val="00884980"/>
    <w:rsid w:val="00884F67"/>
    <w:rsid w:val="00885074"/>
    <w:rsid w:val="008855E4"/>
    <w:rsid w:val="00885824"/>
    <w:rsid w:val="00885AE1"/>
    <w:rsid w:val="00885C2D"/>
    <w:rsid w:val="00885F5E"/>
    <w:rsid w:val="00886237"/>
    <w:rsid w:val="00886386"/>
    <w:rsid w:val="008863C9"/>
    <w:rsid w:val="008865A4"/>
    <w:rsid w:val="00886BEB"/>
    <w:rsid w:val="00886CD2"/>
    <w:rsid w:val="00886E10"/>
    <w:rsid w:val="00887783"/>
    <w:rsid w:val="00887A64"/>
    <w:rsid w:val="00887BA5"/>
    <w:rsid w:val="00890288"/>
    <w:rsid w:val="008902FB"/>
    <w:rsid w:val="00890BAF"/>
    <w:rsid w:val="00890D82"/>
    <w:rsid w:val="0089138B"/>
    <w:rsid w:val="00891901"/>
    <w:rsid w:val="00891E6F"/>
    <w:rsid w:val="00892264"/>
    <w:rsid w:val="008922AB"/>
    <w:rsid w:val="008922AC"/>
    <w:rsid w:val="0089275D"/>
    <w:rsid w:val="00892A36"/>
    <w:rsid w:val="00892EB4"/>
    <w:rsid w:val="00892F9F"/>
    <w:rsid w:val="00893239"/>
    <w:rsid w:val="008933E7"/>
    <w:rsid w:val="00893673"/>
    <w:rsid w:val="00893777"/>
    <w:rsid w:val="00893789"/>
    <w:rsid w:val="00893A44"/>
    <w:rsid w:val="00893EB8"/>
    <w:rsid w:val="00893F6D"/>
    <w:rsid w:val="0089420E"/>
    <w:rsid w:val="008942E3"/>
    <w:rsid w:val="00894489"/>
    <w:rsid w:val="008946EA"/>
    <w:rsid w:val="008947ED"/>
    <w:rsid w:val="00894AB6"/>
    <w:rsid w:val="00894C60"/>
    <w:rsid w:val="00894CD6"/>
    <w:rsid w:val="00894E87"/>
    <w:rsid w:val="00894FB6"/>
    <w:rsid w:val="00895082"/>
    <w:rsid w:val="0089524A"/>
    <w:rsid w:val="008955FE"/>
    <w:rsid w:val="00895A8A"/>
    <w:rsid w:val="0089634F"/>
    <w:rsid w:val="008963A5"/>
    <w:rsid w:val="00896502"/>
    <w:rsid w:val="00896793"/>
    <w:rsid w:val="008967A2"/>
    <w:rsid w:val="00896A83"/>
    <w:rsid w:val="00896C41"/>
    <w:rsid w:val="00896D5D"/>
    <w:rsid w:val="00896F5D"/>
    <w:rsid w:val="00897290"/>
    <w:rsid w:val="00897484"/>
    <w:rsid w:val="00897864"/>
    <w:rsid w:val="00897B58"/>
    <w:rsid w:val="00897BB2"/>
    <w:rsid w:val="00897DB9"/>
    <w:rsid w:val="00897F61"/>
    <w:rsid w:val="00897FDC"/>
    <w:rsid w:val="008A04B2"/>
    <w:rsid w:val="008A0594"/>
    <w:rsid w:val="008A0601"/>
    <w:rsid w:val="008A06AF"/>
    <w:rsid w:val="008A0814"/>
    <w:rsid w:val="008A088A"/>
    <w:rsid w:val="008A1233"/>
    <w:rsid w:val="008A1436"/>
    <w:rsid w:val="008A1B02"/>
    <w:rsid w:val="008A2421"/>
    <w:rsid w:val="008A261F"/>
    <w:rsid w:val="008A269C"/>
    <w:rsid w:val="008A3158"/>
    <w:rsid w:val="008A3363"/>
    <w:rsid w:val="008A3371"/>
    <w:rsid w:val="008A364D"/>
    <w:rsid w:val="008A39AF"/>
    <w:rsid w:val="008A3C3E"/>
    <w:rsid w:val="008A4592"/>
    <w:rsid w:val="008A45D6"/>
    <w:rsid w:val="008A47B3"/>
    <w:rsid w:val="008A4A0B"/>
    <w:rsid w:val="008A4E9C"/>
    <w:rsid w:val="008A4F0E"/>
    <w:rsid w:val="008A5665"/>
    <w:rsid w:val="008A5B6A"/>
    <w:rsid w:val="008A678C"/>
    <w:rsid w:val="008A683E"/>
    <w:rsid w:val="008A6A6C"/>
    <w:rsid w:val="008A6CB0"/>
    <w:rsid w:val="008A79DE"/>
    <w:rsid w:val="008A7DBE"/>
    <w:rsid w:val="008A7FAF"/>
    <w:rsid w:val="008B0610"/>
    <w:rsid w:val="008B0B59"/>
    <w:rsid w:val="008B0EC5"/>
    <w:rsid w:val="008B1344"/>
    <w:rsid w:val="008B155B"/>
    <w:rsid w:val="008B15E9"/>
    <w:rsid w:val="008B1757"/>
    <w:rsid w:val="008B1C33"/>
    <w:rsid w:val="008B2170"/>
    <w:rsid w:val="008B278A"/>
    <w:rsid w:val="008B2BFA"/>
    <w:rsid w:val="008B2C73"/>
    <w:rsid w:val="008B3206"/>
    <w:rsid w:val="008B3A5A"/>
    <w:rsid w:val="008B48D6"/>
    <w:rsid w:val="008B4B6F"/>
    <w:rsid w:val="008B4B9D"/>
    <w:rsid w:val="008B5133"/>
    <w:rsid w:val="008B540B"/>
    <w:rsid w:val="008B5552"/>
    <w:rsid w:val="008B5C2B"/>
    <w:rsid w:val="008B6E97"/>
    <w:rsid w:val="008B7992"/>
    <w:rsid w:val="008B7D7E"/>
    <w:rsid w:val="008C0128"/>
    <w:rsid w:val="008C0A56"/>
    <w:rsid w:val="008C0DBA"/>
    <w:rsid w:val="008C11CC"/>
    <w:rsid w:val="008C1FC7"/>
    <w:rsid w:val="008C271D"/>
    <w:rsid w:val="008C2892"/>
    <w:rsid w:val="008C29E5"/>
    <w:rsid w:val="008C2CA8"/>
    <w:rsid w:val="008C33C1"/>
    <w:rsid w:val="008C44BA"/>
    <w:rsid w:val="008C522F"/>
    <w:rsid w:val="008C5610"/>
    <w:rsid w:val="008C5739"/>
    <w:rsid w:val="008C627C"/>
    <w:rsid w:val="008C66EA"/>
    <w:rsid w:val="008C6B73"/>
    <w:rsid w:val="008C6C95"/>
    <w:rsid w:val="008C7282"/>
    <w:rsid w:val="008C7430"/>
    <w:rsid w:val="008C74FD"/>
    <w:rsid w:val="008C75A5"/>
    <w:rsid w:val="008C7A80"/>
    <w:rsid w:val="008C7CB1"/>
    <w:rsid w:val="008C7ECB"/>
    <w:rsid w:val="008D0583"/>
    <w:rsid w:val="008D0814"/>
    <w:rsid w:val="008D0A27"/>
    <w:rsid w:val="008D1CBC"/>
    <w:rsid w:val="008D24C9"/>
    <w:rsid w:val="008D2922"/>
    <w:rsid w:val="008D2A45"/>
    <w:rsid w:val="008D2F8D"/>
    <w:rsid w:val="008D3A2D"/>
    <w:rsid w:val="008D3B86"/>
    <w:rsid w:val="008D3DE6"/>
    <w:rsid w:val="008D3E7A"/>
    <w:rsid w:val="008D3FA6"/>
    <w:rsid w:val="008D43FD"/>
    <w:rsid w:val="008D4755"/>
    <w:rsid w:val="008D4C3D"/>
    <w:rsid w:val="008D5B2B"/>
    <w:rsid w:val="008D5C2E"/>
    <w:rsid w:val="008D666D"/>
    <w:rsid w:val="008D670D"/>
    <w:rsid w:val="008D6746"/>
    <w:rsid w:val="008D67DF"/>
    <w:rsid w:val="008D697F"/>
    <w:rsid w:val="008D6A9A"/>
    <w:rsid w:val="008D714D"/>
    <w:rsid w:val="008D743C"/>
    <w:rsid w:val="008D76EC"/>
    <w:rsid w:val="008D793A"/>
    <w:rsid w:val="008E0222"/>
    <w:rsid w:val="008E0262"/>
    <w:rsid w:val="008E0898"/>
    <w:rsid w:val="008E0B93"/>
    <w:rsid w:val="008E0D3C"/>
    <w:rsid w:val="008E15D6"/>
    <w:rsid w:val="008E1829"/>
    <w:rsid w:val="008E1B9E"/>
    <w:rsid w:val="008E2759"/>
    <w:rsid w:val="008E276A"/>
    <w:rsid w:val="008E2843"/>
    <w:rsid w:val="008E2A97"/>
    <w:rsid w:val="008E3204"/>
    <w:rsid w:val="008E3296"/>
    <w:rsid w:val="008E3BCC"/>
    <w:rsid w:val="008E3F05"/>
    <w:rsid w:val="008E46CC"/>
    <w:rsid w:val="008E489F"/>
    <w:rsid w:val="008E4B13"/>
    <w:rsid w:val="008E4B50"/>
    <w:rsid w:val="008E4CD5"/>
    <w:rsid w:val="008E50F4"/>
    <w:rsid w:val="008E55AB"/>
    <w:rsid w:val="008E5F67"/>
    <w:rsid w:val="008E6692"/>
    <w:rsid w:val="008E68D7"/>
    <w:rsid w:val="008E6DB2"/>
    <w:rsid w:val="008E6E0B"/>
    <w:rsid w:val="008E72D3"/>
    <w:rsid w:val="008E74B5"/>
    <w:rsid w:val="008E7A7E"/>
    <w:rsid w:val="008E7D28"/>
    <w:rsid w:val="008F0050"/>
    <w:rsid w:val="008F04E1"/>
    <w:rsid w:val="008F080E"/>
    <w:rsid w:val="008F0A0E"/>
    <w:rsid w:val="008F0A9D"/>
    <w:rsid w:val="008F120A"/>
    <w:rsid w:val="008F135B"/>
    <w:rsid w:val="008F1C98"/>
    <w:rsid w:val="008F2453"/>
    <w:rsid w:val="008F2722"/>
    <w:rsid w:val="008F27E0"/>
    <w:rsid w:val="008F2E30"/>
    <w:rsid w:val="008F3014"/>
    <w:rsid w:val="008F3334"/>
    <w:rsid w:val="008F35B2"/>
    <w:rsid w:val="008F3670"/>
    <w:rsid w:val="008F3C13"/>
    <w:rsid w:val="008F466B"/>
    <w:rsid w:val="008F48EB"/>
    <w:rsid w:val="008F4F0B"/>
    <w:rsid w:val="008F5218"/>
    <w:rsid w:val="008F5837"/>
    <w:rsid w:val="008F5C9F"/>
    <w:rsid w:val="008F6FE2"/>
    <w:rsid w:val="008F702F"/>
    <w:rsid w:val="008F71DC"/>
    <w:rsid w:val="008F7425"/>
    <w:rsid w:val="008F78EC"/>
    <w:rsid w:val="008F797B"/>
    <w:rsid w:val="0090018E"/>
    <w:rsid w:val="00900931"/>
    <w:rsid w:val="00900C5C"/>
    <w:rsid w:val="00900E19"/>
    <w:rsid w:val="009010CE"/>
    <w:rsid w:val="00901597"/>
    <w:rsid w:val="009019FC"/>
    <w:rsid w:val="009029EC"/>
    <w:rsid w:val="00902D82"/>
    <w:rsid w:val="00902F97"/>
    <w:rsid w:val="00903200"/>
    <w:rsid w:val="00903277"/>
    <w:rsid w:val="009036B5"/>
    <w:rsid w:val="0090371C"/>
    <w:rsid w:val="009038D9"/>
    <w:rsid w:val="00903FD7"/>
    <w:rsid w:val="009046C4"/>
    <w:rsid w:val="00904861"/>
    <w:rsid w:val="00904A50"/>
    <w:rsid w:val="009050D2"/>
    <w:rsid w:val="00905157"/>
    <w:rsid w:val="00905FBA"/>
    <w:rsid w:val="0090616B"/>
    <w:rsid w:val="009062A5"/>
    <w:rsid w:val="009067BA"/>
    <w:rsid w:val="00906ECF"/>
    <w:rsid w:val="009074CE"/>
    <w:rsid w:val="009075A2"/>
    <w:rsid w:val="00907699"/>
    <w:rsid w:val="00907DAD"/>
    <w:rsid w:val="0091059C"/>
    <w:rsid w:val="009108A4"/>
    <w:rsid w:val="009109D2"/>
    <w:rsid w:val="00910FA7"/>
    <w:rsid w:val="00911272"/>
    <w:rsid w:val="00911339"/>
    <w:rsid w:val="00911CB6"/>
    <w:rsid w:val="00912427"/>
    <w:rsid w:val="009124F1"/>
    <w:rsid w:val="00912AFB"/>
    <w:rsid w:val="009135D6"/>
    <w:rsid w:val="009137AF"/>
    <w:rsid w:val="00913906"/>
    <w:rsid w:val="0091423D"/>
    <w:rsid w:val="00914265"/>
    <w:rsid w:val="00914AC2"/>
    <w:rsid w:val="00914C77"/>
    <w:rsid w:val="00914E78"/>
    <w:rsid w:val="0091539C"/>
    <w:rsid w:val="009155CE"/>
    <w:rsid w:val="00916861"/>
    <w:rsid w:val="00916CC5"/>
    <w:rsid w:val="00917202"/>
    <w:rsid w:val="009172EB"/>
    <w:rsid w:val="009172F5"/>
    <w:rsid w:val="00917834"/>
    <w:rsid w:val="009178A1"/>
    <w:rsid w:val="00920063"/>
    <w:rsid w:val="0092020F"/>
    <w:rsid w:val="009203AD"/>
    <w:rsid w:val="009207E0"/>
    <w:rsid w:val="00920952"/>
    <w:rsid w:val="00920BAE"/>
    <w:rsid w:val="00920E20"/>
    <w:rsid w:val="009214FF"/>
    <w:rsid w:val="00921ACB"/>
    <w:rsid w:val="0092209E"/>
    <w:rsid w:val="009222CE"/>
    <w:rsid w:val="009225BD"/>
    <w:rsid w:val="009229D5"/>
    <w:rsid w:val="0092315C"/>
    <w:rsid w:val="0092350F"/>
    <w:rsid w:val="0092369B"/>
    <w:rsid w:val="009238DD"/>
    <w:rsid w:val="00923AA3"/>
    <w:rsid w:val="00923BA8"/>
    <w:rsid w:val="00924008"/>
    <w:rsid w:val="00924840"/>
    <w:rsid w:val="00924BD1"/>
    <w:rsid w:val="0092595E"/>
    <w:rsid w:val="00925EE7"/>
    <w:rsid w:val="00925F41"/>
    <w:rsid w:val="00926451"/>
    <w:rsid w:val="009268D8"/>
    <w:rsid w:val="009269E2"/>
    <w:rsid w:val="00926EBD"/>
    <w:rsid w:val="0092713E"/>
    <w:rsid w:val="009273F4"/>
    <w:rsid w:val="009273F8"/>
    <w:rsid w:val="00927AB8"/>
    <w:rsid w:val="00927D9E"/>
    <w:rsid w:val="009309AC"/>
    <w:rsid w:val="00930AFE"/>
    <w:rsid w:val="00930D2E"/>
    <w:rsid w:val="00930ED8"/>
    <w:rsid w:val="009313EF"/>
    <w:rsid w:val="0093150E"/>
    <w:rsid w:val="00931D4F"/>
    <w:rsid w:val="00932014"/>
    <w:rsid w:val="009320E7"/>
    <w:rsid w:val="00932ECC"/>
    <w:rsid w:val="00933433"/>
    <w:rsid w:val="00933461"/>
    <w:rsid w:val="00933BA1"/>
    <w:rsid w:val="0093400A"/>
    <w:rsid w:val="009340E6"/>
    <w:rsid w:val="00934588"/>
    <w:rsid w:val="00934622"/>
    <w:rsid w:val="0093471C"/>
    <w:rsid w:val="0093495B"/>
    <w:rsid w:val="00934988"/>
    <w:rsid w:val="00934AE6"/>
    <w:rsid w:val="00934E72"/>
    <w:rsid w:val="00934EB7"/>
    <w:rsid w:val="00935156"/>
    <w:rsid w:val="00935668"/>
    <w:rsid w:val="00936302"/>
    <w:rsid w:val="00936372"/>
    <w:rsid w:val="009363B0"/>
    <w:rsid w:val="00936689"/>
    <w:rsid w:val="00936A7A"/>
    <w:rsid w:val="00936B5E"/>
    <w:rsid w:val="00936ED8"/>
    <w:rsid w:val="00937089"/>
    <w:rsid w:val="0093713F"/>
    <w:rsid w:val="009374ED"/>
    <w:rsid w:val="00937514"/>
    <w:rsid w:val="009375AB"/>
    <w:rsid w:val="0093780D"/>
    <w:rsid w:val="0094045F"/>
    <w:rsid w:val="00940787"/>
    <w:rsid w:val="0094081D"/>
    <w:rsid w:val="00940947"/>
    <w:rsid w:val="009409C7"/>
    <w:rsid w:val="00940CF7"/>
    <w:rsid w:val="00940ED1"/>
    <w:rsid w:val="0094122E"/>
    <w:rsid w:val="009414D4"/>
    <w:rsid w:val="00942877"/>
    <w:rsid w:val="009429F7"/>
    <w:rsid w:val="00942DB0"/>
    <w:rsid w:val="0094328C"/>
    <w:rsid w:val="009432B1"/>
    <w:rsid w:val="00943827"/>
    <w:rsid w:val="009438D4"/>
    <w:rsid w:val="00943A90"/>
    <w:rsid w:val="00943B62"/>
    <w:rsid w:val="00944157"/>
    <w:rsid w:val="00944F23"/>
    <w:rsid w:val="00944F8A"/>
    <w:rsid w:val="00944FD5"/>
    <w:rsid w:val="009451C2"/>
    <w:rsid w:val="00945574"/>
    <w:rsid w:val="00945EF9"/>
    <w:rsid w:val="00946061"/>
    <w:rsid w:val="009469EF"/>
    <w:rsid w:val="00946E74"/>
    <w:rsid w:val="00946F2E"/>
    <w:rsid w:val="00947DB6"/>
    <w:rsid w:val="009508A1"/>
    <w:rsid w:val="00950953"/>
    <w:rsid w:val="009509EC"/>
    <w:rsid w:val="00950A90"/>
    <w:rsid w:val="00950F92"/>
    <w:rsid w:val="00950FE7"/>
    <w:rsid w:val="009510A2"/>
    <w:rsid w:val="00951DAA"/>
    <w:rsid w:val="00951EF1"/>
    <w:rsid w:val="00952335"/>
    <w:rsid w:val="00952ABA"/>
    <w:rsid w:val="00952ACA"/>
    <w:rsid w:val="00952B12"/>
    <w:rsid w:val="00953257"/>
    <w:rsid w:val="00953A70"/>
    <w:rsid w:val="00953D7B"/>
    <w:rsid w:val="00953DC5"/>
    <w:rsid w:val="00954143"/>
    <w:rsid w:val="00954184"/>
    <w:rsid w:val="009542BC"/>
    <w:rsid w:val="009543B6"/>
    <w:rsid w:val="00954538"/>
    <w:rsid w:val="0095474C"/>
    <w:rsid w:val="00954E61"/>
    <w:rsid w:val="0095501A"/>
    <w:rsid w:val="009553E5"/>
    <w:rsid w:val="00955AA8"/>
    <w:rsid w:val="0095671D"/>
    <w:rsid w:val="00956945"/>
    <w:rsid w:val="00956950"/>
    <w:rsid w:val="00956BBC"/>
    <w:rsid w:val="00956EF0"/>
    <w:rsid w:val="0095702A"/>
    <w:rsid w:val="00957056"/>
    <w:rsid w:val="0095786A"/>
    <w:rsid w:val="00957D92"/>
    <w:rsid w:val="0096040F"/>
    <w:rsid w:val="009606C7"/>
    <w:rsid w:val="00960B98"/>
    <w:rsid w:val="00960EB5"/>
    <w:rsid w:val="009612E2"/>
    <w:rsid w:val="009614DF"/>
    <w:rsid w:val="00961A60"/>
    <w:rsid w:val="00962338"/>
    <w:rsid w:val="00962431"/>
    <w:rsid w:val="0096284F"/>
    <w:rsid w:val="00962CB9"/>
    <w:rsid w:val="00962F26"/>
    <w:rsid w:val="00963B1D"/>
    <w:rsid w:val="00963BC7"/>
    <w:rsid w:val="00964312"/>
    <w:rsid w:val="009643A8"/>
    <w:rsid w:val="0096469C"/>
    <w:rsid w:val="00964EFB"/>
    <w:rsid w:val="00965135"/>
    <w:rsid w:val="00965251"/>
    <w:rsid w:val="00965B8A"/>
    <w:rsid w:val="00965CFE"/>
    <w:rsid w:val="00965E2B"/>
    <w:rsid w:val="00966102"/>
    <w:rsid w:val="00966A30"/>
    <w:rsid w:val="00967D41"/>
    <w:rsid w:val="0097071F"/>
    <w:rsid w:val="00970A0A"/>
    <w:rsid w:val="009717AC"/>
    <w:rsid w:val="009719AA"/>
    <w:rsid w:val="009719C9"/>
    <w:rsid w:val="00971AB3"/>
    <w:rsid w:val="00971D2F"/>
    <w:rsid w:val="00971DF1"/>
    <w:rsid w:val="00972A2D"/>
    <w:rsid w:val="00972B26"/>
    <w:rsid w:val="00974C05"/>
    <w:rsid w:val="00974FBF"/>
    <w:rsid w:val="00974FC4"/>
    <w:rsid w:val="009751C1"/>
    <w:rsid w:val="00975E5F"/>
    <w:rsid w:val="0097602E"/>
    <w:rsid w:val="00976B4D"/>
    <w:rsid w:val="009777FB"/>
    <w:rsid w:val="00977A0B"/>
    <w:rsid w:val="00977A1A"/>
    <w:rsid w:val="00977CA8"/>
    <w:rsid w:val="00977D7D"/>
    <w:rsid w:val="00980483"/>
    <w:rsid w:val="009805C7"/>
    <w:rsid w:val="009807C6"/>
    <w:rsid w:val="00981179"/>
    <w:rsid w:val="009811F1"/>
    <w:rsid w:val="0098126F"/>
    <w:rsid w:val="009816C6"/>
    <w:rsid w:val="00981E47"/>
    <w:rsid w:val="009820C3"/>
    <w:rsid w:val="00982110"/>
    <w:rsid w:val="0098225C"/>
    <w:rsid w:val="0098262F"/>
    <w:rsid w:val="00982662"/>
    <w:rsid w:val="009830BA"/>
    <w:rsid w:val="00983305"/>
    <w:rsid w:val="00983952"/>
    <w:rsid w:val="00983C0B"/>
    <w:rsid w:val="00983D03"/>
    <w:rsid w:val="00983D4D"/>
    <w:rsid w:val="00983E57"/>
    <w:rsid w:val="009841E5"/>
    <w:rsid w:val="009842E2"/>
    <w:rsid w:val="009842F1"/>
    <w:rsid w:val="00984514"/>
    <w:rsid w:val="00984EBA"/>
    <w:rsid w:val="0098547F"/>
    <w:rsid w:val="00985DE2"/>
    <w:rsid w:val="00985E6A"/>
    <w:rsid w:val="00985EAF"/>
    <w:rsid w:val="00985F2C"/>
    <w:rsid w:val="00986212"/>
    <w:rsid w:val="0098663F"/>
    <w:rsid w:val="0098675D"/>
    <w:rsid w:val="009869AD"/>
    <w:rsid w:val="009876F2"/>
    <w:rsid w:val="00987BA4"/>
    <w:rsid w:val="0099018E"/>
    <w:rsid w:val="00990706"/>
    <w:rsid w:val="009907E0"/>
    <w:rsid w:val="009908E0"/>
    <w:rsid w:val="0099090D"/>
    <w:rsid w:val="00990A6A"/>
    <w:rsid w:val="00990A94"/>
    <w:rsid w:val="00990D39"/>
    <w:rsid w:val="00990FDC"/>
    <w:rsid w:val="00991632"/>
    <w:rsid w:val="009916B1"/>
    <w:rsid w:val="00991948"/>
    <w:rsid w:val="00991AF0"/>
    <w:rsid w:val="00991B04"/>
    <w:rsid w:val="00991FAE"/>
    <w:rsid w:val="009926E0"/>
    <w:rsid w:val="00992ADB"/>
    <w:rsid w:val="00992AED"/>
    <w:rsid w:val="00992CA8"/>
    <w:rsid w:val="009932AA"/>
    <w:rsid w:val="0099337C"/>
    <w:rsid w:val="009933CC"/>
    <w:rsid w:val="009935BD"/>
    <w:rsid w:val="0099374E"/>
    <w:rsid w:val="0099451E"/>
    <w:rsid w:val="009945FD"/>
    <w:rsid w:val="00994B91"/>
    <w:rsid w:val="00995073"/>
    <w:rsid w:val="009954DF"/>
    <w:rsid w:val="00996235"/>
    <w:rsid w:val="00996770"/>
    <w:rsid w:val="00996B1A"/>
    <w:rsid w:val="00996C7C"/>
    <w:rsid w:val="0099723D"/>
    <w:rsid w:val="00997285"/>
    <w:rsid w:val="009972B5"/>
    <w:rsid w:val="0099757E"/>
    <w:rsid w:val="0099785D"/>
    <w:rsid w:val="009978E3"/>
    <w:rsid w:val="009979F8"/>
    <w:rsid w:val="00997A47"/>
    <w:rsid w:val="00997B5E"/>
    <w:rsid w:val="009A042F"/>
    <w:rsid w:val="009A05CB"/>
    <w:rsid w:val="009A0802"/>
    <w:rsid w:val="009A0911"/>
    <w:rsid w:val="009A10F8"/>
    <w:rsid w:val="009A1429"/>
    <w:rsid w:val="009A14D4"/>
    <w:rsid w:val="009A18F6"/>
    <w:rsid w:val="009A1A5A"/>
    <w:rsid w:val="009A1BD3"/>
    <w:rsid w:val="009A1F1D"/>
    <w:rsid w:val="009A29E5"/>
    <w:rsid w:val="009A2BF0"/>
    <w:rsid w:val="009A2D40"/>
    <w:rsid w:val="009A2DCC"/>
    <w:rsid w:val="009A3680"/>
    <w:rsid w:val="009A376F"/>
    <w:rsid w:val="009A3835"/>
    <w:rsid w:val="009A3A7B"/>
    <w:rsid w:val="009A3AAA"/>
    <w:rsid w:val="009A45E7"/>
    <w:rsid w:val="009A4E30"/>
    <w:rsid w:val="009A4E32"/>
    <w:rsid w:val="009A50AC"/>
    <w:rsid w:val="009A58AD"/>
    <w:rsid w:val="009A5ABC"/>
    <w:rsid w:val="009A5FE8"/>
    <w:rsid w:val="009A66C8"/>
    <w:rsid w:val="009A694C"/>
    <w:rsid w:val="009A69A3"/>
    <w:rsid w:val="009A6AA9"/>
    <w:rsid w:val="009A6BF1"/>
    <w:rsid w:val="009A6EE9"/>
    <w:rsid w:val="009A72E3"/>
    <w:rsid w:val="009A76FE"/>
    <w:rsid w:val="009A79B4"/>
    <w:rsid w:val="009A7E72"/>
    <w:rsid w:val="009A7F10"/>
    <w:rsid w:val="009B0B87"/>
    <w:rsid w:val="009B0C97"/>
    <w:rsid w:val="009B173A"/>
    <w:rsid w:val="009B1CA1"/>
    <w:rsid w:val="009B20F5"/>
    <w:rsid w:val="009B2102"/>
    <w:rsid w:val="009B2860"/>
    <w:rsid w:val="009B2E6F"/>
    <w:rsid w:val="009B2F1C"/>
    <w:rsid w:val="009B3165"/>
    <w:rsid w:val="009B31F3"/>
    <w:rsid w:val="009B3498"/>
    <w:rsid w:val="009B355B"/>
    <w:rsid w:val="009B37EB"/>
    <w:rsid w:val="009B3A7B"/>
    <w:rsid w:val="009B3E26"/>
    <w:rsid w:val="009B3F66"/>
    <w:rsid w:val="009B4310"/>
    <w:rsid w:val="009B436C"/>
    <w:rsid w:val="009B46C3"/>
    <w:rsid w:val="009B4AC9"/>
    <w:rsid w:val="009B4E9B"/>
    <w:rsid w:val="009B51D1"/>
    <w:rsid w:val="009B56E4"/>
    <w:rsid w:val="009B586F"/>
    <w:rsid w:val="009B5BFB"/>
    <w:rsid w:val="009B6332"/>
    <w:rsid w:val="009B6988"/>
    <w:rsid w:val="009B6BD5"/>
    <w:rsid w:val="009B6BDB"/>
    <w:rsid w:val="009B6E8D"/>
    <w:rsid w:val="009B6F02"/>
    <w:rsid w:val="009B712A"/>
    <w:rsid w:val="009B7776"/>
    <w:rsid w:val="009B7F5D"/>
    <w:rsid w:val="009C0021"/>
    <w:rsid w:val="009C04FD"/>
    <w:rsid w:val="009C0575"/>
    <w:rsid w:val="009C0884"/>
    <w:rsid w:val="009C125C"/>
    <w:rsid w:val="009C1271"/>
    <w:rsid w:val="009C19DC"/>
    <w:rsid w:val="009C1A08"/>
    <w:rsid w:val="009C1BEA"/>
    <w:rsid w:val="009C2015"/>
    <w:rsid w:val="009C25AF"/>
    <w:rsid w:val="009C28A0"/>
    <w:rsid w:val="009C28DC"/>
    <w:rsid w:val="009C2A0D"/>
    <w:rsid w:val="009C2C89"/>
    <w:rsid w:val="009C324C"/>
    <w:rsid w:val="009C35F7"/>
    <w:rsid w:val="009C3706"/>
    <w:rsid w:val="009C3A3A"/>
    <w:rsid w:val="009C426B"/>
    <w:rsid w:val="009C4A91"/>
    <w:rsid w:val="009C5389"/>
    <w:rsid w:val="009C596F"/>
    <w:rsid w:val="009C5BA3"/>
    <w:rsid w:val="009C623C"/>
    <w:rsid w:val="009C656B"/>
    <w:rsid w:val="009C6694"/>
    <w:rsid w:val="009C6CEA"/>
    <w:rsid w:val="009C710F"/>
    <w:rsid w:val="009C71B3"/>
    <w:rsid w:val="009C7404"/>
    <w:rsid w:val="009C780D"/>
    <w:rsid w:val="009C7945"/>
    <w:rsid w:val="009C7B26"/>
    <w:rsid w:val="009C7B85"/>
    <w:rsid w:val="009D0143"/>
    <w:rsid w:val="009D0254"/>
    <w:rsid w:val="009D05AA"/>
    <w:rsid w:val="009D089D"/>
    <w:rsid w:val="009D0A5C"/>
    <w:rsid w:val="009D0E11"/>
    <w:rsid w:val="009D14D0"/>
    <w:rsid w:val="009D15B3"/>
    <w:rsid w:val="009D1925"/>
    <w:rsid w:val="009D1A64"/>
    <w:rsid w:val="009D2562"/>
    <w:rsid w:val="009D262D"/>
    <w:rsid w:val="009D2A46"/>
    <w:rsid w:val="009D2F1A"/>
    <w:rsid w:val="009D32F2"/>
    <w:rsid w:val="009D341F"/>
    <w:rsid w:val="009D34E7"/>
    <w:rsid w:val="009D360F"/>
    <w:rsid w:val="009D371F"/>
    <w:rsid w:val="009D3972"/>
    <w:rsid w:val="009D3F3B"/>
    <w:rsid w:val="009D41DE"/>
    <w:rsid w:val="009D4540"/>
    <w:rsid w:val="009D507F"/>
    <w:rsid w:val="009D567D"/>
    <w:rsid w:val="009D59FD"/>
    <w:rsid w:val="009D5B91"/>
    <w:rsid w:val="009D5FB3"/>
    <w:rsid w:val="009D62A4"/>
    <w:rsid w:val="009D64CD"/>
    <w:rsid w:val="009D709A"/>
    <w:rsid w:val="009D723A"/>
    <w:rsid w:val="009D7397"/>
    <w:rsid w:val="009D7433"/>
    <w:rsid w:val="009D7584"/>
    <w:rsid w:val="009D792E"/>
    <w:rsid w:val="009E0A3E"/>
    <w:rsid w:val="009E0B17"/>
    <w:rsid w:val="009E0CA9"/>
    <w:rsid w:val="009E0DFE"/>
    <w:rsid w:val="009E0F96"/>
    <w:rsid w:val="009E1068"/>
    <w:rsid w:val="009E1626"/>
    <w:rsid w:val="009E17B7"/>
    <w:rsid w:val="009E1839"/>
    <w:rsid w:val="009E1978"/>
    <w:rsid w:val="009E1C35"/>
    <w:rsid w:val="009E1DD7"/>
    <w:rsid w:val="009E1FAF"/>
    <w:rsid w:val="009E2173"/>
    <w:rsid w:val="009E2444"/>
    <w:rsid w:val="009E2E6A"/>
    <w:rsid w:val="009E301A"/>
    <w:rsid w:val="009E31F6"/>
    <w:rsid w:val="009E3271"/>
    <w:rsid w:val="009E32A6"/>
    <w:rsid w:val="009E43D9"/>
    <w:rsid w:val="009E46DC"/>
    <w:rsid w:val="009E4C07"/>
    <w:rsid w:val="009E4CED"/>
    <w:rsid w:val="009E4E0C"/>
    <w:rsid w:val="009E6061"/>
    <w:rsid w:val="009E616D"/>
    <w:rsid w:val="009E618A"/>
    <w:rsid w:val="009E6236"/>
    <w:rsid w:val="009E6713"/>
    <w:rsid w:val="009E675A"/>
    <w:rsid w:val="009E6D50"/>
    <w:rsid w:val="009E6EF9"/>
    <w:rsid w:val="009E6F15"/>
    <w:rsid w:val="009E7005"/>
    <w:rsid w:val="009E777F"/>
    <w:rsid w:val="009E7B6A"/>
    <w:rsid w:val="009E7DF2"/>
    <w:rsid w:val="009F019A"/>
    <w:rsid w:val="009F0937"/>
    <w:rsid w:val="009F0A36"/>
    <w:rsid w:val="009F0B6C"/>
    <w:rsid w:val="009F0B76"/>
    <w:rsid w:val="009F1071"/>
    <w:rsid w:val="009F14A6"/>
    <w:rsid w:val="009F1804"/>
    <w:rsid w:val="009F1B2D"/>
    <w:rsid w:val="009F1BFE"/>
    <w:rsid w:val="009F1C0B"/>
    <w:rsid w:val="009F28B6"/>
    <w:rsid w:val="009F2C63"/>
    <w:rsid w:val="009F3203"/>
    <w:rsid w:val="009F3669"/>
    <w:rsid w:val="009F39EE"/>
    <w:rsid w:val="009F3C8B"/>
    <w:rsid w:val="009F4139"/>
    <w:rsid w:val="009F42AB"/>
    <w:rsid w:val="009F4E85"/>
    <w:rsid w:val="009F5128"/>
    <w:rsid w:val="009F5535"/>
    <w:rsid w:val="009F5875"/>
    <w:rsid w:val="009F5BA6"/>
    <w:rsid w:val="009F6120"/>
    <w:rsid w:val="009F69E0"/>
    <w:rsid w:val="009F7977"/>
    <w:rsid w:val="009F7BA8"/>
    <w:rsid w:val="00A008BB"/>
    <w:rsid w:val="00A00CC4"/>
    <w:rsid w:val="00A00D76"/>
    <w:rsid w:val="00A00DAF"/>
    <w:rsid w:val="00A01159"/>
    <w:rsid w:val="00A01184"/>
    <w:rsid w:val="00A01297"/>
    <w:rsid w:val="00A01449"/>
    <w:rsid w:val="00A0155C"/>
    <w:rsid w:val="00A01BD3"/>
    <w:rsid w:val="00A01C92"/>
    <w:rsid w:val="00A023FA"/>
    <w:rsid w:val="00A027E9"/>
    <w:rsid w:val="00A02BC3"/>
    <w:rsid w:val="00A02E19"/>
    <w:rsid w:val="00A03113"/>
    <w:rsid w:val="00A031A2"/>
    <w:rsid w:val="00A03203"/>
    <w:rsid w:val="00A032C0"/>
    <w:rsid w:val="00A035BE"/>
    <w:rsid w:val="00A037C2"/>
    <w:rsid w:val="00A03D43"/>
    <w:rsid w:val="00A04380"/>
    <w:rsid w:val="00A04422"/>
    <w:rsid w:val="00A04786"/>
    <w:rsid w:val="00A047AE"/>
    <w:rsid w:val="00A04929"/>
    <w:rsid w:val="00A04B13"/>
    <w:rsid w:val="00A051B2"/>
    <w:rsid w:val="00A05472"/>
    <w:rsid w:val="00A05558"/>
    <w:rsid w:val="00A0587E"/>
    <w:rsid w:val="00A05B59"/>
    <w:rsid w:val="00A05C32"/>
    <w:rsid w:val="00A05DFA"/>
    <w:rsid w:val="00A06133"/>
    <w:rsid w:val="00A0653F"/>
    <w:rsid w:val="00A06574"/>
    <w:rsid w:val="00A066F8"/>
    <w:rsid w:val="00A0711C"/>
    <w:rsid w:val="00A074EC"/>
    <w:rsid w:val="00A075DE"/>
    <w:rsid w:val="00A07873"/>
    <w:rsid w:val="00A0794D"/>
    <w:rsid w:val="00A07B78"/>
    <w:rsid w:val="00A07D01"/>
    <w:rsid w:val="00A10005"/>
    <w:rsid w:val="00A10267"/>
    <w:rsid w:val="00A103C1"/>
    <w:rsid w:val="00A10530"/>
    <w:rsid w:val="00A1056C"/>
    <w:rsid w:val="00A10709"/>
    <w:rsid w:val="00A109CB"/>
    <w:rsid w:val="00A11222"/>
    <w:rsid w:val="00A11C57"/>
    <w:rsid w:val="00A11CD0"/>
    <w:rsid w:val="00A11FD3"/>
    <w:rsid w:val="00A120DB"/>
    <w:rsid w:val="00A12409"/>
    <w:rsid w:val="00A126A3"/>
    <w:rsid w:val="00A12852"/>
    <w:rsid w:val="00A12ECD"/>
    <w:rsid w:val="00A132A5"/>
    <w:rsid w:val="00A13948"/>
    <w:rsid w:val="00A1398F"/>
    <w:rsid w:val="00A13DC6"/>
    <w:rsid w:val="00A14F61"/>
    <w:rsid w:val="00A15346"/>
    <w:rsid w:val="00A1555B"/>
    <w:rsid w:val="00A155C5"/>
    <w:rsid w:val="00A15730"/>
    <w:rsid w:val="00A1628F"/>
    <w:rsid w:val="00A16AD8"/>
    <w:rsid w:val="00A17048"/>
    <w:rsid w:val="00A17306"/>
    <w:rsid w:val="00A17B31"/>
    <w:rsid w:val="00A17E9A"/>
    <w:rsid w:val="00A2021E"/>
    <w:rsid w:val="00A2025A"/>
    <w:rsid w:val="00A202D3"/>
    <w:rsid w:val="00A20979"/>
    <w:rsid w:val="00A20C0C"/>
    <w:rsid w:val="00A21455"/>
    <w:rsid w:val="00A216BD"/>
    <w:rsid w:val="00A2199A"/>
    <w:rsid w:val="00A21C95"/>
    <w:rsid w:val="00A21CF3"/>
    <w:rsid w:val="00A224CB"/>
    <w:rsid w:val="00A2264F"/>
    <w:rsid w:val="00A22CDE"/>
    <w:rsid w:val="00A22F6D"/>
    <w:rsid w:val="00A234EA"/>
    <w:rsid w:val="00A235BA"/>
    <w:rsid w:val="00A24277"/>
    <w:rsid w:val="00A24298"/>
    <w:rsid w:val="00A242DC"/>
    <w:rsid w:val="00A24813"/>
    <w:rsid w:val="00A24DB5"/>
    <w:rsid w:val="00A25569"/>
    <w:rsid w:val="00A25C90"/>
    <w:rsid w:val="00A27033"/>
    <w:rsid w:val="00A2724E"/>
    <w:rsid w:val="00A275C5"/>
    <w:rsid w:val="00A2789B"/>
    <w:rsid w:val="00A27AEC"/>
    <w:rsid w:val="00A300C8"/>
    <w:rsid w:val="00A30784"/>
    <w:rsid w:val="00A31010"/>
    <w:rsid w:val="00A3104E"/>
    <w:rsid w:val="00A313C9"/>
    <w:rsid w:val="00A31487"/>
    <w:rsid w:val="00A314C3"/>
    <w:rsid w:val="00A31AE4"/>
    <w:rsid w:val="00A320DB"/>
    <w:rsid w:val="00A32A55"/>
    <w:rsid w:val="00A332F0"/>
    <w:rsid w:val="00A3354B"/>
    <w:rsid w:val="00A33564"/>
    <w:rsid w:val="00A3379B"/>
    <w:rsid w:val="00A33AFF"/>
    <w:rsid w:val="00A33BF9"/>
    <w:rsid w:val="00A33F02"/>
    <w:rsid w:val="00A343AA"/>
    <w:rsid w:val="00A34805"/>
    <w:rsid w:val="00A34955"/>
    <w:rsid w:val="00A353E8"/>
    <w:rsid w:val="00A35D16"/>
    <w:rsid w:val="00A35F3F"/>
    <w:rsid w:val="00A35F72"/>
    <w:rsid w:val="00A36345"/>
    <w:rsid w:val="00A3664E"/>
    <w:rsid w:val="00A3687B"/>
    <w:rsid w:val="00A369D7"/>
    <w:rsid w:val="00A369F5"/>
    <w:rsid w:val="00A36A79"/>
    <w:rsid w:val="00A36B4B"/>
    <w:rsid w:val="00A36C34"/>
    <w:rsid w:val="00A37438"/>
    <w:rsid w:val="00A374F7"/>
    <w:rsid w:val="00A37505"/>
    <w:rsid w:val="00A375D7"/>
    <w:rsid w:val="00A37753"/>
    <w:rsid w:val="00A37BCD"/>
    <w:rsid w:val="00A37D54"/>
    <w:rsid w:val="00A37F92"/>
    <w:rsid w:val="00A4036F"/>
    <w:rsid w:val="00A41476"/>
    <w:rsid w:val="00A41667"/>
    <w:rsid w:val="00A41689"/>
    <w:rsid w:val="00A4187B"/>
    <w:rsid w:val="00A41C8E"/>
    <w:rsid w:val="00A4231E"/>
    <w:rsid w:val="00A42592"/>
    <w:rsid w:val="00A42665"/>
    <w:rsid w:val="00A42698"/>
    <w:rsid w:val="00A4292B"/>
    <w:rsid w:val="00A43018"/>
    <w:rsid w:val="00A4319C"/>
    <w:rsid w:val="00A43237"/>
    <w:rsid w:val="00A438BC"/>
    <w:rsid w:val="00A43C59"/>
    <w:rsid w:val="00A43DCB"/>
    <w:rsid w:val="00A43F77"/>
    <w:rsid w:val="00A4418A"/>
    <w:rsid w:val="00A4446A"/>
    <w:rsid w:val="00A444BE"/>
    <w:rsid w:val="00A446DB"/>
    <w:rsid w:val="00A451AB"/>
    <w:rsid w:val="00A45267"/>
    <w:rsid w:val="00A46477"/>
    <w:rsid w:val="00A478D1"/>
    <w:rsid w:val="00A507BA"/>
    <w:rsid w:val="00A50B07"/>
    <w:rsid w:val="00A50ECD"/>
    <w:rsid w:val="00A51576"/>
    <w:rsid w:val="00A517B1"/>
    <w:rsid w:val="00A518F3"/>
    <w:rsid w:val="00A51A39"/>
    <w:rsid w:val="00A51F4C"/>
    <w:rsid w:val="00A521A7"/>
    <w:rsid w:val="00A521ED"/>
    <w:rsid w:val="00A52729"/>
    <w:rsid w:val="00A527F5"/>
    <w:rsid w:val="00A53675"/>
    <w:rsid w:val="00A53E8A"/>
    <w:rsid w:val="00A53F42"/>
    <w:rsid w:val="00A54059"/>
    <w:rsid w:val="00A54173"/>
    <w:rsid w:val="00A541F5"/>
    <w:rsid w:val="00A54C53"/>
    <w:rsid w:val="00A54FFE"/>
    <w:rsid w:val="00A556EA"/>
    <w:rsid w:val="00A55B04"/>
    <w:rsid w:val="00A56248"/>
    <w:rsid w:val="00A564D7"/>
    <w:rsid w:val="00A567B8"/>
    <w:rsid w:val="00A56B6A"/>
    <w:rsid w:val="00A56FA9"/>
    <w:rsid w:val="00A571E5"/>
    <w:rsid w:val="00A5734A"/>
    <w:rsid w:val="00A57474"/>
    <w:rsid w:val="00A57775"/>
    <w:rsid w:val="00A578DC"/>
    <w:rsid w:val="00A57AA7"/>
    <w:rsid w:val="00A57B24"/>
    <w:rsid w:val="00A57B9E"/>
    <w:rsid w:val="00A57DDF"/>
    <w:rsid w:val="00A6000E"/>
    <w:rsid w:val="00A60158"/>
    <w:rsid w:val="00A60366"/>
    <w:rsid w:val="00A6044F"/>
    <w:rsid w:val="00A60467"/>
    <w:rsid w:val="00A60470"/>
    <w:rsid w:val="00A60775"/>
    <w:rsid w:val="00A60DA7"/>
    <w:rsid w:val="00A61DB1"/>
    <w:rsid w:val="00A62113"/>
    <w:rsid w:val="00A6243A"/>
    <w:rsid w:val="00A626EE"/>
    <w:rsid w:val="00A62E79"/>
    <w:rsid w:val="00A637D7"/>
    <w:rsid w:val="00A63AD4"/>
    <w:rsid w:val="00A640E2"/>
    <w:rsid w:val="00A64349"/>
    <w:rsid w:val="00A6452F"/>
    <w:rsid w:val="00A64640"/>
    <w:rsid w:val="00A64B3D"/>
    <w:rsid w:val="00A64D65"/>
    <w:rsid w:val="00A6577E"/>
    <w:rsid w:val="00A65CB0"/>
    <w:rsid w:val="00A65D7A"/>
    <w:rsid w:val="00A65E2C"/>
    <w:rsid w:val="00A6639E"/>
    <w:rsid w:val="00A6682E"/>
    <w:rsid w:val="00A66BA0"/>
    <w:rsid w:val="00A6725B"/>
    <w:rsid w:val="00A677EF"/>
    <w:rsid w:val="00A67931"/>
    <w:rsid w:val="00A7056F"/>
    <w:rsid w:val="00A70605"/>
    <w:rsid w:val="00A707EB"/>
    <w:rsid w:val="00A708CA"/>
    <w:rsid w:val="00A70C27"/>
    <w:rsid w:val="00A70CFB"/>
    <w:rsid w:val="00A70F58"/>
    <w:rsid w:val="00A71367"/>
    <w:rsid w:val="00A713B5"/>
    <w:rsid w:val="00A71621"/>
    <w:rsid w:val="00A71BA2"/>
    <w:rsid w:val="00A71DF7"/>
    <w:rsid w:val="00A722E0"/>
    <w:rsid w:val="00A7239F"/>
    <w:rsid w:val="00A72671"/>
    <w:rsid w:val="00A72A32"/>
    <w:rsid w:val="00A72AB1"/>
    <w:rsid w:val="00A72CE7"/>
    <w:rsid w:val="00A72EFD"/>
    <w:rsid w:val="00A73134"/>
    <w:rsid w:val="00A7316B"/>
    <w:rsid w:val="00A734F7"/>
    <w:rsid w:val="00A7365A"/>
    <w:rsid w:val="00A73B79"/>
    <w:rsid w:val="00A73C3A"/>
    <w:rsid w:val="00A7401B"/>
    <w:rsid w:val="00A743CE"/>
    <w:rsid w:val="00A74C82"/>
    <w:rsid w:val="00A75BB3"/>
    <w:rsid w:val="00A75E5B"/>
    <w:rsid w:val="00A76001"/>
    <w:rsid w:val="00A763AA"/>
    <w:rsid w:val="00A76557"/>
    <w:rsid w:val="00A76A3F"/>
    <w:rsid w:val="00A77053"/>
    <w:rsid w:val="00A77410"/>
    <w:rsid w:val="00A77510"/>
    <w:rsid w:val="00A777B2"/>
    <w:rsid w:val="00A77814"/>
    <w:rsid w:val="00A80D8B"/>
    <w:rsid w:val="00A81E22"/>
    <w:rsid w:val="00A8245E"/>
    <w:rsid w:val="00A8248A"/>
    <w:rsid w:val="00A825D4"/>
    <w:rsid w:val="00A82720"/>
    <w:rsid w:val="00A82781"/>
    <w:rsid w:val="00A828F6"/>
    <w:rsid w:val="00A82B73"/>
    <w:rsid w:val="00A82F44"/>
    <w:rsid w:val="00A8371B"/>
    <w:rsid w:val="00A84445"/>
    <w:rsid w:val="00A849BB"/>
    <w:rsid w:val="00A84B4D"/>
    <w:rsid w:val="00A84B94"/>
    <w:rsid w:val="00A84CEE"/>
    <w:rsid w:val="00A84EE7"/>
    <w:rsid w:val="00A85092"/>
    <w:rsid w:val="00A85886"/>
    <w:rsid w:val="00A85C6E"/>
    <w:rsid w:val="00A85CBF"/>
    <w:rsid w:val="00A85CF1"/>
    <w:rsid w:val="00A85D93"/>
    <w:rsid w:val="00A86270"/>
    <w:rsid w:val="00A8632B"/>
    <w:rsid w:val="00A864A9"/>
    <w:rsid w:val="00A86707"/>
    <w:rsid w:val="00A86903"/>
    <w:rsid w:val="00A86A61"/>
    <w:rsid w:val="00A86E8B"/>
    <w:rsid w:val="00A87164"/>
    <w:rsid w:val="00A871A9"/>
    <w:rsid w:val="00A8770D"/>
    <w:rsid w:val="00A87E3D"/>
    <w:rsid w:val="00A901FE"/>
    <w:rsid w:val="00A9029B"/>
    <w:rsid w:val="00A90A69"/>
    <w:rsid w:val="00A917C7"/>
    <w:rsid w:val="00A91925"/>
    <w:rsid w:val="00A91CBB"/>
    <w:rsid w:val="00A920E5"/>
    <w:rsid w:val="00A92902"/>
    <w:rsid w:val="00A92B13"/>
    <w:rsid w:val="00A92C16"/>
    <w:rsid w:val="00A92C25"/>
    <w:rsid w:val="00A93072"/>
    <w:rsid w:val="00A93356"/>
    <w:rsid w:val="00A934BA"/>
    <w:rsid w:val="00A934DC"/>
    <w:rsid w:val="00A935B0"/>
    <w:rsid w:val="00A937CE"/>
    <w:rsid w:val="00A93880"/>
    <w:rsid w:val="00A938BD"/>
    <w:rsid w:val="00A93953"/>
    <w:rsid w:val="00A93B4C"/>
    <w:rsid w:val="00A93F67"/>
    <w:rsid w:val="00A94059"/>
    <w:rsid w:val="00A943B7"/>
    <w:rsid w:val="00A9450E"/>
    <w:rsid w:val="00A947BB"/>
    <w:rsid w:val="00A94AB6"/>
    <w:rsid w:val="00A94F6D"/>
    <w:rsid w:val="00A952E1"/>
    <w:rsid w:val="00A959D8"/>
    <w:rsid w:val="00A963AB"/>
    <w:rsid w:val="00A96C75"/>
    <w:rsid w:val="00A97334"/>
    <w:rsid w:val="00A974A4"/>
    <w:rsid w:val="00A97601"/>
    <w:rsid w:val="00A97763"/>
    <w:rsid w:val="00AA02AD"/>
    <w:rsid w:val="00AA0C84"/>
    <w:rsid w:val="00AA0CBC"/>
    <w:rsid w:val="00AA0DC2"/>
    <w:rsid w:val="00AA0EA6"/>
    <w:rsid w:val="00AA113D"/>
    <w:rsid w:val="00AA17EF"/>
    <w:rsid w:val="00AA1F11"/>
    <w:rsid w:val="00AA21D6"/>
    <w:rsid w:val="00AA25E4"/>
    <w:rsid w:val="00AA2C64"/>
    <w:rsid w:val="00AA2C6D"/>
    <w:rsid w:val="00AA3110"/>
    <w:rsid w:val="00AA339E"/>
    <w:rsid w:val="00AA3481"/>
    <w:rsid w:val="00AA3FBC"/>
    <w:rsid w:val="00AA4C99"/>
    <w:rsid w:val="00AA4CA9"/>
    <w:rsid w:val="00AA4F68"/>
    <w:rsid w:val="00AA56F9"/>
    <w:rsid w:val="00AA57F5"/>
    <w:rsid w:val="00AA60DA"/>
    <w:rsid w:val="00AA66B4"/>
    <w:rsid w:val="00AA6B79"/>
    <w:rsid w:val="00AA6BD5"/>
    <w:rsid w:val="00AA6BD8"/>
    <w:rsid w:val="00AA6C7D"/>
    <w:rsid w:val="00AA715C"/>
    <w:rsid w:val="00AA7823"/>
    <w:rsid w:val="00AA7FD6"/>
    <w:rsid w:val="00AB042A"/>
    <w:rsid w:val="00AB0D20"/>
    <w:rsid w:val="00AB11AD"/>
    <w:rsid w:val="00AB1352"/>
    <w:rsid w:val="00AB1670"/>
    <w:rsid w:val="00AB19EF"/>
    <w:rsid w:val="00AB1AA4"/>
    <w:rsid w:val="00AB1F67"/>
    <w:rsid w:val="00AB20EC"/>
    <w:rsid w:val="00AB2495"/>
    <w:rsid w:val="00AB27F6"/>
    <w:rsid w:val="00AB2D34"/>
    <w:rsid w:val="00AB2EB5"/>
    <w:rsid w:val="00AB31B9"/>
    <w:rsid w:val="00AB3430"/>
    <w:rsid w:val="00AB36C4"/>
    <w:rsid w:val="00AB37B9"/>
    <w:rsid w:val="00AB382D"/>
    <w:rsid w:val="00AB3E5B"/>
    <w:rsid w:val="00AB3E60"/>
    <w:rsid w:val="00AB3F69"/>
    <w:rsid w:val="00AB3FF6"/>
    <w:rsid w:val="00AB4054"/>
    <w:rsid w:val="00AB422F"/>
    <w:rsid w:val="00AB4296"/>
    <w:rsid w:val="00AB49A8"/>
    <w:rsid w:val="00AB4AD1"/>
    <w:rsid w:val="00AB4D97"/>
    <w:rsid w:val="00AB5649"/>
    <w:rsid w:val="00AB5E07"/>
    <w:rsid w:val="00AB5EF8"/>
    <w:rsid w:val="00AB620E"/>
    <w:rsid w:val="00AB6244"/>
    <w:rsid w:val="00AB654F"/>
    <w:rsid w:val="00AB6A36"/>
    <w:rsid w:val="00AB6FEB"/>
    <w:rsid w:val="00AB7044"/>
    <w:rsid w:val="00AB7BF2"/>
    <w:rsid w:val="00AB7CFA"/>
    <w:rsid w:val="00AB7F78"/>
    <w:rsid w:val="00AC04A9"/>
    <w:rsid w:val="00AC0931"/>
    <w:rsid w:val="00AC2294"/>
    <w:rsid w:val="00AC29E7"/>
    <w:rsid w:val="00AC2D38"/>
    <w:rsid w:val="00AC3071"/>
    <w:rsid w:val="00AC37F9"/>
    <w:rsid w:val="00AC38EB"/>
    <w:rsid w:val="00AC3902"/>
    <w:rsid w:val="00AC3A29"/>
    <w:rsid w:val="00AC3DD5"/>
    <w:rsid w:val="00AC40E9"/>
    <w:rsid w:val="00AC43A4"/>
    <w:rsid w:val="00AC45C3"/>
    <w:rsid w:val="00AC4829"/>
    <w:rsid w:val="00AC4866"/>
    <w:rsid w:val="00AC4F37"/>
    <w:rsid w:val="00AC531D"/>
    <w:rsid w:val="00AC5400"/>
    <w:rsid w:val="00AC54F4"/>
    <w:rsid w:val="00AC5A0C"/>
    <w:rsid w:val="00AC5A64"/>
    <w:rsid w:val="00AC5B42"/>
    <w:rsid w:val="00AC5B48"/>
    <w:rsid w:val="00AC5D52"/>
    <w:rsid w:val="00AC6B78"/>
    <w:rsid w:val="00AC7006"/>
    <w:rsid w:val="00AC7496"/>
    <w:rsid w:val="00AC7FC0"/>
    <w:rsid w:val="00AD08BA"/>
    <w:rsid w:val="00AD0A3F"/>
    <w:rsid w:val="00AD0A6F"/>
    <w:rsid w:val="00AD0B0C"/>
    <w:rsid w:val="00AD10C2"/>
    <w:rsid w:val="00AD1208"/>
    <w:rsid w:val="00AD1450"/>
    <w:rsid w:val="00AD15E8"/>
    <w:rsid w:val="00AD1850"/>
    <w:rsid w:val="00AD1C30"/>
    <w:rsid w:val="00AD1D17"/>
    <w:rsid w:val="00AD232B"/>
    <w:rsid w:val="00AD2CCD"/>
    <w:rsid w:val="00AD2FE8"/>
    <w:rsid w:val="00AD31B6"/>
    <w:rsid w:val="00AD356D"/>
    <w:rsid w:val="00AD383D"/>
    <w:rsid w:val="00AD3916"/>
    <w:rsid w:val="00AD397C"/>
    <w:rsid w:val="00AD39ED"/>
    <w:rsid w:val="00AD3A57"/>
    <w:rsid w:val="00AD3B46"/>
    <w:rsid w:val="00AD3B88"/>
    <w:rsid w:val="00AD4A22"/>
    <w:rsid w:val="00AD5245"/>
    <w:rsid w:val="00AD544F"/>
    <w:rsid w:val="00AD551B"/>
    <w:rsid w:val="00AD6308"/>
    <w:rsid w:val="00AD6502"/>
    <w:rsid w:val="00AD682D"/>
    <w:rsid w:val="00AD69FC"/>
    <w:rsid w:val="00AD733F"/>
    <w:rsid w:val="00AD791C"/>
    <w:rsid w:val="00AD7BC3"/>
    <w:rsid w:val="00AD7CF9"/>
    <w:rsid w:val="00AE0051"/>
    <w:rsid w:val="00AE01B2"/>
    <w:rsid w:val="00AE0269"/>
    <w:rsid w:val="00AE0464"/>
    <w:rsid w:val="00AE0599"/>
    <w:rsid w:val="00AE0695"/>
    <w:rsid w:val="00AE0696"/>
    <w:rsid w:val="00AE0930"/>
    <w:rsid w:val="00AE0AE7"/>
    <w:rsid w:val="00AE111C"/>
    <w:rsid w:val="00AE11A7"/>
    <w:rsid w:val="00AE1B9A"/>
    <w:rsid w:val="00AE1DC8"/>
    <w:rsid w:val="00AE25EE"/>
    <w:rsid w:val="00AE25F6"/>
    <w:rsid w:val="00AE26C9"/>
    <w:rsid w:val="00AE29B0"/>
    <w:rsid w:val="00AE2F5C"/>
    <w:rsid w:val="00AE3893"/>
    <w:rsid w:val="00AE397C"/>
    <w:rsid w:val="00AE3DAF"/>
    <w:rsid w:val="00AE3E7E"/>
    <w:rsid w:val="00AE44CC"/>
    <w:rsid w:val="00AE4892"/>
    <w:rsid w:val="00AE4B19"/>
    <w:rsid w:val="00AE4FA2"/>
    <w:rsid w:val="00AE4FCB"/>
    <w:rsid w:val="00AE538A"/>
    <w:rsid w:val="00AE571B"/>
    <w:rsid w:val="00AE61DA"/>
    <w:rsid w:val="00AE623C"/>
    <w:rsid w:val="00AE658A"/>
    <w:rsid w:val="00AE65BC"/>
    <w:rsid w:val="00AE670E"/>
    <w:rsid w:val="00AE70C6"/>
    <w:rsid w:val="00AE70D2"/>
    <w:rsid w:val="00AE76C6"/>
    <w:rsid w:val="00AE7E53"/>
    <w:rsid w:val="00AF0539"/>
    <w:rsid w:val="00AF0609"/>
    <w:rsid w:val="00AF0723"/>
    <w:rsid w:val="00AF0901"/>
    <w:rsid w:val="00AF10CE"/>
    <w:rsid w:val="00AF1315"/>
    <w:rsid w:val="00AF19BF"/>
    <w:rsid w:val="00AF213E"/>
    <w:rsid w:val="00AF2220"/>
    <w:rsid w:val="00AF22F7"/>
    <w:rsid w:val="00AF230F"/>
    <w:rsid w:val="00AF2316"/>
    <w:rsid w:val="00AF2506"/>
    <w:rsid w:val="00AF27EF"/>
    <w:rsid w:val="00AF2920"/>
    <w:rsid w:val="00AF297B"/>
    <w:rsid w:val="00AF2DC3"/>
    <w:rsid w:val="00AF30C8"/>
    <w:rsid w:val="00AF34D0"/>
    <w:rsid w:val="00AF3C9C"/>
    <w:rsid w:val="00AF40F8"/>
    <w:rsid w:val="00AF41A3"/>
    <w:rsid w:val="00AF4D50"/>
    <w:rsid w:val="00AF4D97"/>
    <w:rsid w:val="00AF4F0F"/>
    <w:rsid w:val="00AF51F0"/>
    <w:rsid w:val="00AF652E"/>
    <w:rsid w:val="00AF6C7E"/>
    <w:rsid w:val="00AF7495"/>
    <w:rsid w:val="00AF7A81"/>
    <w:rsid w:val="00AF7ACC"/>
    <w:rsid w:val="00AF7C56"/>
    <w:rsid w:val="00AF7C9F"/>
    <w:rsid w:val="00B007A9"/>
    <w:rsid w:val="00B0087B"/>
    <w:rsid w:val="00B00D5A"/>
    <w:rsid w:val="00B0191A"/>
    <w:rsid w:val="00B01C77"/>
    <w:rsid w:val="00B01F8E"/>
    <w:rsid w:val="00B024C7"/>
    <w:rsid w:val="00B02760"/>
    <w:rsid w:val="00B02878"/>
    <w:rsid w:val="00B02913"/>
    <w:rsid w:val="00B02AE6"/>
    <w:rsid w:val="00B02BFE"/>
    <w:rsid w:val="00B02FCB"/>
    <w:rsid w:val="00B033E5"/>
    <w:rsid w:val="00B03A63"/>
    <w:rsid w:val="00B03C72"/>
    <w:rsid w:val="00B043BA"/>
    <w:rsid w:val="00B04874"/>
    <w:rsid w:val="00B04CE6"/>
    <w:rsid w:val="00B04D9A"/>
    <w:rsid w:val="00B0504A"/>
    <w:rsid w:val="00B0547E"/>
    <w:rsid w:val="00B05B3A"/>
    <w:rsid w:val="00B05D64"/>
    <w:rsid w:val="00B05E7F"/>
    <w:rsid w:val="00B06596"/>
    <w:rsid w:val="00B071FD"/>
    <w:rsid w:val="00B07279"/>
    <w:rsid w:val="00B07D62"/>
    <w:rsid w:val="00B10BFC"/>
    <w:rsid w:val="00B11045"/>
    <w:rsid w:val="00B1156A"/>
    <w:rsid w:val="00B11C06"/>
    <w:rsid w:val="00B122B2"/>
    <w:rsid w:val="00B1265F"/>
    <w:rsid w:val="00B129A4"/>
    <w:rsid w:val="00B12A69"/>
    <w:rsid w:val="00B134F7"/>
    <w:rsid w:val="00B146A0"/>
    <w:rsid w:val="00B156EC"/>
    <w:rsid w:val="00B156F0"/>
    <w:rsid w:val="00B15C52"/>
    <w:rsid w:val="00B1675A"/>
    <w:rsid w:val="00B16794"/>
    <w:rsid w:val="00B16FDB"/>
    <w:rsid w:val="00B1723F"/>
    <w:rsid w:val="00B17423"/>
    <w:rsid w:val="00B200AA"/>
    <w:rsid w:val="00B201A4"/>
    <w:rsid w:val="00B201D1"/>
    <w:rsid w:val="00B20264"/>
    <w:rsid w:val="00B2031A"/>
    <w:rsid w:val="00B2035F"/>
    <w:rsid w:val="00B20370"/>
    <w:rsid w:val="00B207A9"/>
    <w:rsid w:val="00B20802"/>
    <w:rsid w:val="00B20AAD"/>
    <w:rsid w:val="00B213A6"/>
    <w:rsid w:val="00B21BC6"/>
    <w:rsid w:val="00B229BE"/>
    <w:rsid w:val="00B22EB1"/>
    <w:rsid w:val="00B22FB0"/>
    <w:rsid w:val="00B2313A"/>
    <w:rsid w:val="00B23273"/>
    <w:rsid w:val="00B233F7"/>
    <w:rsid w:val="00B2347A"/>
    <w:rsid w:val="00B234B7"/>
    <w:rsid w:val="00B23593"/>
    <w:rsid w:val="00B235B0"/>
    <w:rsid w:val="00B238C6"/>
    <w:rsid w:val="00B23ABE"/>
    <w:rsid w:val="00B23BAB"/>
    <w:rsid w:val="00B23F1B"/>
    <w:rsid w:val="00B24244"/>
    <w:rsid w:val="00B24DF6"/>
    <w:rsid w:val="00B25072"/>
    <w:rsid w:val="00B250CD"/>
    <w:rsid w:val="00B25C23"/>
    <w:rsid w:val="00B25F57"/>
    <w:rsid w:val="00B26590"/>
    <w:rsid w:val="00B2666C"/>
    <w:rsid w:val="00B267D3"/>
    <w:rsid w:val="00B26AC4"/>
    <w:rsid w:val="00B26EF8"/>
    <w:rsid w:val="00B2740E"/>
    <w:rsid w:val="00B27515"/>
    <w:rsid w:val="00B278C7"/>
    <w:rsid w:val="00B2791A"/>
    <w:rsid w:val="00B27958"/>
    <w:rsid w:val="00B27A61"/>
    <w:rsid w:val="00B27C0E"/>
    <w:rsid w:val="00B27D11"/>
    <w:rsid w:val="00B27FC5"/>
    <w:rsid w:val="00B300F1"/>
    <w:rsid w:val="00B3019C"/>
    <w:rsid w:val="00B30396"/>
    <w:rsid w:val="00B304A3"/>
    <w:rsid w:val="00B306B2"/>
    <w:rsid w:val="00B30719"/>
    <w:rsid w:val="00B30B21"/>
    <w:rsid w:val="00B312A8"/>
    <w:rsid w:val="00B31674"/>
    <w:rsid w:val="00B3172C"/>
    <w:rsid w:val="00B31964"/>
    <w:rsid w:val="00B31BBD"/>
    <w:rsid w:val="00B31E6E"/>
    <w:rsid w:val="00B31E91"/>
    <w:rsid w:val="00B31FB6"/>
    <w:rsid w:val="00B32076"/>
    <w:rsid w:val="00B327C1"/>
    <w:rsid w:val="00B32CF9"/>
    <w:rsid w:val="00B338EC"/>
    <w:rsid w:val="00B338F9"/>
    <w:rsid w:val="00B339C2"/>
    <w:rsid w:val="00B34841"/>
    <w:rsid w:val="00B34A17"/>
    <w:rsid w:val="00B34B47"/>
    <w:rsid w:val="00B34C11"/>
    <w:rsid w:val="00B34C96"/>
    <w:rsid w:val="00B34FE2"/>
    <w:rsid w:val="00B35166"/>
    <w:rsid w:val="00B35533"/>
    <w:rsid w:val="00B357D8"/>
    <w:rsid w:val="00B35821"/>
    <w:rsid w:val="00B35823"/>
    <w:rsid w:val="00B35CE9"/>
    <w:rsid w:val="00B360F4"/>
    <w:rsid w:val="00B362D8"/>
    <w:rsid w:val="00B36316"/>
    <w:rsid w:val="00B36603"/>
    <w:rsid w:val="00B36A00"/>
    <w:rsid w:val="00B36AB6"/>
    <w:rsid w:val="00B36EE1"/>
    <w:rsid w:val="00B373D8"/>
    <w:rsid w:val="00B377FE"/>
    <w:rsid w:val="00B37895"/>
    <w:rsid w:val="00B3789F"/>
    <w:rsid w:val="00B3792B"/>
    <w:rsid w:val="00B3797D"/>
    <w:rsid w:val="00B379ED"/>
    <w:rsid w:val="00B37BFC"/>
    <w:rsid w:val="00B37EF0"/>
    <w:rsid w:val="00B40358"/>
    <w:rsid w:val="00B4062C"/>
    <w:rsid w:val="00B407D7"/>
    <w:rsid w:val="00B40E7F"/>
    <w:rsid w:val="00B411A4"/>
    <w:rsid w:val="00B4129F"/>
    <w:rsid w:val="00B41342"/>
    <w:rsid w:val="00B41478"/>
    <w:rsid w:val="00B41614"/>
    <w:rsid w:val="00B41B44"/>
    <w:rsid w:val="00B41BCF"/>
    <w:rsid w:val="00B41DC8"/>
    <w:rsid w:val="00B4224A"/>
    <w:rsid w:val="00B4251F"/>
    <w:rsid w:val="00B42851"/>
    <w:rsid w:val="00B4299F"/>
    <w:rsid w:val="00B42AF8"/>
    <w:rsid w:val="00B42F80"/>
    <w:rsid w:val="00B4313B"/>
    <w:rsid w:val="00B431A5"/>
    <w:rsid w:val="00B434C5"/>
    <w:rsid w:val="00B43511"/>
    <w:rsid w:val="00B435CB"/>
    <w:rsid w:val="00B43811"/>
    <w:rsid w:val="00B43B0A"/>
    <w:rsid w:val="00B43FED"/>
    <w:rsid w:val="00B44AB8"/>
    <w:rsid w:val="00B44B3B"/>
    <w:rsid w:val="00B45291"/>
    <w:rsid w:val="00B454D6"/>
    <w:rsid w:val="00B45557"/>
    <w:rsid w:val="00B455A0"/>
    <w:rsid w:val="00B45764"/>
    <w:rsid w:val="00B458E4"/>
    <w:rsid w:val="00B46411"/>
    <w:rsid w:val="00B4658F"/>
    <w:rsid w:val="00B465EC"/>
    <w:rsid w:val="00B46CB6"/>
    <w:rsid w:val="00B47BE0"/>
    <w:rsid w:val="00B505C8"/>
    <w:rsid w:val="00B50831"/>
    <w:rsid w:val="00B50DB8"/>
    <w:rsid w:val="00B5142D"/>
    <w:rsid w:val="00B51689"/>
    <w:rsid w:val="00B51B06"/>
    <w:rsid w:val="00B51E05"/>
    <w:rsid w:val="00B52078"/>
    <w:rsid w:val="00B522AC"/>
    <w:rsid w:val="00B52365"/>
    <w:rsid w:val="00B523F9"/>
    <w:rsid w:val="00B523FA"/>
    <w:rsid w:val="00B52B1E"/>
    <w:rsid w:val="00B52BA7"/>
    <w:rsid w:val="00B52EE4"/>
    <w:rsid w:val="00B532FC"/>
    <w:rsid w:val="00B53654"/>
    <w:rsid w:val="00B53884"/>
    <w:rsid w:val="00B53899"/>
    <w:rsid w:val="00B53905"/>
    <w:rsid w:val="00B53DA9"/>
    <w:rsid w:val="00B5400E"/>
    <w:rsid w:val="00B54302"/>
    <w:rsid w:val="00B546DB"/>
    <w:rsid w:val="00B54B5B"/>
    <w:rsid w:val="00B55053"/>
    <w:rsid w:val="00B5562E"/>
    <w:rsid w:val="00B556E5"/>
    <w:rsid w:val="00B55862"/>
    <w:rsid w:val="00B559A0"/>
    <w:rsid w:val="00B55BFD"/>
    <w:rsid w:val="00B55D4C"/>
    <w:rsid w:val="00B55D65"/>
    <w:rsid w:val="00B56123"/>
    <w:rsid w:val="00B561AA"/>
    <w:rsid w:val="00B562A0"/>
    <w:rsid w:val="00B56305"/>
    <w:rsid w:val="00B56C2E"/>
    <w:rsid w:val="00B57000"/>
    <w:rsid w:val="00B570F5"/>
    <w:rsid w:val="00B5722F"/>
    <w:rsid w:val="00B5727F"/>
    <w:rsid w:val="00B57BFC"/>
    <w:rsid w:val="00B6013B"/>
    <w:rsid w:val="00B60474"/>
    <w:rsid w:val="00B60890"/>
    <w:rsid w:val="00B60923"/>
    <w:rsid w:val="00B60939"/>
    <w:rsid w:val="00B60AFD"/>
    <w:rsid w:val="00B612E7"/>
    <w:rsid w:val="00B62017"/>
    <w:rsid w:val="00B62060"/>
    <w:rsid w:val="00B62589"/>
    <w:rsid w:val="00B62715"/>
    <w:rsid w:val="00B62B09"/>
    <w:rsid w:val="00B62BCF"/>
    <w:rsid w:val="00B63515"/>
    <w:rsid w:val="00B635B5"/>
    <w:rsid w:val="00B63B76"/>
    <w:rsid w:val="00B63C9A"/>
    <w:rsid w:val="00B642AE"/>
    <w:rsid w:val="00B6459C"/>
    <w:rsid w:val="00B64657"/>
    <w:rsid w:val="00B64DE7"/>
    <w:rsid w:val="00B6506F"/>
    <w:rsid w:val="00B65105"/>
    <w:rsid w:val="00B6552B"/>
    <w:rsid w:val="00B65611"/>
    <w:rsid w:val="00B65859"/>
    <w:rsid w:val="00B65970"/>
    <w:rsid w:val="00B6765E"/>
    <w:rsid w:val="00B67690"/>
    <w:rsid w:val="00B67C4A"/>
    <w:rsid w:val="00B702AC"/>
    <w:rsid w:val="00B705DB"/>
    <w:rsid w:val="00B70730"/>
    <w:rsid w:val="00B707FE"/>
    <w:rsid w:val="00B70BA9"/>
    <w:rsid w:val="00B70C57"/>
    <w:rsid w:val="00B70E8E"/>
    <w:rsid w:val="00B71877"/>
    <w:rsid w:val="00B718C8"/>
    <w:rsid w:val="00B721BB"/>
    <w:rsid w:val="00B73011"/>
    <w:rsid w:val="00B73A02"/>
    <w:rsid w:val="00B74324"/>
    <w:rsid w:val="00B743BD"/>
    <w:rsid w:val="00B7455D"/>
    <w:rsid w:val="00B74F60"/>
    <w:rsid w:val="00B7567F"/>
    <w:rsid w:val="00B7581D"/>
    <w:rsid w:val="00B7594B"/>
    <w:rsid w:val="00B76010"/>
    <w:rsid w:val="00B764D7"/>
    <w:rsid w:val="00B76C92"/>
    <w:rsid w:val="00B76DDD"/>
    <w:rsid w:val="00B77E67"/>
    <w:rsid w:val="00B80E94"/>
    <w:rsid w:val="00B80EFD"/>
    <w:rsid w:val="00B811AF"/>
    <w:rsid w:val="00B8144E"/>
    <w:rsid w:val="00B814F0"/>
    <w:rsid w:val="00B81662"/>
    <w:rsid w:val="00B818A4"/>
    <w:rsid w:val="00B81BC2"/>
    <w:rsid w:val="00B82231"/>
    <w:rsid w:val="00B82D62"/>
    <w:rsid w:val="00B835C8"/>
    <w:rsid w:val="00B835D8"/>
    <w:rsid w:val="00B8367D"/>
    <w:rsid w:val="00B83739"/>
    <w:rsid w:val="00B8374A"/>
    <w:rsid w:val="00B838EA"/>
    <w:rsid w:val="00B83AED"/>
    <w:rsid w:val="00B83F49"/>
    <w:rsid w:val="00B84117"/>
    <w:rsid w:val="00B848B2"/>
    <w:rsid w:val="00B84D4F"/>
    <w:rsid w:val="00B85365"/>
    <w:rsid w:val="00B85431"/>
    <w:rsid w:val="00B8549C"/>
    <w:rsid w:val="00B858F0"/>
    <w:rsid w:val="00B85AA2"/>
    <w:rsid w:val="00B85B4F"/>
    <w:rsid w:val="00B85EFC"/>
    <w:rsid w:val="00B8605F"/>
    <w:rsid w:val="00B8649C"/>
    <w:rsid w:val="00B86532"/>
    <w:rsid w:val="00B8695D"/>
    <w:rsid w:val="00B86B4C"/>
    <w:rsid w:val="00B86ED9"/>
    <w:rsid w:val="00B870BD"/>
    <w:rsid w:val="00B871B7"/>
    <w:rsid w:val="00B87850"/>
    <w:rsid w:val="00B87891"/>
    <w:rsid w:val="00B879D8"/>
    <w:rsid w:val="00B87E1A"/>
    <w:rsid w:val="00B87F0A"/>
    <w:rsid w:val="00B87F9F"/>
    <w:rsid w:val="00B90183"/>
    <w:rsid w:val="00B902EB"/>
    <w:rsid w:val="00B903BF"/>
    <w:rsid w:val="00B90830"/>
    <w:rsid w:val="00B90A23"/>
    <w:rsid w:val="00B90B8A"/>
    <w:rsid w:val="00B90EB5"/>
    <w:rsid w:val="00B911C6"/>
    <w:rsid w:val="00B91237"/>
    <w:rsid w:val="00B9175A"/>
    <w:rsid w:val="00B91DA5"/>
    <w:rsid w:val="00B91F74"/>
    <w:rsid w:val="00B92037"/>
    <w:rsid w:val="00B925D6"/>
    <w:rsid w:val="00B9292B"/>
    <w:rsid w:val="00B92BE8"/>
    <w:rsid w:val="00B92D0B"/>
    <w:rsid w:val="00B931C9"/>
    <w:rsid w:val="00B9342B"/>
    <w:rsid w:val="00B9350E"/>
    <w:rsid w:val="00B938C7"/>
    <w:rsid w:val="00B93DB5"/>
    <w:rsid w:val="00B93DB8"/>
    <w:rsid w:val="00B93E64"/>
    <w:rsid w:val="00B9434B"/>
    <w:rsid w:val="00B94480"/>
    <w:rsid w:val="00B94779"/>
    <w:rsid w:val="00B94945"/>
    <w:rsid w:val="00B9496E"/>
    <w:rsid w:val="00B94DD6"/>
    <w:rsid w:val="00B961C8"/>
    <w:rsid w:val="00B96325"/>
    <w:rsid w:val="00B96883"/>
    <w:rsid w:val="00B96A37"/>
    <w:rsid w:val="00B96F67"/>
    <w:rsid w:val="00B97AEF"/>
    <w:rsid w:val="00BA0262"/>
    <w:rsid w:val="00BA052B"/>
    <w:rsid w:val="00BA0869"/>
    <w:rsid w:val="00BA0EB6"/>
    <w:rsid w:val="00BA0EEE"/>
    <w:rsid w:val="00BA13EC"/>
    <w:rsid w:val="00BA1675"/>
    <w:rsid w:val="00BA1AD1"/>
    <w:rsid w:val="00BA1AFA"/>
    <w:rsid w:val="00BA2223"/>
    <w:rsid w:val="00BA23D9"/>
    <w:rsid w:val="00BA2CFE"/>
    <w:rsid w:val="00BA322D"/>
    <w:rsid w:val="00BA36D7"/>
    <w:rsid w:val="00BA439C"/>
    <w:rsid w:val="00BA47C3"/>
    <w:rsid w:val="00BA4902"/>
    <w:rsid w:val="00BA4E85"/>
    <w:rsid w:val="00BA5CD6"/>
    <w:rsid w:val="00BA5FE7"/>
    <w:rsid w:val="00BA5FEA"/>
    <w:rsid w:val="00BA63FA"/>
    <w:rsid w:val="00BA6434"/>
    <w:rsid w:val="00BA648D"/>
    <w:rsid w:val="00BA6C9B"/>
    <w:rsid w:val="00BA6E73"/>
    <w:rsid w:val="00BA7051"/>
    <w:rsid w:val="00BA7467"/>
    <w:rsid w:val="00BA74D0"/>
    <w:rsid w:val="00BA79FF"/>
    <w:rsid w:val="00BA7D76"/>
    <w:rsid w:val="00BA7F0A"/>
    <w:rsid w:val="00BA7F35"/>
    <w:rsid w:val="00BA7F4E"/>
    <w:rsid w:val="00BB00B3"/>
    <w:rsid w:val="00BB0284"/>
    <w:rsid w:val="00BB028D"/>
    <w:rsid w:val="00BB044C"/>
    <w:rsid w:val="00BB0BDD"/>
    <w:rsid w:val="00BB0ED3"/>
    <w:rsid w:val="00BB0F73"/>
    <w:rsid w:val="00BB12D5"/>
    <w:rsid w:val="00BB159B"/>
    <w:rsid w:val="00BB1747"/>
    <w:rsid w:val="00BB176C"/>
    <w:rsid w:val="00BB198A"/>
    <w:rsid w:val="00BB1E2B"/>
    <w:rsid w:val="00BB1E34"/>
    <w:rsid w:val="00BB2247"/>
    <w:rsid w:val="00BB2906"/>
    <w:rsid w:val="00BB2A73"/>
    <w:rsid w:val="00BB2F71"/>
    <w:rsid w:val="00BB30C3"/>
    <w:rsid w:val="00BB3A45"/>
    <w:rsid w:val="00BB3F11"/>
    <w:rsid w:val="00BB4568"/>
    <w:rsid w:val="00BB475E"/>
    <w:rsid w:val="00BB4ACC"/>
    <w:rsid w:val="00BB4CA9"/>
    <w:rsid w:val="00BB503C"/>
    <w:rsid w:val="00BB5873"/>
    <w:rsid w:val="00BB5E79"/>
    <w:rsid w:val="00BB64D0"/>
    <w:rsid w:val="00BB66FF"/>
    <w:rsid w:val="00BB68B3"/>
    <w:rsid w:val="00BB702E"/>
    <w:rsid w:val="00BB703E"/>
    <w:rsid w:val="00BB71BF"/>
    <w:rsid w:val="00BB71C6"/>
    <w:rsid w:val="00BB732D"/>
    <w:rsid w:val="00BB73A9"/>
    <w:rsid w:val="00BB7405"/>
    <w:rsid w:val="00BB74BF"/>
    <w:rsid w:val="00BC0381"/>
    <w:rsid w:val="00BC04A3"/>
    <w:rsid w:val="00BC0C0D"/>
    <w:rsid w:val="00BC2099"/>
    <w:rsid w:val="00BC21D4"/>
    <w:rsid w:val="00BC2414"/>
    <w:rsid w:val="00BC2C03"/>
    <w:rsid w:val="00BC3631"/>
    <w:rsid w:val="00BC3B27"/>
    <w:rsid w:val="00BC3E0D"/>
    <w:rsid w:val="00BC3F7D"/>
    <w:rsid w:val="00BC3FF3"/>
    <w:rsid w:val="00BC5083"/>
    <w:rsid w:val="00BC591F"/>
    <w:rsid w:val="00BC5A45"/>
    <w:rsid w:val="00BC5C65"/>
    <w:rsid w:val="00BC5CAE"/>
    <w:rsid w:val="00BC5E12"/>
    <w:rsid w:val="00BC5FE7"/>
    <w:rsid w:val="00BC61B3"/>
    <w:rsid w:val="00BC6AC0"/>
    <w:rsid w:val="00BC6AD4"/>
    <w:rsid w:val="00BC6D9E"/>
    <w:rsid w:val="00BC6F25"/>
    <w:rsid w:val="00BC721D"/>
    <w:rsid w:val="00BC7416"/>
    <w:rsid w:val="00BC77F0"/>
    <w:rsid w:val="00BC7A28"/>
    <w:rsid w:val="00BC7B6E"/>
    <w:rsid w:val="00BC7D6D"/>
    <w:rsid w:val="00BD0316"/>
    <w:rsid w:val="00BD082D"/>
    <w:rsid w:val="00BD0F4D"/>
    <w:rsid w:val="00BD1346"/>
    <w:rsid w:val="00BD180B"/>
    <w:rsid w:val="00BD1F7E"/>
    <w:rsid w:val="00BD2108"/>
    <w:rsid w:val="00BD27C8"/>
    <w:rsid w:val="00BD2D84"/>
    <w:rsid w:val="00BD2F96"/>
    <w:rsid w:val="00BD312D"/>
    <w:rsid w:val="00BD3C55"/>
    <w:rsid w:val="00BD3D1B"/>
    <w:rsid w:val="00BD4058"/>
    <w:rsid w:val="00BD40BA"/>
    <w:rsid w:val="00BD4134"/>
    <w:rsid w:val="00BD41D3"/>
    <w:rsid w:val="00BD4424"/>
    <w:rsid w:val="00BD46DA"/>
    <w:rsid w:val="00BD4FBD"/>
    <w:rsid w:val="00BD5375"/>
    <w:rsid w:val="00BD60A5"/>
    <w:rsid w:val="00BD6256"/>
    <w:rsid w:val="00BD67BD"/>
    <w:rsid w:val="00BD68A3"/>
    <w:rsid w:val="00BD6938"/>
    <w:rsid w:val="00BD6B66"/>
    <w:rsid w:val="00BD6CF3"/>
    <w:rsid w:val="00BD6D60"/>
    <w:rsid w:val="00BD7053"/>
    <w:rsid w:val="00BD7B33"/>
    <w:rsid w:val="00BD7BA1"/>
    <w:rsid w:val="00BD7E47"/>
    <w:rsid w:val="00BD7F72"/>
    <w:rsid w:val="00BE0035"/>
    <w:rsid w:val="00BE01D3"/>
    <w:rsid w:val="00BE02A2"/>
    <w:rsid w:val="00BE03AB"/>
    <w:rsid w:val="00BE03D1"/>
    <w:rsid w:val="00BE0435"/>
    <w:rsid w:val="00BE094B"/>
    <w:rsid w:val="00BE0ECA"/>
    <w:rsid w:val="00BE0FA9"/>
    <w:rsid w:val="00BE13F8"/>
    <w:rsid w:val="00BE13FB"/>
    <w:rsid w:val="00BE1D69"/>
    <w:rsid w:val="00BE2180"/>
    <w:rsid w:val="00BE21F2"/>
    <w:rsid w:val="00BE2307"/>
    <w:rsid w:val="00BE258B"/>
    <w:rsid w:val="00BE2A55"/>
    <w:rsid w:val="00BE2F59"/>
    <w:rsid w:val="00BE3389"/>
    <w:rsid w:val="00BE33F3"/>
    <w:rsid w:val="00BE35D5"/>
    <w:rsid w:val="00BE3750"/>
    <w:rsid w:val="00BE3D1E"/>
    <w:rsid w:val="00BE4275"/>
    <w:rsid w:val="00BE4673"/>
    <w:rsid w:val="00BE4A1C"/>
    <w:rsid w:val="00BE4C78"/>
    <w:rsid w:val="00BE5099"/>
    <w:rsid w:val="00BE516C"/>
    <w:rsid w:val="00BE5195"/>
    <w:rsid w:val="00BE583F"/>
    <w:rsid w:val="00BE5997"/>
    <w:rsid w:val="00BE5AAD"/>
    <w:rsid w:val="00BE625E"/>
    <w:rsid w:val="00BE640C"/>
    <w:rsid w:val="00BE7160"/>
    <w:rsid w:val="00BE72C1"/>
    <w:rsid w:val="00BE7302"/>
    <w:rsid w:val="00BE751C"/>
    <w:rsid w:val="00BE760B"/>
    <w:rsid w:val="00BF06AE"/>
    <w:rsid w:val="00BF0E57"/>
    <w:rsid w:val="00BF0F80"/>
    <w:rsid w:val="00BF0F95"/>
    <w:rsid w:val="00BF14F4"/>
    <w:rsid w:val="00BF2153"/>
    <w:rsid w:val="00BF2271"/>
    <w:rsid w:val="00BF2399"/>
    <w:rsid w:val="00BF2433"/>
    <w:rsid w:val="00BF24B7"/>
    <w:rsid w:val="00BF24C8"/>
    <w:rsid w:val="00BF29F4"/>
    <w:rsid w:val="00BF2E54"/>
    <w:rsid w:val="00BF2E6E"/>
    <w:rsid w:val="00BF2EB5"/>
    <w:rsid w:val="00BF2F02"/>
    <w:rsid w:val="00BF303D"/>
    <w:rsid w:val="00BF3127"/>
    <w:rsid w:val="00BF3628"/>
    <w:rsid w:val="00BF39CD"/>
    <w:rsid w:val="00BF3DB7"/>
    <w:rsid w:val="00BF43D5"/>
    <w:rsid w:val="00BF46B5"/>
    <w:rsid w:val="00BF4772"/>
    <w:rsid w:val="00BF4C54"/>
    <w:rsid w:val="00BF4DA6"/>
    <w:rsid w:val="00BF5334"/>
    <w:rsid w:val="00BF59E6"/>
    <w:rsid w:val="00BF5CFF"/>
    <w:rsid w:val="00BF5FC9"/>
    <w:rsid w:val="00BF6165"/>
    <w:rsid w:val="00BF61C0"/>
    <w:rsid w:val="00BF61C9"/>
    <w:rsid w:val="00BF63D9"/>
    <w:rsid w:val="00BF673A"/>
    <w:rsid w:val="00BF67D2"/>
    <w:rsid w:val="00BF6C94"/>
    <w:rsid w:val="00BF6CB0"/>
    <w:rsid w:val="00BF7701"/>
    <w:rsid w:val="00C0010B"/>
    <w:rsid w:val="00C00424"/>
    <w:rsid w:val="00C00B0E"/>
    <w:rsid w:val="00C00BB0"/>
    <w:rsid w:val="00C01006"/>
    <w:rsid w:val="00C01FC1"/>
    <w:rsid w:val="00C033BE"/>
    <w:rsid w:val="00C035A4"/>
    <w:rsid w:val="00C03967"/>
    <w:rsid w:val="00C039D8"/>
    <w:rsid w:val="00C0473D"/>
    <w:rsid w:val="00C048DA"/>
    <w:rsid w:val="00C04DE1"/>
    <w:rsid w:val="00C05142"/>
    <w:rsid w:val="00C052C0"/>
    <w:rsid w:val="00C0550C"/>
    <w:rsid w:val="00C05845"/>
    <w:rsid w:val="00C06D2D"/>
    <w:rsid w:val="00C07212"/>
    <w:rsid w:val="00C0788A"/>
    <w:rsid w:val="00C07C9B"/>
    <w:rsid w:val="00C07D6C"/>
    <w:rsid w:val="00C07F1F"/>
    <w:rsid w:val="00C10F0C"/>
    <w:rsid w:val="00C11051"/>
    <w:rsid w:val="00C116F0"/>
    <w:rsid w:val="00C1179F"/>
    <w:rsid w:val="00C120C1"/>
    <w:rsid w:val="00C12793"/>
    <w:rsid w:val="00C127B9"/>
    <w:rsid w:val="00C128FA"/>
    <w:rsid w:val="00C12C14"/>
    <w:rsid w:val="00C12C61"/>
    <w:rsid w:val="00C12D64"/>
    <w:rsid w:val="00C1352D"/>
    <w:rsid w:val="00C13DD1"/>
    <w:rsid w:val="00C13E73"/>
    <w:rsid w:val="00C14CA5"/>
    <w:rsid w:val="00C14D6A"/>
    <w:rsid w:val="00C14DD7"/>
    <w:rsid w:val="00C15314"/>
    <w:rsid w:val="00C1562C"/>
    <w:rsid w:val="00C1584F"/>
    <w:rsid w:val="00C15CF0"/>
    <w:rsid w:val="00C15F04"/>
    <w:rsid w:val="00C16711"/>
    <w:rsid w:val="00C16992"/>
    <w:rsid w:val="00C16D54"/>
    <w:rsid w:val="00C16E03"/>
    <w:rsid w:val="00C1728B"/>
    <w:rsid w:val="00C173B1"/>
    <w:rsid w:val="00C179B3"/>
    <w:rsid w:val="00C17AB3"/>
    <w:rsid w:val="00C17E3F"/>
    <w:rsid w:val="00C200AA"/>
    <w:rsid w:val="00C2018A"/>
    <w:rsid w:val="00C206F1"/>
    <w:rsid w:val="00C20B80"/>
    <w:rsid w:val="00C20DA8"/>
    <w:rsid w:val="00C2111A"/>
    <w:rsid w:val="00C21186"/>
    <w:rsid w:val="00C2129D"/>
    <w:rsid w:val="00C217C3"/>
    <w:rsid w:val="00C218A5"/>
    <w:rsid w:val="00C219C8"/>
    <w:rsid w:val="00C21FD1"/>
    <w:rsid w:val="00C22C04"/>
    <w:rsid w:val="00C22FC5"/>
    <w:rsid w:val="00C233C8"/>
    <w:rsid w:val="00C237ED"/>
    <w:rsid w:val="00C23C39"/>
    <w:rsid w:val="00C23F96"/>
    <w:rsid w:val="00C245E4"/>
    <w:rsid w:val="00C24632"/>
    <w:rsid w:val="00C24823"/>
    <w:rsid w:val="00C24A50"/>
    <w:rsid w:val="00C25155"/>
    <w:rsid w:val="00C25285"/>
    <w:rsid w:val="00C25347"/>
    <w:rsid w:val="00C25418"/>
    <w:rsid w:val="00C25511"/>
    <w:rsid w:val="00C2553C"/>
    <w:rsid w:val="00C256AB"/>
    <w:rsid w:val="00C256D6"/>
    <w:rsid w:val="00C259BB"/>
    <w:rsid w:val="00C25D9C"/>
    <w:rsid w:val="00C2640F"/>
    <w:rsid w:val="00C26709"/>
    <w:rsid w:val="00C267AD"/>
    <w:rsid w:val="00C267E9"/>
    <w:rsid w:val="00C26B51"/>
    <w:rsid w:val="00C26C22"/>
    <w:rsid w:val="00C26EB3"/>
    <w:rsid w:val="00C270E8"/>
    <w:rsid w:val="00C273E8"/>
    <w:rsid w:val="00C275DC"/>
    <w:rsid w:val="00C27721"/>
    <w:rsid w:val="00C2778B"/>
    <w:rsid w:val="00C2781D"/>
    <w:rsid w:val="00C30268"/>
    <w:rsid w:val="00C304F7"/>
    <w:rsid w:val="00C30618"/>
    <w:rsid w:val="00C306F9"/>
    <w:rsid w:val="00C30785"/>
    <w:rsid w:val="00C30D2B"/>
    <w:rsid w:val="00C310D8"/>
    <w:rsid w:val="00C31226"/>
    <w:rsid w:val="00C313A2"/>
    <w:rsid w:val="00C31448"/>
    <w:rsid w:val="00C31649"/>
    <w:rsid w:val="00C316E2"/>
    <w:rsid w:val="00C31B48"/>
    <w:rsid w:val="00C31D99"/>
    <w:rsid w:val="00C323B3"/>
    <w:rsid w:val="00C323CF"/>
    <w:rsid w:val="00C32461"/>
    <w:rsid w:val="00C329A0"/>
    <w:rsid w:val="00C32C0E"/>
    <w:rsid w:val="00C32F2C"/>
    <w:rsid w:val="00C32FEB"/>
    <w:rsid w:val="00C334D1"/>
    <w:rsid w:val="00C3390F"/>
    <w:rsid w:val="00C33D8F"/>
    <w:rsid w:val="00C33E07"/>
    <w:rsid w:val="00C33F56"/>
    <w:rsid w:val="00C34034"/>
    <w:rsid w:val="00C3434C"/>
    <w:rsid w:val="00C34DAE"/>
    <w:rsid w:val="00C34E61"/>
    <w:rsid w:val="00C355AD"/>
    <w:rsid w:val="00C358F7"/>
    <w:rsid w:val="00C35BFF"/>
    <w:rsid w:val="00C35F39"/>
    <w:rsid w:val="00C36091"/>
    <w:rsid w:val="00C36696"/>
    <w:rsid w:val="00C36848"/>
    <w:rsid w:val="00C36A9A"/>
    <w:rsid w:val="00C36AC1"/>
    <w:rsid w:val="00C36BF6"/>
    <w:rsid w:val="00C36E09"/>
    <w:rsid w:val="00C370D4"/>
    <w:rsid w:val="00C40385"/>
    <w:rsid w:val="00C40808"/>
    <w:rsid w:val="00C40F6A"/>
    <w:rsid w:val="00C410AB"/>
    <w:rsid w:val="00C41768"/>
    <w:rsid w:val="00C419FD"/>
    <w:rsid w:val="00C41A0D"/>
    <w:rsid w:val="00C41BDE"/>
    <w:rsid w:val="00C41EBD"/>
    <w:rsid w:val="00C42029"/>
    <w:rsid w:val="00C42577"/>
    <w:rsid w:val="00C42D99"/>
    <w:rsid w:val="00C42E58"/>
    <w:rsid w:val="00C4309B"/>
    <w:rsid w:val="00C43657"/>
    <w:rsid w:val="00C43E3C"/>
    <w:rsid w:val="00C4411A"/>
    <w:rsid w:val="00C4487A"/>
    <w:rsid w:val="00C44C9D"/>
    <w:rsid w:val="00C45554"/>
    <w:rsid w:val="00C457A3"/>
    <w:rsid w:val="00C45A68"/>
    <w:rsid w:val="00C45BDD"/>
    <w:rsid w:val="00C45E0A"/>
    <w:rsid w:val="00C46BA2"/>
    <w:rsid w:val="00C474E4"/>
    <w:rsid w:val="00C475AA"/>
    <w:rsid w:val="00C4784E"/>
    <w:rsid w:val="00C4793A"/>
    <w:rsid w:val="00C47F9B"/>
    <w:rsid w:val="00C50266"/>
    <w:rsid w:val="00C502AA"/>
    <w:rsid w:val="00C5075B"/>
    <w:rsid w:val="00C507FD"/>
    <w:rsid w:val="00C508A1"/>
    <w:rsid w:val="00C51079"/>
    <w:rsid w:val="00C5155F"/>
    <w:rsid w:val="00C518C1"/>
    <w:rsid w:val="00C51B24"/>
    <w:rsid w:val="00C52168"/>
    <w:rsid w:val="00C5261D"/>
    <w:rsid w:val="00C527C7"/>
    <w:rsid w:val="00C52F62"/>
    <w:rsid w:val="00C52FD8"/>
    <w:rsid w:val="00C53131"/>
    <w:rsid w:val="00C53254"/>
    <w:rsid w:val="00C53381"/>
    <w:rsid w:val="00C533F0"/>
    <w:rsid w:val="00C536A2"/>
    <w:rsid w:val="00C53C98"/>
    <w:rsid w:val="00C5406D"/>
    <w:rsid w:val="00C545D2"/>
    <w:rsid w:val="00C54680"/>
    <w:rsid w:val="00C5474C"/>
    <w:rsid w:val="00C54881"/>
    <w:rsid w:val="00C54977"/>
    <w:rsid w:val="00C556B5"/>
    <w:rsid w:val="00C5570A"/>
    <w:rsid w:val="00C567A2"/>
    <w:rsid w:val="00C567AB"/>
    <w:rsid w:val="00C5696E"/>
    <w:rsid w:val="00C56FCF"/>
    <w:rsid w:val="00C572F6"/>
    <w:rsid w:val="00C57B6C"/>
    <w:rsid w:val="00C57BF9"/>
    <w:rsid w:val="00C57E38"/>
    <w:rsid w:val="00C602F2"/>
    <w:rsid w:val="00C60851"/>
    <w:rsid w:val="00C60C5C"/>
    <w:rsid w:val="00C61A59"/>
    <w:rsid w:val="00C61A63"/>
    <w:rsid w:val="00C61B3E"/>
    <w:rsid w:val="00C61C7B"/>
    <w:rsid w:val="00C62068"/>
    <w:rsid w:val="00C626DD"/>
    <w:rsid w:val="00C628A6"/>
    <w:rsid w:val="00C62BE3"/>
    <w:rsid w:val="00C62C4E"/>
    <w:rsid w:val="00C630D3"/>
    <w:rsid w:val="00C632BF"/>
    <w:rsid w:val="00C63475"/>
    <w:rsid w:val="00C6369D"/>
    <w:rsid w:val="00C63B13"/>
    <w:rsid w:val="00C63BFF"/>
    <w:rsid w:val="00C63D98"/>
    <w:rsid w:val="00C64344"/>
    <w:rsid w:val="00C6467F"/>
    <w:rsid w:val="00C6496F"/>
    <w:rsid w:val="00C649F5"/>
    <w:rsid w:val="00C64A13"/>
    <w:rsid w:val="00C64BCB"/>
    <w:rsid w:val="00C64F4B"/>
    <w:rsid w:val="00C65108"/>
    <w:rsid w:val="00C65484"/>
    <w:rsid w:val="00C65576"/>
    <w:rsid w:val="00C65978"/>
    <w:rsid w:val="00C65A7A"/>
    <w:rsid w:val="00C65E33"/>
    <w:rsid w:val="00C66165"/>
    <w:rsid w:val="00C662B1"/>
    <w:rsid w:val="00C662B7"/>
    <w:rsid w:val="00C66700"/>
    <w:rsid w:val="00C66BDE"/>
    <w:rsid w:val="00C66C7B"/>
    <w:rsid w:val="00C6711F"/>
    <w:rsid w:val="00C676D9"/>
    <w:rsid w:val="00C6775A"/>
    <w:rsid w:val="00C67B28"/>
    <w:rsid w:val="00C67CAF"/>
    <w:rsid w:val="00C67D42"/>
    <w:rsid w:val="00C705DA"/>
    <w:rsid w:val="00C7060A"/>
    <w:rsid w:val="00C70B25"/>
    <w:rsid w:val="00C70C6D"/>
    <w:rsid w:val="00C70D5D"/>
    <w:rsid w:val="00C70DE5"/>
    <w:rsid w:val="00C7151A"/>
    <w:rsid w:val="00C7153A"/>
    <w:rsid w:val="00C71660"/>
    <w:rsid w:val="00C71684"/>
    <w:rsid w:val="00C71735"/>
    <w:rsid w:val="00C717E3"/>
    <w:rsid w:val="00C7197C"/>
    <w:rsid w:val="00C71994"/>
    <w:rsid w:val="00C71A58"/>
    <w:rsid w:val="00C71F60"/>
    <w:rsid w:val="00C72241"/>
    <w:rsid w:val="00C72CC6"/>
    <w:rsid w:val="00C741D2"/>
    <w:rsid w:val="00C75044"/>
    <w:rsid w:val="00C75048"/>
    <w:rsid w:val="00C750C8"/>
    <w:rsid w:val="00C7560F"/>
    <w:rsid w:val="00C7575C"/>
    <w:rsid w:val="00C75BF1"/>
    <w:rsid w:val="00C75C56"/>
    <w:rsid w:val="00C75E1B"/>
    <w:rsid w:val="00C765B9"/>
    <w:rsid w:val="00C76F65"/>
    <w:rsid w:val="00C77260"/>
    <w:rsid w:val="00C772A9"/>
    <w:rsid w:val="00C773BF"/>
    <w:rsid w:val="00C77496"/>
    <w:rsid w:val="00C7757F"/>
    <w:rsid w:val="00C777E0"/>
    <w:rsid w:val="00C8033D"/>
    <w:rsid w:val="00C80992"/>
    <w:rsid w:val="00C80A0E"/>
    <w:rsid w:val="00C80E85"/>
    <w:rsid w:val="00C81109"/>
    <w:rsid w:val="00C81482"/>
    <w:rsid w:val="00C81F65"/>
    <w:rsid w:val="00C81F86"/>
    <w:rsid w:val="00C8213F"/>
    <w:rsid w:val="00C821B1"/>
    <w:rsid w:val="00C825CE"/>
    <w:rsid w:val="00C825F5"/>
    <w:rsid w:val="00C8303F"/>
    <w:rsid w:val="00C83045"/>
    <w:rsid w:val="00C83368"/>
    <w:rsid w:val="00C83407"/>
    <w:rsid w:val="00C83579"/>
    <w:rsid w:val="00C840FC"/>
    <w:rsid w:val="00C8423A"/>
    <w:rsid w:val="00C8434A"/>
    <w:rsid w:val="00C848B6"/>
    <w:rsid w:val="00C85154"/>
    <w:rsid w:val="00C85A70"/>
    <w:rsid w:val="00C85E1C"/>
    <w:rsid w:val="00C85F6F"/>
    <w:rsid w:val="00C86489"/>
    <w:rsid w:val="00C86775"/>
    <w:rsid w:val="00C86CC1"/>
    <w:rsid w:val="00C86F14"/>
    <w:rsid w:val="00C870BB"/>
    <w:rsid w:val="00C877B5"/>
    <w:rsid w:val="00C8797A"/>
    <w:rsid w:val="00C87C5A"/>
    <w:rsid w:val="00C87C5D"/>
    <w:rsid w:val="00C900B8"/>
    <w:rsid w:val="00C90197"/>
    <w:rsid w:val="00C90712"/>
    <w:rsid w:val="00C90735"/>
    <w:rsid w:val="00C90848"/>
    <w:rsid w:val="00C90C71"/>
    <w:rsid w:val="00C912D5"/>
    <w:rsid w:val="00C9143D"/>
    <w:rsid w:val="00C91D13"/>
    <w:rsid w:val="00C91FD1"/>
    <w:rsid w:val="00C923FE"/>
    <w:rsid w:val="00C9274F"/>
    <w:rsid w:val="00C929D2"/>
    <w:rsid w:val="00C92BD3"/>
    <w:rsid w:val="00C93054"/>
    <w:rsid w:val="00C931CF"/>
    <w:rsid w:val="00C93318"/>
    <w:rsid w:val="00C93780"/>
    <w:rsid w:val="00C938CF"/>
    <w:rsid w:val="00C93DFF"/>
    <w:rsid w:val="00C93E33"/>
    <w:rsid w:val="00C94053"/>
    <w:rsid w:val="00C940A4"/>
    <w:rsid w:val="00C9445B"/>
    <w:rsid w:val="00C94547"/>
    <w:rsid w:val="00C94BB0"/>
    <w:rsid w:val="00C956AF"/>
    <w:rsid w:val="00C958AC"/>
    <w:rsid w:val="00C95C3E"/>
    <w:rsid w:val="00C95ED2"/>
    <w:rsid w:val="00C9624D"/>
    <w:rsid w:val="00C963F5"/>
    <w:rsid w:val="00C965E8"/>
    <w:rsid w:val="00C969DA"/>
    <w:rsid w:val="00C970D1"/>
    <w:rsid w:val="00C971AF"/>
    <w:rsid w:val="00C971B9"/>
    <w:rsid w:val="00C97394"/>
    <w:rsid w:val="00C974FE"/>
    <w:rsid w:val="00C97592"/>
    <w:rsid w:val="00C978E4"/>
    <w:rsid w:val="00C97CC7"/>
    <w:rsid w:val="00CA00FF"/>
    <w:rsid w:val="00CA035E"/>
    <w:rsid w:val="00CA093E"/>
    <w:rsid w:val="00CA0A34"/>
    <w:rsid w:val="00CA1220"/>
    <w:rsid w:val="00CA12F3"/>
    <w:rsid w:val="00CA17DF"/>
    <w:rsid w:val="00CA18E7"/>
    <w:rsid w:val="00CA1BA3"/>
    <w:rsid w:val="00CA20CF"/>
    <w:rsid w:val="00CA26EA"/>
    <w:rsid w:val="00CA28D5"/>
    <w:rsid w:val="00CA29BD"/>
    <w:rsid w:val="00CA2C77"/>
    <w:rsid w:val="00CA2E89"/>
    <w:rsid w:val="00CA3230"/>
    <w:rsid w:val="00CA3320"/>
    <w:rsid w:val="00CA342D"/>
    <w:rsid w:val="00CA38B2"/>
    <w:rsid w:val="00CA3A4A"/>
    <w:rsid w:val="00CA3DA4"/>
    <w:rsid w:val="00CA444F"/>
    <w:rsid w:val="00CA46A6"/>
    <w:rsid w:val="00CA4AB6"/>
    <w:rsid w:val="00CA4D75"/>
    <w:rsid w:val="00CA50FD"/>
    <w:rsid w:val="00CA5245"/>
    <w:rsid w:val="00CA5566"/>
    <w:rsid w:val="00CA5588"/>
    <w:rsid w:val="00CA55FE"/>
    <w:rsid w:val="00CA6014"/>
    <w:rsid w:val="00CA6275"/>
    <w:rsid w:val="00CA6468"/>
    <w:rsid w:val="00CA6564"/>
    <w:rsid w:val="00CA65C6"/>
    <w:rsid w:val="00CA71F4"/>
    <w:rsid w:val="00CA7B09"/>
    <w:rsid w:val="00CA7E29"/>
    <w:rsid w:val="00CB0588"/>
    <w:rsid w:val="00CB0B56"/>
    <w:rsid w:val="00CB12A5"/>
    <w:rsid w:val="00CB1510"/>
    <w:rsid w:val="00CB174B"/>
    <w:rsid w:val="00CB1B50"/>
    <w:rsid w:val="00CB1C22"/>
    <w:rsid w:val="00CB1CAC"/>
    <w:rsid w:val="00CB1CCA"/>
    <w:rsid w:val="00CB21D2"/>
    <w:rsid w:val="00CB295E"/>
    <w:rsid w:val="00CB2966"/>
    <w:rsid w:val="00CB2F2A"/>
    <w:rsid w:val="00CB3278"/>
    <w:rsid w:val="00CB327F"/>
    <w:rsid w:val="00CB370E"/>
    <w:rsid w:val="00CB3DCF"/>
    <w:rsid w:val="00CB439B"/>
    <w:rsid w:val="00CB4425"/>
    <w:rsid w:val="00CB462C"/>
    <w:rsid w:val="00CB46DE"/>
    <w:rsid w:val="00CB4998"/>
    <w:rsid w:val="00CB514F"/>
    <w:rsid w:val="00CB5376"/>
    <w:rsid w:val="00CB53B3"/>
    <w:rsid w:val="00CB5444"/>
    <w:rsid w:val="00CB5756"/>
    <w:rsid w:val="00CB579D"/>
    <w:rsid w:val="00CB595F"/>
    <w:rsid w:val="00CB5B1A"/>
    <w:rsid w:val="00CB5C02"/>
    <w:rsid w:val="00CB5D5F"/>
    <w:rsid w:val="00CB5FE2"/>
    <w:rsid w:val="00CB610A"/>
    <w:rsid w:val="00CB645D"/>
    <w:rsid w:val="00CB6B22"/>
    <w:rsid w:val="00CB6BBD"/>
    <w:rsid w:val="00CB6BC6"/>
    <w:rsid w:val="00CB7985"/>
    <w:rsid w:val="00CB7DAC"/>
    <w:rsid w:val="00CB7DBA"/>
    <w:rsid w:val="00CB7F5F"/>
    <w:rsid w:val="00CC04AA"/>
    <w:rsid w:val="00CC09D5"/>
    <w:rsid w:val="00CC0FAD"/>
    <w:rsid w:val="00CC1228"/>
    <w:rsid w:val="00CC1391"/>
    <w:rsid w:val="00CC1551"/>
    <w:rsid w:val="00CC15A8"/>
    <w:rsid w:val="00CC15D3"/>
    <w:rsid w:val="00CC1626"/>
    <w:rsid w:val="00CC1B39"/>
    <w:rsid w:val="00CC1BEE"/>
    <w:rsid w:val="00CC1BFA"/>
    <w:rsid w:val="00CC1E4E"/>
    <w:rsid w:val="00CC1FDB"/>
    <w:rsid w:val="00CC2976"/>
    <w:rsid w:val="00CC2C76"/>
    <w:rsid w:val="00CC2E9F"/>
    <w:rsid w:val="00CC2FA9"/>
    <w:rsid w:val="00CC3465"/>
    <w:rsid w:val="00CC35EA"/>
    <w:rsid w:val="00CC37C2"/>
    <w:rsid w:val="00CC3848"/>
    <w:rsid w:val="00CC38D6"/>
    <w:rsid w:val="00CC3ED7"/>
    <w:rsid w:val="00CC4B17"/>
    <w:rsid w:val="00CC4C6C"/>
    <w:rsid w:val="00CC50D5"/>
    <w:rsid w:val="00CC520D"/>
    <w:rsid w:val="00CC53F4"/>
    <w:rsid w:val="00CC5A56"/>
    <w:rsid w:val="00CC5C85"/>
    <w:rsid w:val="00CC655E"/>
    <w:rsid w:val="00CC6708"/>
    <w:rsid w:val="00CC6D5E"/>
    <w:rsid w:val="00CC755D"/>
    <w:rsid w:val="00CC7C73"/>
    <w:rsid w:val="00CD0200"/>
    <w:rsid w:val="00CD0735"/>
    <w:rsid w:val="00CD08F5"/>
    <w:rsid w:val="00CD0CBA"/>
    <w:rsid w:val="00CD104F"/>
    <w:rsid w:val="00CD10B4"/>
    <w:rsid w:val="00CD1613"/>
    <w:rsid w:val="00CD17AE"/>
    <w:rsid w:val="00CD244F"/>
    <w:rsid w:val="00CD278A"/>
    <w:rsid w:val="00CD29EC"/>
    <w:rsid w:val="00CD302C"/>
    <w:rsid w:val="00CD368F"/>
    <w:rsid w:val="00CD3772"/>
    <w:rsid w:val="00CD390B"/>
    <w:rsid w:val="00CD3DF6"/>
    <w:rsid w:val="00CD3F77"/>
    <w:rsid w:val="00CD43BE"/>
    <w:rsid w:val="00CD4E81"/>
    <w:rsid w:val="00CD506E"/>
    <w:rsid w:val="00CD553E"/>
    <w:rsid w:val="00CD5BAB"/>
    <w:rsid w:val="00CD5DD1"/>
    <w:rsid w:val="00CD5ECF"/>
    <w:rsid w:val="00CD648D"/>
    <w:rsid w:val="00CD6831"/>
    <w:rsid w:val="00CD6893"/>
    <w:rsid w:val="00CD6899"/>
    <w:rsid w:val="00CD6961"/>
    <w:rsid w:val="00CD6ADC"/>
    <w:rsid w:val="00CD6B63"/>
    <w:rsid w:val="00CD6CBB"/>
    <w:rsid w:val="00CD7193"/>
    <w:rsid w:val="00CD72E7"/>
    <w:rsid w:val="00CD76C2"/>
    <w:rsid w:val="00CD77EE"/>
    <w:rsid w:val="00CD7954"/>
    <w:rsid w:val="00CE06D8"/>
    <w:rsid w:val="00CE0745"/>
    <w:rsid w:val="00CE099D"/>
    <w:rsid w:val="00CE1202"/>
    <w:rsid w:val="00CE1349"/>
    <w:rsid w:val="00CE1483"/>
    <w:rsid w:val="00CE15AD"/>
    <w:rsid w:val="00CE179F"/>
    <w:rsid w:val="00CE17E3"/>
    <w:rsid w:val="00CE1D38"/>
    <w:rsid w:val="00CE1F5B"/>
    <w:rsid w:val="00CE1FF6"/>
    <w:rsid w:val="00CE213E"/>
    <w:rsid w:val="00CE2166"/>
    <w:rsid w:val="00CE2AF7"/>
    <w:rsid w:val="00CE2B77"/>
    <w:rsid w:val="00CE302D"/>
    <w:rsid w:val="00CE32F7"/>
    <w:rsid w:val="00CE38C8"/>
    <w:rsid w:val="00CE40E7"/>
    <w:rsid w:val="00CE451E"/>
    <w:rsid w:val="00CE496B"/>
    <w:rsid w:val="00CE524F"/>
    <w:rsid w:val="00CE5509"/>
    <w:rsid w:val="00CE57AC"/>
    <w:rsid w:val="00CE5828"/>
    <w:rsid w:val="00CE58CC"/>
    <w:rsid w:val="00CE5E1B"/>
    <w:rsid w:val="00CE5EC4"/>
    <w:rsid w:val="00CE5FB3"/>
    <w:rsid w:val="00CE60D9"/>
    <w:rsid w:val="00CE6274"/>
    <w:rsid w:val="00CE650A"/>
    <w:rsid w:val="00CE6652"/>
    <w:rsid w:val="00CE67C9"/>
    <w:rsid w:val="00CE6BFD"/>
    <w:rsid w:val="00CE7248"/>
    <w:rsid w:val="00CE77B6"/>
    <w:rsid w:val="00CE7B13"/>
    <w:rsid w:val="00CE7B9D"/>
    <w:rsid w:val="00CE7ECE"/>
    <w:rsid w:val="00CF00C4"/>
    <w:rsid w:val="00CF0160"/>
    <w:rsid w:val="00CF0545"/>
    <w:rsid w:val="00CF0739"/>
    <w:rsid w:val="00CF10A8"/>
    <w:rsid w:val="00CF117E"/>
    <w:rsid w:val="00CF1317"/>
    <w:rsid w:val="00CF133B"/>
    <w:rsid w:val="00CF13A5"/>
    <w:rsid w:val="00CF13B6"/>
    <w:rsid w:val="00CF15B7"/>
    <w:rsid w:val="00CF1A4A"/>
    <w:rsid w:val="00CF1C03"/>
    <w:rsid w:val="00CF1D7C"/>
    <w:rsid w:val="00CF2139"/>
    <w:rsid w:val="00CF226C"/>
    <w:rsid w:val="00CF2311"/>
    <w:rsid w:val="00CF2B8D"/>
    <w:rsid w:val="00CF2C47"/>
    <w:rsid w:val="00CF2E75"/>
    <w:rsid w:val="00CF3262"/>
    <w:rsid w:val="00CF328B"/>
    <w:rsid w:val="00CF3A1B"/>
    <w:rsid w:val="00CF456B"/>
    <w:rsid w:val="00CF49F6"/>
    <w:rsid w:val="00CF53A5"/>
    <w:rsid w:val="00CF5A22"/>
    <w:rsid w:val="00CF61D8"/>
    <w:rsid w:val="00CF648E"/>
    <w:rsid w:val="00CF64AC"/>
    <w:rsid w:val="00CF66D7"/>
    <w:rsid w:val="00CF6764"/>
    <w:rsid w:val="00D0056B"/>
    <w:rsid w:val="00D00ACC"/>
    <w:rsid w:val="00D00DE8"/>
    <w:rsid w:val="00D012E3"/>
    <w:rsid w:val="00D01D8D"/>
    <w:rsid w:val="00D01FD6"/>
    <w:rsid w:val="00D01FDA"/>
    <w:rsid w:val="00D020AA"/>
    <w:rsid w:val="00D0262E"/>
    <w:rsid w:val="00D033BC"/>
    <w:rsid w:val="00D03679"/>
    <w:rsid w:val="00D036EC"/>
    <w:rsid w:val="00D0381A"/>
    <w:rsid w:val="00D041D3"/>
    <w:rsid w:val="00D042D4"/>
    <w:rsid w:val="00D043C0"/>
    <w:rsid w:val="00D04A2A"/>
    <w:rsid w:val="00D04A2C"/>
    <w:rsid w:val="00D04BBD"/>
    <w:rsid w:val="00D04EBC"/>
    <w:rsid w:val="00D04EC0"/>
    <w:rsid w:val="00D05052"/>
    <w:rsid w:val="00D050F1"/>
    <w:rsid w:val="00D0541B"/>
    <w:rsid w:val="00D05735"/>
    <w:rsid w:val="00D0589D"/>
    <w:rsid w:val="00D05E3D"/>
    <w:rsid w:val="00D06139"/>
    <w:rsid w:val="00D062DB"/>
    <w:rsid w:val="00D06D6E"/>
    <w:rsid w:val="00D06F65"/>
    <w:rsid w:val="00D06F69"/>
    <w:rsid w:val="00D07017"/>
    <w:rsid w:val="00D07272"/>
    <w:rsid w:val="00D07CE3"/>
    <w:rsid w:val="00D07E3D"/>
    <w:rsid w:val="00D07EB0"/>
    <w:rsid w:val="00D07F94"/>
    <w:rsid w:val="00D1095D"/>
    <w:rsid w:val="00D10E47"/>
    <w:rsid w:val="00D10E90"/>
    <w:rsid w:val="00D110BD"/>
    <w:rsid w:val="00D1119B"/>
    <w:rsid w:val="00D1152F"/>
    <w:rsid w:val="00D11BA4"/>
    <w:rsid w:val="00D11CAE"/>
    <w:rsid w:val="00D12254"/>
    <w:rsid w:val="00D122A9"/>
    <w:rsid w:val="00D122DD"/>
    <w:rsid w:val="00D123BA"/>
    <w:rsid w:val="00D1336A"/>
    <w:rsid w:val="00D13534"/>
    <w:rsid w:val="00D13675"/>
    <w:rsid w:val="00D13A9B"/>
    <w:rsid w:val="00D141E1"/>
    <w:rsid w:val="00D1431B"/>
    <w:rsid w:val="00D1454B"/>
    <w:rsid w:val="00D14973"/>
    <w:rsid w:val="00D14A14"/>
    <w:rsid w:val="00D14F77"/>
    <w:rsid w:val="00D15314"/>
    <w:rsid w:val="00D15421"/>
    <w:rsid w:val="00D1593A"/>
    <w:rsid w:val="00D15B48"/>
    <w:rsid w:val="00D15FDF"/>
    <w:rsid w:val="00D175E4"/>
    <w:rsid w:val="00D17676"/>
    <w:rsid w:val="00D17AF4"/>
    <w:rsid w:val="00D17D6C"/>
    <w:rsid w:val="00D20270"/>
    <w:rsid w:val="00D202C5"/>
    <w:rsid w:val="00D210BF"/>
    <w:rsid w:val="00D2113F"/>
    <w:rsid w:val="00D2155B"/>
    <w:rsid w:val="00D215CE"/>
    <w:rsid w:val="00D21AA4"/>
    <w:rsid w:val="00D21B2D"/>
    <w:rsid w:val="00D21B83"/>
    <w:rsid w:val="00D22118"/>
    <w:rsid w:val="00D22CE7"/>
    <w:rsid w:val="00D230F9"/>
    <w:rsid w:val="00D2319A"/>
    <w:rsid w:val="00D239AE"/>
    <w:rsid w:val="00D23D11"/>
    <w:rsid w:val="00D244B6"/>
    <w:rsid w:val="00D24881"/>
    <w:rsid w:val="00D24C22"/>
    <w:rsid w:val="00D24F3A"/>
    <w:rsid w:val="00D2592A"/>
    <w:rsid w:val="00D25FF3"/>
    <w:rsid w:val="00D26219"/>
    <w:rsid w:val="00D26E0A"/>
    <w:rsid w:val="00D26FF6"/>
    <w:rsid w:val="00D2754D"/>
    <w:rsid w:val="00D27B27"/>
    <w:rsid w:val="00D30564"/>
    <w:rsid w:val="00D30D5B"/>
    <w:rsid w:val="00D30DB4"/>
    <w:rsid w:val="00D310AC"/>
    <w:rsid w:val="00D316ED"/>
    <w:rsid w:val="00D31DBA"/>
    <w:rsid w:val="00D32179"/>
    <w:rsid w:val="00D32296"/>
    <w:rsid w:val="00D32B43"/>
    <w:rsid w:val="00D32DC7"/>
    <w:rsid w:val="00D32E93"/>
    <w:rsid w:val="00D33142"/>
    <w:rsid w:val="00D332B6"/>
    <w:rsid w:val="00D338DD"/>
    <w:rsid w:val="00D33BE9"/>
    <w:rsid w:val="00D33C24"/>
    <w:rsid w:val="00D33CC2"/>
    <w:rsid w:val="00D33CF6"/>
    <w:rsid w:val="00D33F93"/>
    <w:rsid w:val="00D34114"/>
    <w:rsid w:val="00D341D1"/>
    <w:rsid w:val="00D34599"/>
    <w:rsid w:val="00D350DE"/>
    <w:rsid w:val="00D356E7"/>
    <w:rsid w:val="00D357FF"/>
    <w:rsid w:val="00D35924"/>
    <w:rsid w:val="00D362DC"/>
    <w:rsid w:val="00D3657B"/>
    <w:rsid w:val="00D3680B"/>
    <w:rsid w:val="00D36C2C"/>
    <w:rsid w:val="00D36E9A"/>
    <w:rsid w:val="00D36F86"/>
    <w:rsid w:val="00D37B7F"/>
    <w:rsid w:val="00D37B98"/>
    <w:rsid w:val="00D37BA8"/>
    <w:rsid w:val="00D37DEA"/>
    <w:rsid w:val="00D37E65"/>
    <w:rsid w:val="00D40145"/>
    <w:rsid w:val="00D409D7"/>
    <w:rsid w:val="00D40C85"/>
    <w:rsid w:val="00D4124A"/>
    <w:rsid w:val="00D41757"/>
    <w:rsid w:val="00D418EE"/>
    <w:rsid w:val="00D41935"/>
    <w:rsid w:val="00D41B81"/>
    <w:rsid w:val="00D41FEF"/>
    <w:rsid w:val="00D4220C"/>
    <w:rsid w:val="00D42397"/>
    <w:rsid w:val="00D424C7"/>
    <w:rsid w:val="00D425C0"/>
    <w:rsid w:val="00D426D6"/>
    <w:rsid w:val="00D42775"/>
    <w:rsid w:val="00D42B18"/>
    <w:rsid w:val="00D43B2A"/>
    <w:rsid w:val="00D43CF1"/>
    <w:rsid w:val="00D43D83"/>
    <w:rsid w:val="00D442DF"/>
    <w:rsid w:val="00D44679"/>
    <w:rsid w:val="00D44A56"/>
    <w:rsid w:val="00D44A71"/>
    <w:rsid w:val="00D44B15"/>
    <w:rsid w:val="00D4509C"/>
    <w:rsid w:val="00D450B9"/>
    <w:rsid w:val="00D45973"/>
    <w:rsid w:val="00D45CC1"/>
    <w:rsid w:val="00D45DA1"/>
    <w:rsid w:val="00D46663"/>
    <w:rsid w:val="00D4667C"/>
    <w:rsid w:val="00D46A5C"/>
    <w:rsid w:val="00D47575"/>
    <w:rsid w:val="00D50022"/>
    <w:rsid w:val="00D5071F"/>
    <w:rsid w:val="00D50C0E"/>
    <w:rsid w:val="00D50DED"/>
    <w:rsid w:val="00D511AF"/>
    <w:rsid w:val="00D51537"/>
    <w:rsid w:val="00D51E5A"/>
    <w:rsid w:val="00D51FA4"/>
    <w:rsid w:val="00D520D4"/>
    <w:rsid w:val="00D5243B"/>
    <w:rsid w:val="00D5257F"/>
    <w:rsid w:val="00D52CCE"/>
    <w:rsid w:val="00D52CDB"/>
    <w:rsid w:val="00D52D61"/>
    <w:rsid w:val="00D52ED8"/>
    <w:rsid w:val="00D533EC"/>
    <w:rsid w:val="00D544A5"/>
    <w:rsid w:val="00D5472F"/>
    <w:rsid w:val="00D55393"/>
    <w:rsid w:val="00D55661"/>
    <w:rsid w:val="00D55DE5"/>
    <w:rsid w:val="00D55F1F"/>
    <w:rsid w:val="00D55F47"/>
    <w:rsid w:val="00D567AE"/>
    <w:rsid w:val="00D567DE"/>
    <w:rsid w:val="00D56A95"/>
    <w:rsid w:val="00D56FE9"/>
    <w:rsid w:val="00D57A1B"/>
    <w:rsid w:val="00D57ABC"/>
    <w:rsid w:val="00D57DB2"/>
    <w:rsid w:val="00D603C8"/>
    <w:rsid w:val="00D6056C"/>
    <w:rsid w:val="00D6076E"/>
    <w:rsid w:val="00D60821"/>
    <w:rsid w:val="00D61115"/>
    <w:rsid w:val="00D6155D"/>
    <w:rsid w:val="00D61ADB"/>
    <w:rsid w:val="00D61E9D"/>
    <w:rsid w:val="00D62093"/>
    <w:rsid w:val="00D6233A"/>
    <w:rsid w:val="00D62793"/>
    <w:rsid w:val="00D62F06"/>
    <w:rsid w:val="00D63445"/>
    <w:rsid w:val="00D634B0"/>
    <w:rsid w:val="00D635BF"/>
    <w:rsid w:val="00D63A04"/>
    <w:rsid w:val="00D642B1"/>
    <w:rsid w:val="00D642EF"/>
    <w:rsid w:val="00D656A8"/>
    <w:rsid w:val="00D6609C"/>
    <w:rsid w:val="00D665D0"/>
    <w:rsid w:val="00D669B6"/>
    <w:rsid w:val="00D66DC7"/>
    <w:rsid w:val="00D66E5F"/>
    <w:rsid w:val="00D67488"/>
    <w:rsid w:val="00D67B4A"/>
    <w:rsid w:val="00D70F16"/>
    <w:rsid w:val="00D70F54"/>
    <w:rsid w:val="00D712F3"/>
    <w:rsid w:val="00D712F4"/>
    <w:rsid w:val="00D7195E"/>
    <w:rsid w:val="00D719D1"/>
    <w:rsid w:val="00D71F94"/>
    <w:rsid w:val="00D721CC"/>
    <w:rsid w:val="00D72617"/>
    <w:rsid w:val="00D72A0D"/>
    <w:rsid w:val="00D72D26"/>
    <w:rsid w:val="00D72E93"/>
    <w:rsid w:val="00D72F57"/>
    <w:rsid w:val="00D73383"/>
    <w:rsid w:val="00D7372A"/>
    <w:rsid w:val="00D73B09"/>
    <w:rsid w:val="00D74131"/>
    <w:rsid w:val="00D74808"/>
    <w:rsid w:val="00D748F1"/>
    <w:rsid w:val="00D75321"/>
    <w:rsid w:val="00D75558"/>
    <w:rsid w:val="00D75DED"/>
    <w:rsid w:val="00D76191"/>
    <w:rsid w:val="00D767CA"/>
    <w:rsid w:val="00D76A44"/>
    <w:rsid w:val="00D76E66"/>
    <w:rsid w:val="00D779E7"/>
    <w:rsid w:val="00D77B24"/>
    <w:rsid w:val="00D80C1B"/>
    <w:rsid w:val="00D80F24"/>
    <w:rsid w:val="00D815EF"/>
    <w:rsid w:val="00D81949"/>
    <w:rsid w:val="00D81A6A"/>
    <w:rsid w:val="00D81F26"/>
    <w:rsid w:val="00D81F74"/>
    <w:rsid w:val="00D822E2"/>
    <w:rsid w:val="00D826D4"/>
    <w:rsid w:val="00D828F8"/>
    <w:rsid w:val="00D836C3"/>
    <w:rsid w:val="00D83D33"/>
    <w:rsid w:val="00D83F9F"/>
    <w:rsid w:val="00D843F2"/>
    <w:rsid w:val="00D84415"/>
    <w:rsid w:val="00D84E82"/>
    <w:rsid w:val="00D8525E"/>
    <w:rsid w:val="00D85572"/>
    <w:rsid w:val="00D8592B"/>
    <w:rsid w:val="00D8611B"/>
    <w:rsid w:val="00D86231"/>
    <w:rsid w:val="00D86283"/>
    <w:rsid w:val="00D865B7"/>
    <w:rsid w:val="00D86CD4"/>
    <w:rsid w:val="00D86E58"/>
    <w:rsid w:val="00D87BFE"/>
    <w:rsid w:val="00D90276"/>
    <w:rsid w:val="00D9038E"/>
    <w:rsid w:val="00D90A0C"/>
    <w:rsid w:val="00D90AE0"/>
    <w:rsid w:val="00D90C55"/>
    <w:rsid w:val="00D9126C"/>
    <w:rsid w:val="00D912AB"/>
    <w:rsid w:val="00D91499"/>
    <w:rsid w:val="00D91923"/>
    <w:rsid w:val="00D929DB"/>
    <w:rsid w:val="00D92AA7"/>
    <w:rsid w:val="00D92D9D"/>
    <w:rsid w:val="00D93753"/>
    <w:rsid w:val="00D937B3"/>
    <w:rsid w:val="00D93AF1"/>
    <w:rsid w:val="00D93EBF"/>
    <w:rsid w:val="00D94673"/>
    <w:rsid w:val="00D9479F"/>
    <w:rsid w:val="00D94DA2"/>
    <w:rsid w:val="00D94DE4"/>
    <w:rsid w:val="00D956C0"/>
    <w:rsid w:val="00D957AC"/>
    <w:rsid w:val="00D95867"/>
    <w:rsid w:val="00D959CB"/>
    <w:rsid w:val="00D95CE4"/>
    <w:rsid w:val="00D95DE0"/>
    <w:rsid w:val="00D966F5"/>
    <w:rsid w:val="00D9692E"/>
    <w:rsid w:val="00D96EE2"/>
    <w:rsid w:val="00D97001"/>
    <w:rsid w:val="00D9716E"/>
    <w:rsid w:val="00D97DD7"/>
    <w:rsid w:val="00D97EF3"/>
    <w:rsid w:val="00DA0211"/>
    <w:rsid w:val="00DA0322"/>
    <w:rsid w:val="00DA0651"/>
    <w:rsid w:val="00DA08D4"/>
    <w:rsid w:val="00DA0C07"/>
    <w:rsid w:val="00DA0CB1"/>
    <w:rsid w:val="00DA0CD0"/>
    <w:rsid w:val="00DA1528"/>
    <w:rsid w:val="00DA1C5C"/>
    <w:rsid w:val="00DA1E8A"/>
    <w:rsid w:val="00DA2657"/>
    <w:rsid w:val="00DA29DA"/>
    <w:rsid w:val="00DA2FA1"/>
    <w:rsid w:val="00DA3167"/>
    <w:rsid w:val="00DA32DA"/>
    <w:rsid w:val="00DA34EC"/>
    <w:rsid w:val="00DA358A"/>
    <w:rsid w:val="00DA35B8"/>
    <w:rsid w:val="00DA36A0"/>
    <w:rsid w:val="00DA37C3"/>
    <w:rsid w:val="00DA3A29"/>
    <w:rsid w:val="00DA3BF6"/>
    <w:rsid w:val="00DA40B0"/>
    <w:rsid w:val="00DA46D9"/>
    <w:rsid w:val="00DA4DC3"/>
    <w:rsid w:val="00DA4E0B"/>
    <w:rsid w:val="00DA5109"/>
    <w:rsid w:val="00DA5201"/>
    <w:rsid w:val="00DA5287"/>
    <w:rsid w:val="00DA54E0"/>
    <w:rsid w:val="00DA595D"/>
    <w:rsid w:val="00DA5966"/>
    <w:rsid w:val="00DA5FF8"/>
    <w:rsid w:val="00DA60DF"/>
    <w:rsid w:val="00DA62BC"/>
    <w:rsid w:val="00DA6B3E"/>
    <w:rsid w:val="00DA6E1D"/>
    <w:rsid w:val="00DA77A5"/>
    <w:rsid w:val="00DA7A23"/>
    <w:rsid w:val="00DB0165"/>
    <w:rsid w:val="00DB055A"/>
    <w:rsid w:val="00DB0E36"/>
    <w:rsid w:val="00DB0F44"/>
    <w:rsid w:val="00DB1300"/>
    <w:rsid w:val="00DB17C1"/>
    <w:rsid w:val="00DB19DA"/>
    <w:rsid w:val="00DB21FA"/>
    <w:rsid w:val="00DB2203"/>
    <w:rsid w:val="00DB2723"/>
    <w:rsid w:val="00DB287F"/>
    <w:rsid w:val="00DB2D34"/>
    <w:rsid w:val="00DB2EC0"/>
    <w:rsid w:val="00DB3270"/>
    <w:rsid w:val="00DB32A1"/>
    <w:rsid w:val="00DB3605"/>
    <w:rsid w:val="00DB361B"/>
    <w:rsid w:val="00DB365C"/>
    <w:rsid w:val="00DB3675"/>
    <w:rsid w:val="00DB3DBF"/>
    <w:rsid w:val="00DB3E0B"/>
    <w:rsid w:val="00DB3F05"/>
    <w:rsid w:val="00DB4051"/>
    <w:rsid w:val="00DB484F"/>
    <w:rsid w:val="00DB5478"/>
    <w:rsid w:val="00DB58B5"/>
    <w:rsid w:val="00DB5C73"/>
    <w:rsid w:val="00DB5F0D"/>
    <w:rsid w:val="00DB5F63"/>
    <w:rsid w:val="00DB60A2"/>
    <w:rsid w:val="00DB61BC"/>
    <w:rsid w:val="00DB626F"/>
    <w:rsid w:val="00DB7530"/>
    <w:rsid w:val="00DB79D7"/>
    <w:rsid w:val="00DC02C3"/>
    <w:rsid w:val="00DC030A"/>
    <w:rsid w:val="00DC046D"/>
    <w:rsid w:val="00DC04F6"/>
    <w:rsid w:val="00DC0690"/>
    <w:rsid w:val="00DC0A0A"/>
    <w:rsid w:val="00DC1200"/>
    <w:rsid w:val="00DC12DD"/>
    <w:rsid w:val="00DC1649"/>
    <w:rsid w:val="00DC1D65"/>
    <w:rsid w:val="00DC23B0"/>
    <w:rsid w:val="00DC244D"/>
    <w:rsid w:val="00DC2477"/>
    <w:rsid w:val="00DC2916"/>
    <w:rsid w:val="00DC2BF2"/>
    <w:rsid w:val="00DC332B"/>
    <w:rsid w:val="00DC36CD"/>
    <w:rsid w:val="00DC3891"/>
    <w:rsid w:val="00DC3965"/>
    <w:rsid w:val="00DC3C57"/>
    <w:rsid w:val="00DC3E74"/>
    <w:rsid w:val="00DC4D62"/>
    <w:rsid w:val="00DC540F"/>
    <w:rsid w:val="00DC54F2"/>
    <w:rsid w:val="00DC5501"/>
    <w:rsid w:val="00DC586E"/>
    <w:rsid w:val="00DC5870"/>
    <w:rsid w:val="00DC5DE4"/>
    <w:rsid w:val="00DC627C"/>
    <w:rsid w:val="00DC62AC"/>
    <w:rsid w:val="00DC64EA"/>
    <w:rsid w:val="00DC7154"/>
    <w:rsid w:val="00DC73DF"/>
    <w:rsid w:val="00DC7DFE"/>
    <w:rsid w:val="00DC7E8A"/>
    <w:rsid w:val="00DC7EA1"/>
    <w:rsid w:val="00DD059A"/>
    <w:rsid w:val="00DD0702"/>
    <w:rsid w:val="00DD0808"/>
    <w:rsid w:val="00DD08C6"/>
    <w:rsid w:val="00DD0E99"/>
    <w:rsid w:val="00DD0EC3"/>
    <w:rsid w:val="00DD0F78"/>
    <w:rsid w:val="00DD1656"/>
    <w:rsid w:val="00DD1745"/>
    <w:rsid w:val="00DD1814"/>
    <w:rsid w:val="00DD1E9B"/>
    <w:rsid w:val="00DD21D7"/>
    <w:rsid w:val="00DD2652"/>
    <w:rsid w:val="00DD273C"/>
    <w:rsid w:val="00DD2794"/>
    <w:rsid w:val="00DD2E1B"/>
    <w:rsid w:val="00DD2F1E"/>
    <w:rsid w:val="00DD2FA4"/>
    <w:rsid w:val="00DD3F28"/>
    <w:rsid w:val="00DD4019"/>
    <w:rsid w:val="00DD4248"/>
    <w:rsid w:val="00DD4405"/>
    <w:rsid w:val="00DD4446"/>
    <w:rsid w:val="00DD4537"/>
    <w:rsid w:val="00DD49B9"/>
    <w:rsid w:val="00DD4C2B"/>
    <w:rsid w:val="00DD4C46"/>
    <w:rsid w:val="00DD4D53"/>
    <w:rsid w:val="00DD4E15"/>
    <w:rsid w:val="00DD4EF8"/>
    <w:rsid w:val="00DD56A9"/>
    <w:rsid w:val="00DD58FA"/>
    <w:rsid w:val="00DD5FA2"/>
    <w:rsid w:val="00DD71EA"/>
    <w:rsid w:val="00DD780D"/>
    <w:rsid w:val="00DD7B6A"/>
    <w:rsid w:val="00DE02A5"/>
    <w:rsid w:val="00DE0A09"/>
    <w:rsid w:val="00DE0FB7"/>
    <w:rsid w:val="00DE18C2"/>
    <w:rsid w:val="00DE1D5C"/>
    <w:rsid w:val="00DE2304"/>
    <w:rsid w:val="00DE3138"/>
    <w:rsid w:val="00DE37F8"/>
    <w:rsid w:val="00DE3909"/>
    <w:rsid w:val="00DE3963"/>
    <w:rsid w:val="00DE3A2E"/>
    <w:rsid w:val="00DE3ED5"/>
    <w:rsid w:val="00DE4273"/>
    <w:rsid w:val="00DE4FCB"/>
    <w:rsid w:val="00DE58AC"/>
    <w:rsid w:val="00DE5D07"/>
    <w:rsid w:val="00DE5D23"/>
    <w:rsid w:val="00DE6C0A"/>
    <w:rsid w:val="00DE72A7"/>
    <w:rsid w:val="00DE7832"/>
    <w:rsid w:val="00DE7C25"/>
    <w:rsid w:val="00DE7FE0"/>
    <w:rsid w:val="00DF00D1"/>
    <w:rsid w:val="00DF05BA"/>
    <w:rsid w:val="00DF0643"/>
    <w:rsid w:val="00DF0D6F"/>
    <w:rsid w:val="00DF0D7D"/>
    <w:rsid w:val="00DF121C"/>
    <w:rsid w:val="00DF13A5"/>
    <w:rsid w:val="00DF15B4"/>
    <w:rsid w:val="00DF15D0"/>
    <w:rsid w:val="00DF15DB"/>
    <w:rsid w:val="00DF1709"/>
    <w:rsid w:val="00DF18EB"/>
    <w:rsid w:val="00DF18FC"/>
    <w:rsid w:val="00DF19C0"/>
    <w:rsid w:val="00DF1A47"/>
    <w:rsid w:val="00DF20C2"/>
    <w:rsid w:val="00DF2CE3"/>
    <w:rsid w:val="00DF2D1E"/>
    <w:rsid w:val="00DF30DF"/>
    <w:rsid w:val="00DF363A"/>
    <w:rsid w:val="00DF3B26"/>
    <w:rsid w:val="00DF3C26"/>
    <w:rsid w:val="00DF3CB0"/>
    <w:rsid w:val="00DF3E9A"/>
    <w:rsid w:val="00DF4917"/>
    <w:rsid w:val="00DF4ABC"/>
    <w:rsid w:val="00DF4CF8"/>
    <w:rsid w:val="00DF4E47"/>
    <w:rsid w:val="00DF5569"/>
    <w:rsid w:val="00DF57CE"/>
    <w:rsid w:val="00DF5CF5"/>
    <w:rsid w:val="00DF5D2B"/>
    <w:rsid w:val="00DF60D0"/>
    <w:rsid w:val="00DF6341"/>
    <w:rsid w:val="00DF6512"/>
    <w:rsid w:val="00DF6536"/>
    <w:rsid w:val="00DF6920"/>
    <w:rsid w:val="00DF6A65"/>
    <w:rsid w:val="00DF6A69"/>
    <w:rsid w:val="00DF6E58"/>
    <w:rsid w:val="00DF79D9"/>
    <w:rsid w:val="00DF7C08"/>
    <w:rsid w:val="00DF7CC5"/>
    <w:rsid w:val="00E001CA"/>
    <w:rsid w:val="00E005B1"/>
    <w:rsid w:val="00E005F2"/>
    <w:rsid w:val="00E00A3F"/>
    <w:rsid w:val="00E00ABB"/>
    <w:rsid w:val="00E00E8E"/>
    <w:rsid w:val="00E01272"/>
    <w:rsid w:val="00E012AF"/>
    <w:rsid w:val="00E01782"/>
    <w:rsid w:val="00E01A12"/>
    <w:rsid w:val="00E0294E"/>
    <w:rsid w:val="00E02AF5"/>
    <w:rsid w:val="00E02BE9"/>
    <w:rsid w:val="00E02BFF"/>
    <w:rsid w:val="00E03710"/>
    <w:rsid w:val="00E046D1"/>
    <w:rsid w:val="00E04711"/>
    <w:rsid w:val="00E047B6"/>
    <w:rsid w:val="00E04A03"/>
    <w:rsid w:val="00E052B5"/>
    <w:rsid w:val="00E05630"/>
    <w:rsid w:val="00E05A78"/>
    <w:rsid w:val="00E05DEB"/>
    <w:rsid w:val="00E06074"/>
    <w:rsid w:val="00E06178"/>
    <w:rsid w:val="00E06208"/>
    <w:rsid w:val="00E06842"/>
    <w:rsid w:val="00E06DBB"/>
    <w:rsid w:val="00E070FC"/>
    <w:rsid w:val="00E07109"/>
    <w:rsid w:val="00E0728D"/>
    <w:rsid w:val="00E073BA"/>
    <w:rsid w:val="00E074C4"/>
    <w:rsid w:val="00E07861"/>
    <w:rsid w:val="00E07A3A"/>
    <w:rsid w:val="00E07BC2"/>
    <w:rsid w:val="00E10149"/>
    <w:rsid w:val="00E11340"/>
    <w:rsid w:val="00E11C5D"/>
    <w:rsid w:val="00E12013"/>
    <w:rsid w:val="00E122A1"/>
    <w:rsid w:val="00E12327"/>
    <w:rsid w:val="00E12862"/>
    <w:rsid w:val="00E129DC"/>
    <w:rsid w:val="00E12A47"/>
    <w:rsid w:val="00E12DCA"/>
    <w:rsid w:val="00E1356B"/>
    <w:rsid w:val="00E14256"/>
    <w:rsid w:val="00E142B8"/>
    <w:rsid w:val="00E14541"/>
    <w:rsid w:val="00E14961"/>
    <w:rsid w:val="00E14A67"/>
    <w:rsid w:val="00E15421"/>
    <w:rsid w:val="00E1542F"/>
    <w:rsid w:val="00E15540"/>
    <w:rsid w:val="00E16372"/>
    <w:rsid w:val="00E166D1"/>
    <w:rsid w:val="00E16A66"/>
    <w:rsid w:val="00E16AD8"/>
    <w:rsid w:val="00E16E4C"/>
    <w:rsid w:val="00E1789B"/>
    <w:rsid w:val="00E17FFA"/>
    <w:rsid w:val="00E202A1"/>
    <w:rsid w:val="00E20309"/>
    <w:rsid w:val="00E20370"/>
    <w:rsid w:val="00E2054C"/>
    <w:rsid w:val="00E2056C"/>
    <w:rsid w:val="00E20CFE"/>
    <w:rsid w:val="00E20E4D"/>
    <w:rsid w:val="00E20ED6"/>
    <w:rsid w:val="00E20F79"/>
    <w:rsid w:val="00E21358"/>
    <w:rsid w:val="00E213CE"/>
    <w:rsid w:val="00E2143D"/>
    <w:rsid w:val="00E2165B"/>
    <w:rsid w:val="00E22025"/>
    <w:rsid w:val="00E222E4"/>
    <w:rsid w:val="00E2232B"/>
    <w:rsid w:val="00E22395"/>
    <w:rsid w:val="00E223B6"/>
    <w:rsid w:val="00E2249B"/>
    <w:rsid w:val="00E225D1"/>
    <w:rsid w:val="00E22707"/>
    <w:rsid w:val="00E22A0D"/>
    <w:rsid w:val="00E22AC1"/>
    <w:rsid w:val="00E23126"/>
    <w:rsid w:val="00E23DD7"/>
    <w:rsid w:val="00E244F6"/>
    <w:rsid w:val="00E245A4"/>
    <w:rsid w:val="00E247A6"/>
    <w:rsid w:val="00E249D7"/>
    <w:rsid w:val="00E24E1B"/>
    <w:rsid w:val="00E25642"/>
    <w:rsid w:val="00E25779"/>
    <w:rsid w:val="00E258DB"/>
    <w:rsid w:val="00E2595F"/>
    <w:rsid w:val="00E25B21"/>
    <w:rsid w:val="00E25CAD"/>
    <w:rsid w:val="00E25EDD"/>
    <w:rsid w:val="00E25FA0"/>
    <w:rsid w:val="00E26154"/>
    <w:rsid w:val="00E263CA"/>
    <w:rsid w:val="00E26452"/>
    <w:rsid w:val="00E2667C"/>
    <w:rsid w:val="00E26984"/>
    <w:rsid w:val="00E26B8A"/>
    <w:rsid w:val="00E26DA4"/>
    <w:rsid w:val="00E26F1D"/>
    <w:rsid w:val="00E27296"/>
    <w:rsid w:val="00E274F7"/>
    <w:rsid w:val="00E27569"/>
    <w:rsid w:val="00E2771E"/>
    <w:rsid w:val="00E27B09"/>
    <w:rsid w:val="00E27C5E"/>
    <w:rsid w:val="00E27FE0"/>
    <w:rsid w:val="00E300A1"/>
    <w:rsid w:val="00E301EC"/>
    <w:rsid w:val="00E302C1"/>
    <w:rsid w:val="00E30693"/>
    <w:rsid w:val="00E30CA7"/>
    <w:rsid w:val="00E311EF"/>
    <w:rsid w:val="00E317FC"/>
    <w:rsid w:val="00E31980"/>
    <w:rsid w:val="00E319AC"/>
    <w:rsid w:val="00E31FED"/>
    <w:rsid w:val="00E32180"/>
    <w:rsid w:val="00E32499"/>
    <w:rsid w:val="00E33630"/>
    <w:rsid w:val="00E336C9"/>
    <w:rsid w:val="00E33F4F"/>
    <w:rsid w:val="00E33F8E"/>
    <w:rsid w:val="00E33F92"/>
    <w:rsid w:val="00E33F98"/>
    <w:rsid w:val="00E34118"/>
    <w:rsid w:val="00E34391"/>
    <w:rsid w:val="00E3478A"/>
    <w:rsid w:val="00E34828"/>
    <w:rsid w:val="00E34948"/>
    <w:rsid w:val="00E34CF8"/>
    <w:rsid w:val="00E351B6"/>
    <w:rsid w:val="00E36430"/>
    <w:rsid w:val="00E36453"/>
    <w:rsid w:val="00E365FC"/>
    <w:rsid w:val="00E366D9"/>
    <w:rsid w:val="00E36BAE"/>
    <w:rsid w:val="00E36FE6"/>
    <w:rsid w:val="00E37569"/>
    <w:rsid w:val="00E37C4A"/>
    <w:rsid w:val="00E37CC3"/>
    <w:rsid w:val="00E400F7"/>
    <w:rsid w:val="00E401B2"/>
    <w:rsid w:val="00E40A11"/>
    <w:rsid w:val="00E40CB4"/>
    <w:rsid w:val="00E40FC7"/>
    <w:rsid w:val="00E413BE"/>
    <w:rsid w:val="00E4165E"/>
    <w:rsid w:val="00E419FC"/>
    <w:rsid w:val="00E41AC0"/>
    <w:rsid w:val="00E41E30"/>
    <w:rsid w:val="00E42B5D"/>
    <w:rsid w:val="00E42DEE"/>
    <w:rsid w:val="00E42F73"/>
    <w:rsid w:val="00E42FBE"/>
    <w:rsid w:val="00E4357C"/>
    <w:rsid w:val="00E4395F"/>
    <w:rsid w:val="00E43D0E"/>
    <w:rsid w:val="00E43D70"/>
    <w:rsid w:val="00E4411D"/>
    <w:rsid w:val="00E4435C"/>
    <w:rsid w:val="00E4437D"/>
    <w:rsid w:val="00E4491B"/>
    <w:rsid w:val="00E44B41"/>
    <w:rsid w:val="00E4512C"/>
    <w:rsid w:val="00E45135"/>
    <w:rsid w:val="00E452E4"/>
    <w:rsid w:val="00E4555E"/>
    <w:rsid w:val="00E45BD5"/>
    <w:rsid w:val="00E45E96"/>
    <w:rsid w:val="00E45FC1"/>
    <w:rsid w:val="00E464F1"/>
    <w:rsid w:val="00E465D6"/>
    <w:rsid w:val="00E466F3"/>
    <w:rsid w:val="00E46772"/>
    <w:rsid w:val="00E46A65"/>
    <w:rsid w:val="00E470E2"/>
    <w:rsid w:val="00E47192"/>
    <w:rsid w:val="00E47AA8"/>
    <w:rsid w:val="00E47B2C"/>
    <w:rsid w:val="00E500E4"/>
    <w:rsid w:val="00E50F29"/>
    <w:rsid w:val="00E510A5"/>
    <w:rsid w:val="00E51560"/>
    <w:rsid w:val="00E5172B"/>
    <w:rsid w:val="00E51821"/>
    <w:rsid w:val="00E51855"/>
    <w:rsid w:val="00E52104"/>
    <w:rsid w:val="00E52523"/>
    <w:rsid w:val="00E5289D"/>
    <w:rsid w:val="00E52A56"/>
    <w:rsid w:val="00E5355E"/>
    <w:rsid w:val="00E535D3"/>
    <w:rsid w:val="00E53AA5"/>
    <w:rsid w:val="00E53FC8"/>
    <w:rsid w:val="00E54066"/>
    <w:rsid w:val="00E540CC"/>
    <w:rsid w:val="00E54103"/>
    <w:rsid w:val="00E54347"/>
    <w:rsid w:val="00E549E2"/>
    <w:rsid w:val="00E54C51"/>
    <w:rsid w:val="00E54EAC"/>
    <w:rsid w:val="00E55424"/>
    <w:rsid w:val="00E55664"/>
    <w:rsid w:val="00E55804"/>
    <w:rsid w:val="00E55915"/>
    <w:rsid w:val="00E55934"/>
    <w:rsid w:val="00E55BB5"/>
    <w:rsid w:val="00E55D0E"/>
    <w:rsid w:val="00E55FE5"/>
    <w:rsid w:val="00E56468"/>
    <w:rsid w:val="00E56873"/>
    <w:rsid w:val="00E568B8"/>
    <w:rsid w:val="00E5756B"/>
    <w:rsid w:val="00E576D1"/>
    <w:rsid w:val="00E57820"/>
    <w:rsid w:val="00E5793A"/>
    <w:rsid w:val="00E57D69"/>
    <w:rsid w:val="00E57DD4"/>
    <w:rsid w:val="00E6016E"/>
    <w:rsid w:val="00E60C3A"/>
    <w:rsid w:val="00E60F7E"/>
    <w:rsid w:val="00E611DF"/>
    <w:rsid w:val="00E61423"/>
    <w:rsid w:val="00E61BED"/>
    <w:rsid w:val="00E61DCA"/>
    <w:rsid w:val="00E622C7"/>
    <w:rsid w:val="00E622CF"/>
    <w:rsid w:val="00E622FD"/>
    <w:rsid w:val="00E62B9E"/>
    <w:rsid w:val="00E62E23"/>
    <w:rsid w:val="00E62F34"/>
    <w:rsid w:val="00E639FE"/>
    <w:rsid w:val="00E63EA7"/>
    <w:rsid w:val="00E6451D"/>
    <w:rsid w:val="00E645E4"/>
    <w:rsid w:val="00E64A10"/>
    <w:rsid w:val="00E653AE"/>
    <w:rsid w:val="00E65D1E"/>
    <w:rsid w:val="00E65D6C"/>
    <w:rsid w:val="00E65E79"/>
    <w:rsid w:val="00E666EF"/>
    <w:rsid w:val="00E669B3"/>
    <w:rsid w:val="00E66BA2"/>
    <w:rsid w:val="00E67416"/>
    <w:rsid w:val="00E6771D"/>
    <w:rsid w:val="00E67E36"/>
    <w:rsid w:val="00E67FDC"/>
    <w:rsid w:val="00E7047A"/>
    <w:rsid w:val="00E70A11"/>
    <w:rsid w:val="00E70CA9"/>
    <w:rsid w:val="00E71274"/>
    <w:rsid w:val="00E71417"/>
    <w:rsid w:val="00E714AD"/>
    <w:rsid w:val="00E71542"/>
    <w:rsid w:val="00E7181B"/>
    <w:rsid w:val="00E71897"/>
    <w:rsid w:val="00E718B6"/>
    <w:rsid w:val="00E71920"/>
    <w:rsid w:val="00E71B62"/>
    <w:rsid w:val="00E71F98"/>
    <w:rsid w:val="00E723BA"/>
    <w:rsid w:val="00E7253F"/>
    <w:rsid w:val="00E72B2C"/>
    <w:rsid w:val="00E72B4D"/>
    <w:rsid w:val="00E72B71"/>
    <w:rsid w:val="00E72D2F"/>
    <w:rsid w:val="00E72E9F"/>
    <w:rsid w:val="00E72FB4"/>
    <w:rsid w:val="00E734C9"/>
    <w:rsid w:val="00E73581"/>
    <w:rsid w:val="00E73D63"/>
    <w:rsid w:val="00E73EB7"/>
    <w:rsid w:val="00E7412A"/>
    <w:rsid w:val="00E741DD"/>
    <w:rsid w:val="00E7496C"/>
    <w:rsid w:val="00E74B51"/>
    <w:rsid w:val="00E74B5F"/>
    <w:rsid w:val="00E75240"/>
    <w:rsid w:val="00E757B9"/>
    <w:rsid w:val="00E75B65"/>
    <w:rsid w:val="00E75C03"/>
    <w:rsid w:val="00E75CB9"/>
    <w:rsid w:val="00E7617F"/>
    <w:rsid w:val="00E76525"/>
    <w:rsid w:val="00E76A55"/>
    <w:rsid w:val="00E76C7A"/>
    <w:rsid w:val="00E76D2D"/>
    <w:rsid w:val="00E7700C"/>
    <w:rsid w:val="00E77220"/>
    <w:rsid w:val="00E774D7"/>
    <w:rsid w:val="00E80219"/>
    <w:rsid w:val="00E80997"/>
    <w:rsid w:val="00E810A0"/>
    <w:rsid w:val="00E81DBB"/>
    <w:rsid w:val="00E81E21"/>
    <w:rsid w:val="00E81F90"/>
    <w:rsid w:val="00E82CFF"/>
    <w:rsid w:val="00E833F7"/>
    <w:rsid w:val="00E83562"/>
    <w:rsid w:val="00E836F8"/>
    <w:rsid w:val="00E8395F"/>
    <w:rsid w:val="00E839AF"/>
    <w:rsid w:val="00E83BDF"/>
    <w:rsid w:val="00E842CB"/>
    <w:rsid w:val="00E84451"/>
    <w:rsid w:val="00E8484E"/>
    <w:rsid w:val="00E84AE4"/>
    <w:rsid w:val="00E84C2F"/>
    <w:rsid w:val="00E84EDF"/>
    <w:rsid w:val="00E853C5"/>
    <w:rsid w:val="00E85462"/>
    <w:rsid w:val="00E85EEE"/>
    <w:rsid w:val="00E86581"/>
    <w:rsid w:val="00E8663F"/>
    <w:rsid w:val="00E866B8"/>
    <w:rsid w:val="00E86743"/>
    <w:rsid w:val="00E86FCC"/>
    <w:rsid w:val="00E87382"/>
    <w:rsid w:val="00E87A1D"/>
    <w:rsid w:val="00E87CC9"/>
    <w:rsid w:val="00E87D70"/>
    <w:rsid w:val="00E9094A"/>
    <w:rsid w:val="00E91098"/>
    <w:rsid w:val="00E91373"/>
    <w:rsid w:val="00E917D8"/>
    <w:rsid w:val="00E91B91"/>
    <w:rsid w:val="00E91D35"/>
    <w:rsid w:val="00E922B9"/>
    <w:rsid w:val="00E926A5"/>
    <w:rsid w:val="00E92722"/>
    <w:rsid w:val="00E92A02"/>
    <w:rsid w:val="00E9313B"/>
    <w:rsid w:val="00E93B8A"/>
    <w:rsid w:val="00E93DCE"/>
    <w:rsid w:val="00E93F39"/>
    <w:rsid w:val="00E944D9"/>
    <w:rsid w:val="00E95415"/>
    <w:rsid w:val="00E95531"/>
    <w:rsid w:val="00E95816"/>
    <w:rsid w:val="00E9620C"/>
    <w:rsid w:val="00E9622A"/>
    <w:rsid w:val="00E962CC"/>
    <w:rsid w:val="00E9762B"/>
    <w:rsid w:val="00EA0FAC"/>
    <w:rsid w:val="00EA10DB"/>
    <w:rsid w:val="00EA1214"/>
    <w:rsid w:val="00EA1233"/>
    <w:rsid w:val="00EA17C3"/>
    <w:rsid w:val="00EA1891"/>
    <w:rsid w:val="00EA1A21"/>
    <w:rsid w:val="00EA1CAA"/>
    <w:rsid w:val="00EA2320"/>
    <w:rsid w:val="00EA24F4"/>
    <w:rsid w:val="00EA283F"/>
    <w:rsid w:val="00EA2CAA"/>
    <w:rsid w:val="00EA2F91"/>
    <w:rsid w:val="00EA32E5"/>
    <w:rsid w:val="00EA34FF"/>
    <w:rsid w:val="00EA3830"/>
    <w:rsid w:val="00EA3864"/>
    <w:rsid w:val="00EA3BF9"/>
    <w:rsid w:val="00EA3C9D"/>
    <w:rsid w:val="00EA40A1"/>
    <w:rsid w:val="00EA446D"/>
    <w:rsid w:val="00EA4E69"/>
    <w:rsid w:val="00EA503F"/>
    <w:rsid w:val="00EA5439"/>
    <w:rsid w:val="00EA544F"/>
    <w:rsid w:val="00EA5867"/>
    <w:rsid w:val="00EA58BD"/>
    <w:rsid w:val="00EA5D4F"/>
    <w:rsid w:val="00EA60DE"/>
    <w:rsid w:val="00EA68D7"/>
    <w:rsid w:val="00EA6CEA"/>
    <w:rsid w:val="00EA7301"/>
    <w:rsid w:val="00EA73BD"/>
    <w:rsid w:val="00EA7584"/>
    <w:rsid w:val="00EA78FE"/>
    <w:rsid w:val="00EA7F1C"/>
    <w:rsid w:val="00EB01B0"/>
    <w:rsid w:val="00EB0416"/>
    <w:rsid w:val="00EB070E"/>
    <w:rsid w:val="00EB0B49"/>
    <w:rsid w:val="00EB0EC0"/>
    <w:rsid w:val="00EB1086"/>
    <w:rsid w:val="00EB13C4"/>
    <w:rsid w:val="00EB13F2"/>
    <w:rsid w:val="00EB15B6"/>
    <w:rsid w:val="00EB15F3"/>
    <w:rsid w:val="00EB1A98"/>
    <w:rsid w:val="00EB1B87"/>
    <w:rsid w:val="00EB1BEE"/>
    <w:rsid w:val="00EB1C26"/>
    <w:rsid w:val="00EB20B4"/>
    <w:rsid w:val="00EB20C9"/>
    <w:rsid w:val="00EB2183"/>
    <w:rsid w:val="00EB26B5"/>
    <w:rsid w:val="00EB29D6"/>
    <w:rsid w:val="00EB3262"/>
    <w:rsid w:val="00EB32AC"/>
    <w:rsid w:val="00EB39F3"/>
    <w:rsid w:val="00EB3D06"/>
    <w:rsid w:val="00EB3E8F"/>
    <w:rsid w:val="00EB4916"/>
    <w:rsid w:val="00EB50CF"/>
    <w:rsid w:val="00EB54F1"/>
    <w:rsid w:val="00EB5573"/>
    <w:rsid w:val="00EB581A"/>
    <w:rsid w:val="00EB60BA"/>
    <w:rsid w:val="00EB6587"/>
    <w:rsid w:val="00EB6804"/>
    <w:rsid w:val="00EB6F37"/>
    <w:rsid w:val="00EB71E3"/>
    <w:rsid w:val="00EB7378"/>
    <w:rsid w:val="00EB74FC"/>
    <w:rsid w:val="00EB78FD"/>
    <w:rsid w:val="00EB79C0"/>
    <w:rsid w:val="00EC00C9"/>
    <w:rsid w:val="00EC029F"/>
    <w:rsid w:val="00EC0942"/>
    <w:rsid w:val="00EC0DD9"/>
    <w:rsid w:val="00EC0F1B"/>
    <w:rsid w:val="00EC1E1A"/>
    <w:rsid w:val="00EC1F37"/>
    <w:rsid w:val="00EC208C"/>
    <w:rsid w:val="00EC2598"/>
    <w:rsid w:val="00EC2649"/>
    <w:rsid w:val="00EC26F6"/>
    <w:rsid w:val="00EC303E"/>
    <w:rsid w:val="00EC30C8"/>
    <w:rsid w:val="00EC31ED"/>
    <w:rsid w:val="00EC34EA"/>
    <w:rsid w:val="00EC38F3"/>
    <w:rsid w:val="00EC3D09"/>
    <w:rsid w:val="00EC3D95"/>
    <w:rsid w:val="00EC3EE4"/>
    <w:rsid w:val="00EC4041"/>
    <w:rsid w:val="00EC4670"/>
    <w:rsid w:val="00EC4726"/>
    <w:rsid w:val="00EC4A5A"/>
    <w:rsid w:val="00EC4C50"/>
    <w:rsid w:val="00EC4D0E"/>
    <w:rsid w:val="00EC4D45"/>
    <w:rsid w:val="00EC4E5A"/>
    <w:rsid w:val="00EC53F8"/>
    <w:rsid w:val="00EC5829"/>
    <w:rsid w:val="00EC5836"/>
    <w:rsid w:val="00EC59B0"/>
    <w:rsid w:val="00EC5ADC"/>
    <w:rsid w:val="00EC60F5"/>
    <w:rsid w:val="00EC610A"/>
    <w:rsid w:val="00EC661D"/>
    <w:rsid w:val="00EC6829"/>
    <w:rsid w:val="00EC688C"/>
    <w:rsid w:val="00EC68C9"/>
    <w:rsid w:val="00EC6990"/>
    <w:rsid w:val="00EC69E1"/>
    <w:rsid w:val="00EC792C"/>
    <w:rsid w:val="00EC7A46"/>
    <w:rsid w:val="00ED007E"/>
    <w:rsid w:val="00ED0CBB"/>
    <w:rsid w:val="00ED0E42"/>
    <w:rsid w:val="00ED11A6"/>
    <w:rsid w:val="00ED1258"/>
    <w:rsid w:val="00ED12E3"/>
    <w:rsid w:val="00ED142E"/>
    <w:rsid w:val="00ED18BA"/>
    <w:rsid w:val="00ED1916"/>
    <w:rsid w:val="00ED1917"/>
    <w:rsid w:val="00ED198F"/>
    <w:rsid w:val="00ED1ABA"/>
    <w:rsid w:val="00ED1CDC"/>
    <w:rsid w:val="00ED20FD"/>
    <w:rsid w:val="00ED219B"/>
    <w:rsid w:val="00ED2397"/>
    <w:rsid w:val="00ED2BA5"/>
    <w:rsid w:val="00ED2D9D"/>
    <w:rsid w:val="00ED3399"/>
    <w:rsid w:val="00ED35C1"/>
    <w:rsid w:val="00ED3A14"/>
    <w:rsid w:val="00ED3A35"/>
    <w:rsid w:val="00ED3E66"/>
    <w:rsid w:val="00ED3FC6"/>
    <w:rsid w:val="00ED4044"/>
    <w:rsid w:val="00ED4B04"/>
    <w:rsid w:val="00ED514A"/>
    <w:rsid w:val="00ED5170"/>
    <w:rsid w:val="00ED5366"/>
    <w:rsid w:val="00ED57EA"/>
    <w:rsid w:val="00ED5855"/>
    <w:rsid w:val="00ED5AA4"/>
    <w:rsid w:val="00ED5AB4"/>
    <w:rsid w:val="00ED5ADD"/>
    <w:rsid w:val="00ED5BD4"/>
    <w:rsid w:val="00ED6B99"/>
    <w:rsid w:val="00ED6BCA"/>
    <w:rsid w:val="00ED6C09"/>
    <w:rsid w:val="00ED6FCD"/>
    <w:rsid w:val="00ED703E"/>
    <w:rsid w:val="00ED7547"/>
    <w:rsid w:val="00ED7B9B"/>
    <w:rsid w:val="00ED7BA9"/>
    <w:rsid w:val="00ED7D0D"/>
    <w:rsid w:val="00EE04A7"/>
    <w:rsid w:val="00EE055A"/>
    <w:rsid w:val="00EE0614"/>
    <w:rsid w:val="00EE07D3"/>
    <w:rsid w:val="00EE0DBC"/>
    <w:rsid w:val="00EE110D"/>
    <w:rsid w:val="00EE1996"/>
    <w:rsid w:val="00EE1C01"/>
    <w:rsid w:val="00EE1CF6"/>
    <w:rsid w:val="00EE1DBA"/>
    <w:rsid w:val="00EE1F8E"/>
    <w:rsid w:val="00EE215F"/>
    <w:rsid w:val="00EE22AF"/>
    <w:rsid w:val="00EE2538"/>
    <w:rsid w:val="00EE27C6"/>
    <w:rsid w:val="00EE2AC9"/>
    <w:rsid w:val="00EE358F"/>
    <w:rsid w:val="00EE4557"/>
    <w:rsid w:val="00EE4A1F"/>
    <w:rsid w:val="00EE4D9B"/>
    <w:rsid w:val="00EE5025"/>
    <w:rsid w:val="00EE529D"/>
    <w:rsid w:val="00EE53EE"/>
    <w:rsid w:val="00EE578A"/>
    <w:rsid w:val="00EE5B5A"/>
    <w:rsid w:val="00EE5BE2"/>
    <w:rsid w:val="00EE5CE8"/>
    <w:rsid w:val="00EE5DD5"/>
    <w:rsid w:val="00EE639E"/>
    <w:rsid w:val="00EE6766"/>
    <w:rsid w:val="00EE6D56"/>
    <w:rsid w:val="00EE732E"/>
    <w:rsid w:val="00EE74CD"/>
    <w:rsid w:val="00EE7D71"/>
    <w:rsid w:val="00EF0020"/>
    <w:rsid w:val="00EF0171"/>
    <w:rsid w:val="00EF05FC"/>
    <w:rsid w:val="00EF0BD6"/>
    <w:rsid w:val="00EF0EC4"/>
    <w:rsid w:val="00EF119F"/>
    <w:rsid w:val="00EF11E1"/>
    <w:rsid w:val="00EF1B25"/>
    <w:rsid w:val="00EF1B4A"/>
    <w:rsid w:val="00EF1DA0"/>
    <w:rsid w:val="00EF2512"/>
    <w:rsid w:val="00EF27AA"/>
    <w:rsid w:val="00EF30DB"/>
    <w:rsid w:val="00EF33B0"/>
    <w:rsid w:val="00EF4022"/>
    <w:rsid w:val="00EF418F"/>
    <w:rsid w:val="00EF4262"/>
    <w:rsid w:val="00EF4747"/>
    <w:rsid w:val="00EF4A25"/>
    <w:rsid w:val="00EF4AB2"/>
    <w:rsid w:val="00EF4BF8"/>
    <w:rsid w:val="00EF4C33"/>
    <w:rsid w:val="00EF4C41"/>
    <w:rsid w:val="00EF5632"/>
    <w:rsid w:val="00EF5BEA"/>
    <w:rsid w:val="00EF5F8C"/>
    <w:rsid w:val="00EF5F93"/>
    <w:rsid w:val="00EF60EF"/>
    <w:rsid w:val="00EF660D"/>
    <w:rsid w:val="00EF6646"/>
    <w:rsid w:val="00EF68CE"/>
    <w:rsid w:val="00EF770F"/>
    <w:rsid w:val="00EF7DF3"/>
    <w:rsid w:val="00EF7F87"/>
    <w:rsid w:val="00F00100"/>
    <w:rsid w:val="00F0068F"/>
    <w:rsid w:val="00F006A1"/>
    <w:rsid w:val="00F012AA"/>
    <w:rsid w:val="00F01404"/>
    <w:rsid w:val="00F01708"/>
    <w:rsid w:val="00F018C9"/>
    <w:rsid w:val="00F01C86"/>
    <w:rsid w:val="00F0200E"/>
    <w:rsid w:val="00F02225"/>
    <w:rsid w:val="00F02253"/>
    <w:rsid w:val="00F02A9B"/>
    <w:rsid w:val="00F02B0C"/>
    <w:rsid w:val="00F030D4"/>
    <w:rsid w:val="00F03616"/>
    <w:rsid w:val="00F03A65"/>
    <w:rsid w:val="00F03AFB"/>
    <w:rsid w:val="00F03C2E"/>
    <w:rsid w:val="00F03C6A"/>
    <w:rsid w:val="00F045C5"/>
    <w:rsid w:val="00F047B1"/>
    <w:rsid w:val="00F04A66"/>
    <w:rsid w:val="00F04B4B"/>
    <w:rsid w:val="00F04FA6"/>
    <w:rsid w:val="00F05011"/>
    <w:rsid w:val="00F05040"/>
    <w:rsid w:val="00F0516C"/>
    <w:rsid w:val="00F051DC"/>
    <w:rsid w:val="00F051FB"/>
    <w:rsid w:val="00F059D4"/>
    <w:rsid w:val="00F05CBC"/>
    <w:rsid w:val="00F05D9D"/>
    <w:rsid w:val="00F060FC"/>
    <w:rsid w:val="00F0634C"/>
    <w:rsid w:val="00F067A2"/>
    <w:rsid w:val="00F070C0"/>
    <w:rsid w:val="00F07509"/>
    <w:rsid w:val="00F07885"/>
    <w:rsid w:val="00F07B9E"/>
    <w:rsid w:val="00F07FC9"/>
    <w:rsid w:val="00F07FCD"/>
    <w:rsid w:val="00F1043F"/>
    <w:rsid w:val="00F10C03"/>
    <w:rsid w:val="00F10E66"/>
    <w:rsid w:val="00F11034"/>
    <w:rsid w:val="00F1116F"/>
    <w:rsid w:val="00F11CD7"/>
    <w:rsid w:val="00F11E9D"/>
    <w:rsid w:val="00F121ED"/>
    <w:rsid w:val="00F1263A"/>
    <w:rsid w:val="00F12B56"/>
    <w:rsid w:val="00F12E11"/>
    <w:rsid w:val="00F13485"/>
    <w:rsid w:val="00F13600"/>
    <w:rsid w:val="00F13822"/>
    <w:rsid w:val="00F139C5"/>
    <w:rsid w:val="00F1420E"/>
    <w:rsid w:val="00F144C9"/>
    <w:rsid w:val="00F14585"/>
    <w:rsid w:val="00F145A8"/>
    <w:rsid w:val="00F14AA9"/>
    <w:rsid w:val="00F14C12"/>
    <w:rsid w:val="00F15462"/>
    <w:rsid w:val="00F15B77"/>
    <w:rsid w:val="00F15BCB"/>
    <w:rsid w:val="00F15CE2"/>
    <w:rsid w:val="00F15D8C"/>
    <w:rsid w:val="00F15F23"/>
    <w:rsid w:val="00F16880"/>
    <w:rsid w:val="00F175D1"/>
    <w:rsid w:val="00F177A1"/>
    <w:rsid w:val="00F17838"/>
    <w:rsid w:val="00F17967"/>
    <w:rsid w:val="00F17F2B"/>
    <w:rsid w:val="00F21236"/>
    <w:rsid w:val="00F218E9"/>
    <w:rsid w:val="00F21AA2"/>
    <w:rsid w:val="00F21E4C"/>
    <w:rsid w:val="00F2208D"/>
    <w:rsid w:val="00F22107"/>
    <w:rsid w:val="00F22500"/>
    <w:rsid w:val="00F22577"/>
    <w:rsid w:val="00F226FE"/>
    <w:rsid w:val="00F2284A"/>
    <w:rsid w:val="00F231DE"/>
    <w:rsid w:val="00F23682"/>
    <w:rsid w:val="00F238BF"/>
    <w:rsid w:val="00F239DF"/>
    <w:rsid w:val="00F23D7A"/>
    <w:rsid w:val="00F247B5"/>
    <w:rsid w:val="00F24837"/>
    <w:rsid w:val="00F25318"/>
    <w:rsid w:val="00F2532F"/>
    <w:rsid w:val="00F253C4"/>
    <w:rsid w:val="00F2571A"/>
    <w:rsid w:val="00F2575F"/>
    <w:rsid w:val="00F257F2"/>
    <w:rsid w:val="00F25A6B"/>
    <w:rsid w:val="00F2620C"/>
    <w:rsid w:val="00F2662D"/>
    <w:rsid w:val="00F26853"/>
    <w:rsid w:val="00F26D19"/>
    <w:rsid w:val="00F26E9A"/>
    <w:rsid w:val="00F2711F"/>
    <w:rsid w:val="00F27496"/>
    <w:rsid w:val="00F2749E"/>
    <w:rsid w:val="00F27565"/>
    <w:rsid w:val="00F2779E"/>
    <w:rsid w:val="00F27C63"/>
    <w:rsid w:val="00F27F73"/>
    <w:rsid w:val="00F3040F"/>
    <w:rsid w:val="00F30670"/>
    <w:rsid w:val="00F307DA"/>
    <w:rsid w:val="00F310D4"/>
    <w:rsid w:val="00F31188"/>
    <w:rsid w:val="00F3125A"/>
    <w:rsid w:val="00F312E0"/>
    <w:rsid w:val="00F314C1"/>
    <w:rsid w:val="00F31628"/>
    <w:rsid w:val="00F31C2D"/>
    <w:rsid w:val="00F31D5A"/>
    <w:rsid w:val="00F31FBC"/>
    <w:rsid w:val="00F3264B"/>
    <w:rsid w:val="00F3289B"/>
    <w:rsid w:val="00F32A3F"/>
    <w:rsid w:val="00F32D71"/>
    <w:rsid w:val="00F32DE6"/>
    <w:rsid w:val="00F332CE"/>
    <w:rsid w:val="00F335C8"/>
    <w:rsid w:val="00F33682"/>
    <w:rsid w:val="00F33853"/>
    <w:rsid w:val="00F33863"/>
    <w:rsid w:val="00F33975"/>
    <w:rsid w:val="00F33AA5"/>
    <w:rsid w:val="00F33DE9"/>
    <w:rsid w:val="00F34716"/>
    <w:rsid w:val="00F34831"/>
    <w:rsid w:val="00F34BB5"/>
    <w:rsid w:val="00F34D68"/>
    <w:rsid w:val="00F34DB6"/>
    <w:rsid w:val="00F34FBB"/>
    <w:rsid w:val="00F359CD"/>
    <w:rsid w:val="00F35D7D"/>
    <w:rsid w:val="00F35E6D"/>
    <w:rsid w:val="00F3619A"/>
    <w:rsid w:val="00F361CE"/>
    <w:rsid w:val="00F364D6"/>
    <w:rsid w:val="00F3677E"/>
    <w:rsid w:val="00F3781B"/>
    <w:rsid w:val="00F37970"/>
    <w:rsid w:val="00F402F8"/>
    <w:rsid w:val="00F40A5C"/>
    <w:rsid w:val="00F40AAA"/>
    <w:rsid w:val="00F40BA7"/>
    <w:rsid w:val="00F40DCB"/>
    <w:rsid w:val="00F40DD6"/>
    <w:rsid w:val="00F40F9D"/>
    <w:rsid w:val="00F41267"/>
    <w:rsid w:val="00F4154E"/>
    <w:rsid w:val="00F4193D"/>
    <w:rsid w:val="00F419DA"/>
    <w:rsid w:val="00F41ACD"/>
    <w:rsid w:val="00F4212B"/>
    <w:rsid w:val="00F427D0"/>
    <w:rsid w:val="00F42B35"/>
    <w:rsid w:val="00F43B25"/>
    <w:rsid w:val="00F43B96"/>
    <w:rsid w:val="00F4459D"/>
    <w:rsid w:val="00F445F5"/>
    <w:rsid w:val="00F4586E"/>
    <w:rsid w:val="00F45876"/>
    <w:rsid w:val="00F45B33"/>
    <w:rsid w:val="00F45B71"/>
    <w:rsid w:val="00F45D06"/>
    <w:rsid w:val="00F45D17"/>
    <w:rsid w:val="00F46328"/>
    <w:rsid w:val="00F46444"/>
    <w:rsid w:val="00F4669B"/>
    <w:rsid w:val="00F4675D"/>
    <w:rsid w:val="00F46955"/>
    <w:rsid w:val="00F46CB6"/>
    <w:rsid w:val="00F46D99"/>
    <w:rsid w:val="00F4736A"/>
    <w:rsid w:val="00F473AE"/>
    <w:rsid w:val="00F474E3"/>
    <w:rsid w:val="00F4756D"/>
    <w:rsid w:val="00F47DE8"/>
    <w:rsid w:val="00F50130"/>
    <w:rsid w:val="00F501FC"/>
    <w:rsid w:val="00F50286"/>
    <w:rsid w:val="00F504B9"/>
    <w:rsid w:val="00F5053D"/>
    <w:rsid w:val="00F505B3"/>
    <w:rsid w:val="00F50D9E"/>
    <w:rsid w:val="00F50E19"/>
    <w:rsid w:val="00F511D9"/>
    <w:rsid w:val="00F51DFB"/>
    <w:rsid w:val="00F525D6"/>
    <w:rsid w:val="00F52B83"/>
    <w:rsid w:val="00F52F50"/>
    <w:rsid w:val="00F53132"/>
    <w:rsid w:val="00F537C2"/>
    <w:rsid w:val="00F53B28"/>
    <w:rsid w:val="00F53B2B"/>
    <w:rsid w:val="00F53CEA"/>
    <w:rsid w:val="00F53FBC"/>
    <w:rsid w:val="00F5408E"/>
    <w:rsid w:val="00F542C1"/>
    <w:rsid w:val="00F545AB"/>
    <w:rsid w:val="00F54BEA"/>
    <w:rsid w:val="00F54D46"/>
    <w:rsid w:val="00F54D80"/>
    <w:rsid w:val="00F550E3"/>
    <w:rsid w:val="00F55645"/>
    <w:rsid w:val="00F55A2C"/>
    <w:rsid w:val="00F55E73"/>
    <w:rsid w:val="00F55EDA"/>
    <w:rsid w:val="00F56377"/>
    <w:rsid w:val="00F5647A"/>
    <w:rsid w:val="00F564AC"/>
    <w:rsid w:val="00F56683"/>
    <w:rsid w:val="00F56781"/>
    <w:rsid w:val="00F56C80"/>
    <w:rsid w:val="00F56F40"/>
    <w:rsid w:val="00F57145"/>
    <w:rsid w:val="00F57617"/>
    <w:rsid w:val="00F57B8F"/>
    <w:rsid w:val="00F60092"/>
    <w:rsid w:val="00F602EB"/>
    <w:rsid w:val="00F60583"/>
    <w:rsid w:val="00F60C6B"/>
    <w:rsid w:val="00F61313"/>
    <w:rsid w:val="00F61641"/>
    <w:rsid w:val="00F616D2"/>
    <w:rsid w:val="00F61721"/>
    <w:rsid w:val="00F61C18"/>
    <w:rsid w:val="00F6233D"/>
    <w:rsid w:val="00F625E6"/>
    <w:rsid w:val="00F63125"/>
    <w:rsid w:val="00F63591"/>
    <w:rsid w:val="00F63D1F"/>
    <w:rsid w:val="00F645B0"/>
    <w:rsid w:val="00F64C10"/>
    <w:rsid w:val="00F64C6C"/>
    <w:rsid w:val="00F64CB1"/>
    <w:rsid w:val="00F64CCC"/>
    <w:rsid w:val="00F64E57"/>
    <w:rsid w:val="00F64F86"/>
    <w:rsid w:val="00F65394"/>
    <w:rsid w:val="00F659E4"/>
    <w:rsid w:val="00F65BD4"/>
    <w:rsid w:val="00F65F3C"/>
    <w:rsid w:val="00F65F4B"/>
    <w:rsid w:val="00F664BA"/>
    <w:rsid w:val="00F668D5"/>
    <w:rsid w:val="00F66962"/>
    <w:rsid w:val="00F67640"/>
    <w:rsid w:val="00F67A69"/>
    <w:rsid w:val="00F67BD8"/>
    <w:rsid w:val="00F708A5"/>
    <w:rsid w:val="00F70BA4"/>
    <w:rsid w:val="00F70BFF"/>
    <w:rsid w:val="00F70C9D"/>
    <w:rsid w:val="00F7104E"/>
    <w:rsid w:val="00F7136B"/>
    <w:rsid w:val="00F7141A"/>
    <w:rsid w:val="00F714FD"/>
    <w:rsid w:val="00F716A3"/>
    <w:rsid w:val="00F71C2B"/>
    <w:rsid w:val="00F72B56"/>
    <w:rsid w:val="00F72B82"/>
    <w:rsid w:val="00F72C43"/>
    <w:rsid w:val="00F72C80"/>
    <w:rsid w:val="00F72D39"/>
    <w:rsid w:val="00F72F0A"/>
    <w:rsid w:val="00F730CB"/>
    <w:rsid w:val="00F7313F"/>
    <w:rsid w:val="00F73C55"/>
    <w:rsid w:val="00F73E08"/>
    <w:rsid w:val="00F748B2"/>
    <w:rsid w:val="00F74C05"/>
    <w:rsid w:val="00F74C20"/>
    <w:rsid w:val="00F74CD9"/>
    <w:rsid w:val="00F74D69"/>
    <w:rsid w:val="00F7595C"/>
    <w:rsid w:val="00F7640A"/>
    <w:rsid w:val="00F767F2"/>
    <w:rsid w:val="00F7684B"/>
    <w:rsid w:val="00F76A82"/>
    <w:rsid w:val="00F773D5"/>
    <w:rsid w:val="00F775A8"/>
    <w:rsid w:val="00F77F53"/>
    <w:rsid w:val="00F805C2"/>
    <w:rsid w:val="00F809BD"/>
    <w:rsid w:val="00F80A7B"/>
    <w:rsid w:val="00F80E35"/>
    <w:rsid w:val="00F80E5D"/>
    <w:rsid w:val="00F80EC5"/>
    <w:rsid w:val="00F81539"/>
    <w:rsid w:val="00F818EE"/>
    <w:rsid w:val="00F81E78"/>
    <w:rsid w:val="00F81EE6"/>
    <w:rsid w:val="00F8259F"/>
    <w:rsid w:val="00F829D0"/>
    <w:rsid w:val="00F82F37"/>
    <w:rsid w:val="00F836FC"/>
    <w:rsid w:val="00F8381E"/>
    <w:rsid w:val="00F83895"/>
    <w:rsid w:val="00F83916"/>
    <w:rsid w:val="00F84499"/>
    <w:rsid w:val="00F844EE"/>
    <w:rsid w:val="00F8472F"/>
    <w:rsid w:val="00F84BA6"/>
    <w:rsid w:val="00F84F45"/>
    <w:rsid w:val="00F84FF7"/>
    <w:rsid w:val="00F851CE"/>
    <w:rsid w:val="00F855F8"/>
    <w:rsid w:val="00F8650D"/>
    <w:rsid w:val="00F86BAD"/>
    <w:rsid w:val="00F86F97"/>
    <w:rsid w:val="00F87233"/>
    <w:rsid w:val="00F8778C"/>
    <w:rsid w:val="00F87A38"/>
    <w:rsid w:val="00F87E60"/>
    <w:rsid w:val="00F901D8"/>
    <w:rsid w:val="00F90365"/>
    <w:rsid w:val="00F903DB"/>
    <w:rsid w:val="00F90EF8"/>
    <w:rsid w:val="00F91219"/>
    <w:rsid w:val="00F912DC"/>
    <w:rsid w:val="00F91396"/>
    <w:rsid w:val="00F918A7"/>
    <w:rsid w:val="00F92444"/>
    <w:rsid w:val="00F92662"/>
    <w:rsid w:val="00F9285E"/>
    <w:rsid w:val="00F92CE3"/>
    <w:rsid w:val="00F938FD"/>
    <w:rsid w:val="00F9393E"/>
    <w:rsid w:val="00F9411D"/>
    <w:rsid w:val="00F94344"/>
    <w:rsid w:val="00F943CB"/>
    <w:rsid w:val="00F94AC3"/>
    <w:rsid w:val="00F94BDC"/>
    <w:rsid w:val="00F94DE1"/>
    <w:rsid w:val="00F95128"/>
    <w:rsid w:val="00F954E7"/>
    <w:rsid w:val="00F95A64"/>
    <w:rsid w:val="00F95AEA"/>
    <w:rsid w:val="00F95AF9"/>
    <w:rsid w:val="00F9682D"/>
    <w:rsid w:val="00F96B22"/>
    <w:rsid w:val="00F96E57"/>
    <w:rsid w:val="00F96FD0"/>
    <w:rsid w:val="00F97601"/>
    <w:rsid w:val="00F979BF"/>
    <w:rsid w:val="00F97A78"/>
    <w:rsid w:val="00FA03B0"/>
    <w:rsid w:val="00FA073E"/>
    <w:rsid w:val="00FA099C"/>
    <w:rsid w:val="00FA0B20"/>
    <w:rsid w:val="00FA121A"/>
    <w:rsid w:val="00FA1D3D"/>
    <w:rsid w:val="00FA207E"/>
    <w:rsid w:val="00FA24E7"/>
    <w:rsid w:val="00FA2B60"/>
    <w:rsid w:val="00FA2F5E"/>
    <w:rsid w:val="00FA3450"/>
    <w:rsid w:val="00FA3A21"/>
    <w:rsid w:val="00FA3A2D"/>
    <w:rsid w:val="00FA3F10"/>
    <w:rsid w:val="00FA429F"/>
    <w:rsid w:val="00FA4CBF"/>
    <w:rsid w:val="00FA4E17"/>
    <w:rsid w:val="00FA4F97"/>
    <w:rsid w:val="00FA5E14"/>
    <w:rsid w:val="00FA5EE6"/>
    <w:rsid w:val="00FA619D"/>
    <w:rsid w:val="00FA6376"/>
    <w:rsid w:val="00FA6995"/>
    <w:rsid w:val="00FA6E67"/>
    <w:rsid w:val="00FA6FF8"/>
    <w:rsid w:val="00FA7956"/>
    <w:rsid w:val="00FA7B67"/>
    <w:rsid w:val="00FA7DD3"/>
    <w:rsid w:val="00FB034A"/>
    <w:rsid w:val="00FB0824"/>
    <w:rsid w:val="00FB1094"/>
    <w:rsid w:val="00FB192D"/>
    <w:rsid w:val="00FB1EA6"/>
    <w:rsid w:val="00FB2A12"/>
    <w:rsid w:val="00FB2A8E"/>
    <w:rsid w:val="00FB2ACD"/>
    <w:rsid w:val="00FB2BF0"/>
    <w:rsid w:val="00FB2ECC"/>
    <w:rsid w:val="00FB2FCB"/>
    <w:rsid w:val="00FB31B6"/>
    <w:rsid w:val="00FB3470"/>
    <w:rsid w:val="00FB3495"/>
    <w:rsid w:val="00FB3568"/>
    <w:rsid w:val="00FB3645"/>
    <w:rsid w:val="00FB3DC2"/>
    <w:rsid w:val="00FB3F92"/>
    <w:rsid w:val="00FB40F1"/>
    <w:rsid w:val="00FB42EB"/>
    <w:rsid w:val="00FB439E"/>
    <w:rsid w:val="00FB447A"/>
    <w:rsid w:val="00FB4C9C"/>
    <w:rsid w:val="00FB4D06"/>
    <w:rsid w:val="00FB4E86"/>
    <w:rsid w:val="00FB5644"/>
    <w:rsid w:val="00FB574F"/>
    <w:rsid w:val="00FB5A42"/>
    <w:rsid w:val="00FB5CBE"/>
    <w:rsid w:val="00FB5DD1"/>
    <w:rsid w:val="00FB5EFE"/>
    <w:rsid w:val="00FB63D1"/>
    <w:rsid w:val="00FB6C9A"/>
    <w:rsid w:val="00FB6F42"/>
    <w:rsid w:val="00FB6F9D"/>
    <w:rsid w:val="00FB7391"/>
    <w:rsid w:val="00FB781F"/>
    <w:rsid w:val="00FB7871"/>
    <w:rsid w:val="00FB7C55"/>
    <w:rsid w:val="00FC044C"/>
    <w:rsid w:val="00FC056D"/>
    <w:rsid w:val="00FC0767"/>
    <w:rsid w:val="00FC0BA8"/>
    <w:rsid w:val="00FC0BD7"/>
    <w:rsid w:val="00FC1074"/>
    <w:rsid w:val="00FC107E"/>
    <w:rsid w:val="00FC1428"/>
    <w:rsid w:val="00FC1620"/>
    <w:rsid w:val="00FC1884"/>
    <w:rsid w:val="00FC1B7D"/>
    <w:rsid w:val="00FC1C65"/>
    <w:rsid w:val="00FC2A79"/>
    <w:rsid w:val="00FC2BD8"/>
    <w:rsid w:val="00FC2FA0"/>
    <w:rsid w:val="00FC3243"/>
    <w:rsid w:val="00FC3689"/>
    <w:rsid w:val="00FC371D"/>
    <w:rsid w:val="00FC3758"/>
    <w:rsid w:val="00FC3DBB"/>
    <w:rsid w:val="00FC445C"/>
    <w:rsid w:val="00FC4720"/>
    <w:rsid w:val="00FC48C7"/>
    <w:rsid w:val="00FC4B2A"/>
    <w:rsid w:val="00FC5F0B"/>
    <w:rsid w:val="00FC5F96"/>
    <w:rsid w:val="00FC6724"/>
    <w:rsid w:val="00FC6935"/>
    <w:rsid w:val="00FC6A1F"/>
    <w:rsid w:val="00FC6DA3"/>
    <w:rsid w:val="00FC6F52"/>
    <w:rsid w:val="00FC74A6"/>
    <w:rsid w:val="00FC782C"/>
    <w:rsid w:val="00FC7877"/>
    <w:rsid w:val="00FC7DB0"/>
    <w:rsid w:val="00FD01E8"/>
    <w:rsid w:val="00FD0400"/>
    <w:rsid w:val="00FD057C"/>
    <w:rsid w:val="00FD073A"/>
    <w:rsid w:val="00FD07A0"/>
    <w:rsid w:val="00FD1874"/>
    <w:rsid w:val="00FD2100"/>
    <w:rsid w:val="00FD267E"/>
    <w:rsid w:val="00FD2DC2"/>
    <w:rsid w:val="00FD2F34"/>
    <w:rsid w:val="00FD32AE"/>
    <w:rsid w:val="00FD3805"/>
    <w:rsid w:val="00FD3AC0"/>
    <w:rsid w:val="00FD4246"/>
    <w:rsid w:val="00FD436C"/>
    <w:rsid w:val="00FD43C4"/>
    <w:rsid w:val="00FD446D"/>
    <w:rsid w:val="00FD4B27"/>
    <w:rsid w:val="00FD4F2C"/>
    <w:rsid w:val="00FD4F2D"/>
    <w:rsid w:val="00FD4FB4"/>
    <w:rsid w:val="00FD50F2"/>
    <w:rsid w:val="00FD555C"/>
    <w:rsid w:val="00FD5D72"/>
    <w:rsid w:val="00FD6040"/>
    <w:rsid w:val="00FD6394"/>
    <w:rsid w:val="00FD6647"/>
    <w:rsid w:val="00FD67A8"/>
    <w:rsid w:val="00FD68EF"/>
    <w:rsid w:val="00FD6B9B"/>
    <w:rsid w:val="00FD6DC5"/>
    <w:rsid w:val="00FD74AA"/>
    <w:rsid w:val="00FD76CE"/>
    <w:rsid w:val="00FE0000"/>
    <w:rsid w:val="00FE011C"/>
    <w:rsid w:val="00FE06E4"/>
    <w:rsid w:val="00FE0CAE"/>
    <w:rsid w:val="00FE0DCD"/>
    <w:rsid w:val="00FE0E6C"/>
    <w:rsid w:val="00FE1022"/>
    <w:rsid w:val="00FE1C71"/>
    <w:rsid w:val="00FE1CDC"/>
    <w:rsid w:val="00FE1D77"/>
    <w:rsid w:val="00FE2610"/>
    <w:rsid w:val="00FE2AFD"/>
    <w:rsid w:val="00FE2B94"/>
    <w:rsid w:val="00FE31AE"/>
    <w:rsid w:val="00FE35AA"/>
    <w:rsid w:val="00FE3723"/>
    <w:rsid w:val="00FE3759"/>
    <w:rsid w:val="00FE38BC"/>
    <w:rsid w:val="00FE3B31"/>
    <w:rsid w:val="00FE3BAC"/>
    <w:rsid w:val="00FE42C5"/>
    <w:rsid w:val="00FE43EA"/>
    <w:rsid w:val="00FE442D"/>
    <w:rsid w:val="00FE45E9"/>
    <w:rsid w:val="00FE489A"/>
    <w:rsid w:val="00FE5069"/>
    <w:rsid w:val="00FE5825"/>
    <w:rsid w:val="00FE5CCD"/>
    <w:rsid w:val="00FE5EF3"/>
    <w:rsid w:val="00FE650D"/>
    <w:rsid w:val="00FE674C"/>
    <w:rsid w:val="00FE6A94"/>
    <w:rsid w:val="00FE6AE9"/>
    <w:rsid w:val="00FE70C3"/>
    <w:rsid w:val="00FE739A"/>
    <w:rsid w:val="00FE74FE"/>
    <w:rsid w:val="00FF0243"/>
    <w:rsid w:val="00FF0268"/>
    <w:rsid w:val="00FF02CC"/>
    <w:rsid w:val="00FF0811"/>
    <w:rsid w:val="00FF1635"/>
    <w:rsid w:val="00FF1A8B"/>
    <w:rsid w:val="00FF1F6C"/>
    <w:rsid w:val="00FF2200"/>
    <w:rsid w:val="00FF2422"/>
    <w:rsid w:val="00FF2442"/>
    <w:rsid w:val="00FF291A"/>
    <w:rsid w:val="00FF2AD9"/>
    <w:rsid w:val="00FF2EF1"/>
    <w:rsid w:val="00FF3189"/>
    <w:rsid w:val="00FF359F"/>
    <w:rsid w:val="00FF38BF"/>
    <w:rsid w:val="00FF3DCF"/>
    <w:rsid w:val="00FF3EF1"/>
    <w:rsid w:val="00FF437E"/>
    <w:rsid w:val="00FF492C"/>
    <w:rsid w:val="00FF4A21"/>
    <w:rsid w:val="00FF550C"/>
    <w:rsid w:val="00FF57CE"/>
    <w:rsid w:val="00FF5AA3"/>
    <w:rsid w:val="00FF5AD8"/>
    <w:rsid w:val="00FF5E07"/>
    <w:rsid w:val="00FF5E13"/>
    <w:rsid w:val="00FF63CB"/>
    <w:rsid w:val="00FF6527"/>
    <w:rsid w:val="00FF65CE"/>
    <w:rsid w:val="00FF65F1"/>
    <w:rsid w:val="00FF6BBA"/>
    <w:rsid w:val="00FF6DFE"/>
    <w:rsid w:val="00FF6E7D"/>
    <w:rsid w:val="00FF6EAE"/>
    <w:rsid w:val="00FF747B"/>
    <w:rsid w:val="00FF76B5"/>
    <w:rsid w:val="00FF7C0B"/>
    <w:rsid w:val="164E0971"/>
    <w:rsid w:val="18CC0B40"/>
    <w:rsid w:val="1EC7967E"/>
    <w:rsid w:val="236275F8"/>
    <w:rsid w:val="2C2AEC7A"/>
    <w:rsid w:val="380D59EC"/>
    <w:rsid w:val="3C5ACC19"/>
    <w:rsid w:val="413CB681"/>
    <w:rsid w:val="419BD3AF"/>
    <w:rsid w:val="4B164632"/>
    <w:rsid w:val="4B195AB5"/>
    <w:rsid w:val="4EB297FD"/>
    <w:rsid w:val="5D81C2FE"/>
    <w:rsid w:val="6013158D"/>
    <w:rsid w:val="66BDF106"/>
    <w:rsid w:val="7806E488"/>
    <w:rsid w:val="787D2441"/>
    <w:rsid w:val="7CC253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13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Normal"/>
    <w:link w:val="RegularTextChar"/>
    <w:rsid w:val="00124A51"/>
    <w:pPr>
      <w:jc w:val="left"/>
    </w:pPr>
    <w:rPr>
      <w:b/>
    </w:rPr>
  </w:style>
  <w:style w:type="character" w:customStyle="1" w:styleId="RegularTextChar">
    <w:name w:val="Regular Text Char"/>
    <w:basedOn w:val="DefaultParagraphFont"/>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Normal"/>
    <w:uiPriority w:val="99"/>
    <w:rsid w:val="008F48EB"/>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AE0696"/>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E0696"/>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F511D9"/>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F511D9"/>
    <w:rPr>
      <w:rFonts w:ascii="Arial Narrow" w:hAnsi="Arial Narrow" w:cs="Arial"/>
      <w:snapToGrid w:val="0"/>
      <w:sz w:val="18"/>
      <w:szCs w:val="22"/>
    </w:rPr>
  </w:style>
  <w:style w:type="character" w:styleId="Mention">
    <w:name w:val="Mention"/>
    <w:basedOn w:val="DefaultParagraphFont"/>
    <w:uiPriority w:val="99"/>
    <w:unhideWhenUsed/>
    <w:rsid w:val="00930ED8"/>
    <w:rPr>
      <w:color w:val="2B579A"/>
      <w:shd w:val="clear" w:color="auto" w:fill="E1DFDD"/>
    </w:rPr>
  </w:style>
  <w:style w:type="character" w:customStyle="1" w:styleId="normaltextrun">
    <w:name w:val="normaltextrun"/>
    <w:basedOn w:val="DefaultParagraphFont"/>
    <w:rsid w:val="00BE516C"/>
  </w:style>
  <w:style w:type="paragraph" w:styleId="FootnoteText">
    <w:name w:val="footnote text"/>
    <w:basedOn w:val="Normal"/>
    <w:link w:val="FootnoteTextChar"/>
    <w:unhideWhenUsed/>
    <w:rsid w:val="0093471C"/>
    <w:pPr>
      <w:ind w:left="720"/>
      <w:jc w:val="left"/>
    </w:pPr>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rsid w:val="0093471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nhideWhenUsed/>
    <w:rsid w:val="0093471C"/>
    <w:rPr>
      <w:vertAlign w:val="superscript"/>
    </w:rPr>
  </w:style>
  <w:style w:type="character" w:styleId="UnresolvedMention">
    <w:name w:val="Unresolved Mention"/>
    <w:basedOn w:val="DefaultParagraphFont"/>
    <w:uiPriority w:val="99"/>
    <w:semiHidden/>
    <w:unhideWhenUsed/>
    <w:rsid w:val="00387605"/>
    <w:rPr>
      <w:color w:val="605E5C"/>
      <w:shd w:val="clear" w:color="auto" w:fill="E1DFDD"/>
    </w:rPr>
  </w:style>
  <w:style w:type="character" w:styleId="PlaceholderText">
    <w:name w:val="Placeholder Text"/>
    <w:basedOn w:val="DefaultParagraphFont"/>
    <w:uiPriority w:val="99"/>
    <w:semiHidden/>
    <w:rsid w:val="007432A5"/>
    <w:rPr>
      <w:color w:val="666666"/>
    </w:rPr>
  </w:style>
  <w:style w:type="paragraph" w:customStyle="1" w:styleId="Tablenotes">
    <w:name w:val="Table notes"/>
    <w:basedOn w:val="Normal"/>
    <w:link w:val="TablenotesChar"/>
    <w:qFormat/>
    <w:rsid w:val="00895A8A"/>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895A8A"/>
    <w:rPr>
      <w:rFonts w:ascii="Trebuchet MS" w:hAnsi="Trebuchet MS"/>
      <w:sz w:val="16"/>
      <w:lang w:eastAsia="en-US"/>
    </w:rPr>
  </w:style>
  <w:style w:type="paragraph" w:customStyle="1" w:styleId="COMH1-numbered">
    <w:name w:val="COM H1 - numbered"/>
    <w:next w:val="COMexecsummnumbered"/>
    <w:qFormat/>
    <w:rsid w:val="00CF53A5"/>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CF53A5"/>
    <w:pPr>
      <w:spacing w:before="60" w:after="60"/>
      <w:ind w:left="720" w:hanging="720"/>
      <w:jc w:val="both"/>
    </w:pPr>
    <w:rPr>
      <w:rFonts w:asciiTheme="minorHAnsi" w:eastAsiaTheme="minorHAnsi" w:hAnsiTheme="minorHAnsi" w:cstheme="minorBidi"/>
      <w:sz w:val="24"/>
      <w:szCs w:val="22"/>
    </w:rPr>
  </w:style>
  <w:style w:type="paragraph" w:customStyle="1" w:styleId="COMH2-non-numbered">
    <w:name w:val="COM H2 - non-numbered"/>
    <w:basedOn w:val="Heading2"/>
    <w:next w:val="Normal"/>
    <w:link w:val="COMH2-non-numberedChar"/>
    <w:qFormat/>
    <w:rsid w:val="00CF53A5"/>
    <w:pPr>
      <w:keepNext/>
      <w:spacing w:before="120" w:after="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CF53A5"/>
    <w:rPr>
      <w:rFonts w:asciiTheme="minorHAnsi" w:eastAsiaTheme="majorEastAsia" w:hAnsiTheme="minorHAnsi" w:cstheme="majorBidi"/>
      <w:b/>
      <w:i/>
      <w:snapToGrid/>
      <w:spacing w:val="5"/>
      <w:kern w:val="28"/>
      <w:sz w:val="28"/>
      <w:szCs w:val="36"/>
      <w:lang w:eastAsia="en-US"/>
    </w:rPr>
  </w:style>
  <w:style w:type="character" w:customStyle="1" w:styleId="COMexecsummnumberedChar">
    <w:name w:val="COM exec summ numbered Char"/>
    <w:basedOn w:val="DefaultParagraphFont"/>
    <w:link w:val="COMexecsummnumbered"/>
    <w:rsid w:val="00E27FE0"/>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228">
      <w:bodyDiv w:val="1"/>
      <w:marLeft w:val="0"/>
      <w:marRight w:val="0"/>
      <w:marTop w:val="0"/>
      <w:marBottom w:val="0"/>
      <w:divBdr>
        <w:top w:val="none" w:sz="0" w:space="0" w:color="auto"/>
        <w:left w:val="none" w:sz="0" w:space="0" w:color="auto"/>
        <w:bottom w:val="none" w:sz="0" w:space="0" w:color="auto"/>
        <w:right w:val="none" w:sz="0" w:space="0" w:color="auto"/>
      </w:divBdr>
      <w:divsChild>
        <w:div w:id="230509650">
          <w:marLeft w:val="0"/>
          <w:marRight w:val="0"/>
          <w:marTop w:val="0"/>
          <w:marBottom w:val="0"/>
          <w:divBdr>
            <w:top w:val="none" w:sz="0" w:space="0" w:color="auto"/>
            <w:left w:val="none" w:sz="0" w:space="0" w:color="auto"/>
            <w:bottom w:val="none" w:sz="0" w:space="0" w:color="auto"/>
            <w:right w:val="none" w:sz="0" w:space="0" w:color="auto"/>
          </w:divBdr>
          <w:divsChild>
            <w:div w:id="1775244797">
              <w:marLeft w:val="-75"/>
              <w:marRight w:val="0"/>
              <w:marTop w:val="30"/>
              <w:marBottom w:val="30"/>
              <w:divBdr>
                <w:top w:val="none" w:sz="0" w:space="0" w:color="auto"/>
                <w:left w:val="none" w:sz="0" w:space="0" w:color="auto"/>
                <w:bottom w:val="none" w:sz="0" w:space="0" w:color="auto"/>
                <w:right w:val="none" w:sz="0" w:space="0" w:color="auto"/>
              </w:divBdr>
              <w:divsChild>
                <w:div w:id="4941660">
                  <w:marLeft w:val="0"/>
                  <w:marRight w:val="0"/>
                  <w:marTop w:val="0"/>
                  <w:marBottom w:val="0"/>
                  <w:divBdr>
                    <w:top w:val="none" w:sz="0" w:space="0" w:color="auto"/>
                    <w:left w:val="none" w:sz="0" w:space="0" w:color="auto"/>
                    <w:bottom w:val="none" w:sz="0" w:space="0" w:color="auto"/>
                    <w:right w:val="none" w:sz="0" w:space="0" w:color="auto"/>
                  </w:divBdr>
                  <w:divsChild>
                    <w:div w:id="395132198">
                      <w:marLeft w:val="0"/>
                      <w:marRight w:val="0"/>
                      <w:marTop w:val="0"/>
                      <w:marBottom w:val="0"/>
                      <w:divBdr>
                        <w:top w:val="none" w:sz="0" w:space="0" w:color="auto"/>
                        <w:left w:val="none" w:sz="0" w:space="0" w:color="auto"/>
                        <w:bottom w:val="none" w:sz="0" w:space="0" w:color="auto"/>
                        <w:right w:val="none" w:sz="0" w:space="0" w:color="auto"/>
                      </w:divBdr>
                    </w:div>
                  </w:divsChild>
                </w:div>
                <w:div w:id="9382053">
                  <w:marLeft w:val="0"/>
                  <w:marRight w:val="0"/>
                  <w:marTop w:val="0"/>
                  <w:marBottom w:val="0"/>
                  <w:divBdr>
                    <w:top w:val="none" w:sz="0" w:space="0" w:color="auto"/>
                    <w:left w:val="none" w:sz="0" w:space="0" w:color="auto"/>
                    <w:bottom w:val="none" w:sz="0" w:space="0" w:color="auto"/>
                    <w:right w:val="none" w:sz="0" w:space="0" w:color="auto"/>
                  </w:divBdr>
                  <w:divsChild>
                    <w:div w:id="72549439">
                      <w:marLeft w:val="0"/>
                      <w:marRight w:val="0"/>
                      <w:marTop w:val="0"/>
                      <w:marBottom w:val="0"/>
                      <w:divBdr>
                        <w:top w:val="none" w:sz="0" w:space="0" w:color="auto"/>
                        <w:left w:val="none" w:sz="0" w:space="0" w:color="auto"/>
                        <w:bottom w:val="none" w:sz="0" w:space="0" w:color="auto"/>
                        <w:right w:val="none" w:sz="0" w:space="0" w:color="auto"/>
                      </w:divBdr>
                    </w:div>
                  </w:divsChild>
                </w:div>
                <w:div w:id="23991019">
                  <w:marLeft w:val="0"/>
                  <w:marRight w:val="0"/>
                  <w:marTop w:val="0"/>
                  <w:marBottom w:val="0"/>
                  <w:divBdr>
                    <w:top w:val="none" w:sz="0" w:space="0" w:color="auto"/>
                    <w:left w:val="none" w:sz="0" w:space="0" w:color="auto"/>
                    <w:bottom w:val="none" w:sz="0" w:space="0" w:color="auto"/>
                    <w:right w:val="none" w:sz="0" w:space="0" w:color="auto"/>
                  </w:divBdr>
                  <w:divsChild>
                    <w:div w:id="48456764">
                      <w:marLeft w:val="0"/>
                      <w:marRight w:val="0"/>
                      <w:marTop w:val="0"/>
                      <w:marBottom w:val="0"/>
                      <w:divBdr>
                        <w:top w:val="none" w:sz="0" w:space="0" w:color="auto"/>
                        <w:left w:val="none" w:sz="0" w:space="0" w:color="auto"/>
                        <w:bottom w:val="none" w:sz="0" w:space="0" w:color="auto"/>
                        <w:right w:val="none" w:sz="0" w:space="0" w:color="auto"/>
                      </w:divBdr>
                    </w:div>
                  </w:divsChild>
                </w:div>
                <w:div w:id="49305218">
                  <w:marLeft w:val="0"/>
                  <w:marRight w:val="0"/>
                  <w:marTop w:val="0"/>
                  <w:marBottom w:val="0"/>
                  <w:divBdr>
                    <w:top w:val="none" w:sz="0" w:space="0" w:color="auto"/>
                    <w:left w:val="none" w:sz="0" w:space="0" w:color="auto"/>
                    <w:bottom w:val="none" w:sz="0" w:space="0" w:color="auto"/>
                    <w:right w:val="none" w:sz="0" w:space="0" w:color="auto"/>
                  </w:divBdr>
                  <w:divsChild>
                    <w:div w:id="2042973486">
                      <w:marLeft w:val="0"/>
                      <w:marRight w:val="0"/>
                      <w:marTop w:val="0"/>
                      <w:marBottom w:val="0"/>
                      <w:divBdr>
                        <w:top w:val="none" w:sz="0" w:space="0" w:color="auto"/>
                        <w:left w:val="none" w:sz="0" w:space="0" w:color="auto"/>
                        <w:bottom w:val="none" w:sz="0" w:space="0" w:color="auto"/>
                        <w:right w:val="none" w:sz="0" w:space="0" w:color="auto"/>
                      </w:divBdr>
                    </w:div>
                  </w:divsChild>
                </w:div>
                <w:div w:id="50738145">
                  <w:marLeft w:val="0"/>
                  <w:marRight w:val="0"/>
                  <w:marTop w:val="0"/>
                  <w:marBottom w:val="0"/>
                  <w:divBdr>
                    <w:top w:val="none" w:sz="0" w:space="0" w:color="auto"/>
                    <w:left w:val="none" w:sz="0" w:space="0" w:color="auto"/>
                    <w:bottom w:val="none" w:sz="0" w:space="0" w:color="auto"/>
                    <w:right w:val="none" w:sz="0" w:space="0" w:color="auto"/>
                  </w:divBdr>
                  <w:divsChild>
                    <w:div w:id="2134783760">
                      <w:marLeft w:val="0"/>
                      <w:marRight w:val="0"/>
                      <w:marTop w:val="0"/>
                      <w:marBottom w:val="0"/>
                      <w:divBdr>
                        <w:top w:val="none" w:sz="0" w:space="0" w:color="auto"/>
                        <w:left w:val="none" w:sz="0" w:space="0" w:color="auto"/>
                        <w:bottom w:val="none" w:sz="0" w:space="0" w:color="auto"/>
                        <w:right w:val="none" w:sz="0" w:space="0" w:color="auto"/>
                      </w:divBdr>
                    </w:div>
                  </w:divsChild>
                </w:div>
                <w:div w:id="61022345">
                  <w:marLeft w:val="0"/>
                  <w:marRight w:val="0"/>
                  <w:marTop w:val="0"/>
                  <w:marBottom w:val="0"/>
                  <w:divBdr>
                    <w:top w:val="none" w:sz="0" w:space="0" w:color="auto"/>
                    <w:left w:val="none" w:sz="0" w:space="0" w:color="auto"/>
                    <w:bottom w:val="none" w:sz="0" w:space="0" w:color="auto"/>
                    <w:right w:val="none" w:sz="0" w:space="0" w:color="auto"/>
                  </w:divBdr>
                  <w:divsChild>
                    <w:div w:id="1234241827">
                      <w:marLeft w:val="0"/>
                      <w:marRight w:val="0"/>
                      <w:marTop w:val="0"/>
                      <w:marBottom w:val="0"/>
                      <w:divBdr>
                        <w:top w:val="none" w:sz="0" w:space="0" w:color="auto"/>
                        <w:left w:val="none" w:sz="0" w:space="0" w:color="auto"/>
                        <w:bottom w:val="none" w:sz="0" w:space="0" w:color="auto"/>
                        <w:right w:val="none" w:sz="0" w:space="0" w:color="auto"/>
                      </w:divBdr>
                    </w:div>
                  </w:divsChild>
                </w:div>
                <w:div w:id="61485454">
                  <w:marLeft w:val="0"/>
                  <w:marRight w:val="0"/>
                  <w:marTop w:val="0"/>
                  <w:marBottom w:val="0"/>
                  <w:divBdr>
                    <w:top w:val="none" w:sz="0" w:space="0" w:color="auto"/>
                    <w:left w:val="none" w:sz="0" w:space="0" w:color="auto"/>
                    <w:bottom w:val="none" w:sz="0" w:space="0" w:color="auto"/>
                    <w:right w:val="none" w:sz="0" w:space="0" w:color="auto"/>
                  </w:divBdr>
                  <w:divsChild>
                    <w:div w:id="332073418">
                      <w:marLeft w:val="0"/>
                      <w:marRight w:val="0"/>
                      <w:marTop w:val="0"/>
                      <w:marBottom w:val="0"/>
                      <w:divBdr>
                        <w:top w:val="none" w:sz="0" w:space="0" w:color="auto"/>
                        <w:left w:val="none" w:sz="0" w:space="0" w:color="auto"/>
                        <w:bottom w:val="none" w:sz="0" w:space="0" w:color="auto"/>
                        <w:right w:val="none" w:sz="0" w:space="0" w:color="auto"/>
                      </w:divBdr>
                    </w:div>
                  </w:divsChild>
                </w:div>
                <w:div w:id="62604213">
                  <w:marLeft w:val="0"/>
                  <w:marRight w:val="0"/>
                  <w:marTop w:val="0"/>
                  <w:marBottom w:val="0"/>
                  <w:divBdr>
                    <w:top w:val="none" w:sz="0" w:space="0" w:color="auto"/>
                    <w:left w:val="none" w:sz="0" w:space="0" w:color="auto"/>
                    <w:bottom w:val="none" w:sz="0" w:space="0" w:color="auto"/>
                    <w:right w:val="none" w:sz="0" w:space="0" w:color="auto"/>
                  </w:divBdr>
                  <w:divsChild>
                    <w:div w:id="1065564444">
                      <w:marLeft w:val="0"/>
                      <w:marRight w:val="0"/>
                      <w:marTop w:val="0"/>
                      <w:marBottom w:val="0"/>
                      <w:divBdr>
                        <w:top w:val="none" w:sz="0" w:space="0" w:color="auto"/>
                        <w:left w:val="none" w:sz="0" w:space="0" w:color="auto"/>
                        <w:bottom w:val="none" w:sz="0" w:space="0" w:color="auto"/>
                        <w:right w:val="none" w:sz="0" w:space="0" w:color="auto"/>
                      </w:divBdr>
                    </w:div>
                  </w:divsChild>
                </w:div>
                <w:div w:id="114756575">
                  <w:marLeft w:val="0"/>
                  <w:marRight w:val="0"/>
                  <w:marTop w:val="0"/>
                  <w:marBottom w:val="0"/>
                  <w:divBdr>
                    <w:top w:val="none" w:sz="0" w:space="0" w:color="auto"/>
                    <w:left w:val="none" w:sz="0" w:space="0" w:color="auto"/>
                    <w:bottom w:val="none" w:sz="0" w:space="0" w:color="auto"/>
                    <w:right w:val="none" w:sz="0" w:space="0" w:color="auto"/>
                  </w:divBdr>
                  <w:divsChild>
                    <w:div w:id="1486897697">
                      <w:marLeft w:val="0"/>
                      <w:marRight w:val="0"/>
                      <w:marTop w:val="0"/>
                      <w:marBottom w:val="0"/>
                      <w:divBdr>
                        <w:top w:val="none" w:sz="0" w:space="0" w:color="auto"/>
                        <w:left w:val="none" w:sz="0" w:space="0" w:color="auto"/>
                        <w:bottom w:val="none" w:sz="0" w:space="0" w:color="auto"/>
                        <w:right w:val="none" w:sz="0" w:space="0" w:color="auto"/>
                      </w:divBdr>
                    </w:div>
                  </w:divsChild>
                </w:div>
                <w:div w:id="134220277">
                  <w:marLeft w:val="0"/>
                  <w:marRight w:val="0"/>
                  <w:marTop w:val="0"/>
                  <w:marBottom w:val="0"/>
                  <w:divBdr>
                    <w:top w:val="none" w:sz="0" w:space="0" w:color="auto"/>
                    <w:left w:val="none" w:sz="0" w:space="0" w:color="auto"/>
                    <w:bottom w:val="none" w:sz="0" w:space="0" w:color="auto"/>
                    <w:right w:val="none" w:sz="0" w:space="0" w:color="auto"/>
                  </w:divBdr>
                  <w:divsChild>
                    <w:div w:id="1045182978">
                      <w:marLeft w:val="0"/>
                      <w:marRight w:val="0"/>
                      <w:marTop w:val="0"/>
                      <w:marBottom w:val="0"/>
                      <w:divBdr>
                        <w:top w:val="none" w:sz="0" w:space="0" w:color="auto"/>
                        <w:left w:val="none" w:sz="0" w:space="0" w:color="auto"/>
                        <w:bottom w:val="none" w:sz="0" w:space="0" w:color="auto"/>
                        <w:right w:val="none" w:sz="0" w:space="0" w:color="auto"/>
                      </w:divBdr>
                    </w:div>
                  </w:divsChild>
                </w:div>
                <w:div w:id="136773693">
                  <w:marLeft w:val="0"/>
                  <w:marRight w:val="0"/>
                  <w:marTop w:val="0"/>
                  <w:marBottom w:val="0"/>
                  <w:divBdr>
                    <w:top w:val="none" w:sz="0" w:space="0" w:color="auto"/>
                    <w:left w:val="none" w:sz="0" w:space="0" w:color="auto"/>
                    <w:bottom w:val="none" w:sz="0" w:space="0" w:color="auto"/>
                    <w:right w:val="none" w:sz="0" w:space="0" w:color="auto"/>
                  </w:divBdr>
                  <w:divsChild>
                    <w:div w:id="1643540348">
                      <w:marLeft w:val="0"/>
                      <w:marRight w:val="0"/>
                      <w:marTop w:val="0"/>
                      <w:marBottom w:val="0"/>
                      <w:divBdr>
                        <w:top w:val="none" w:sz="0" w:space="0" w:color="auto"/>
                        <w:left w:val="none" w:sz="0" w:space="0" w:color="auto"/>
                        <w:bottom w:val="none" w:sz="0" w:space="0" w:color="auto"/>
                        <w:right w:val="none" w:sz="0" w:space="0" w:color="auto"/>
                      </w:divBdr>
                    </w:div>
                  </w:divsChild>
                </w:div>
                <w:div w:id="158541297">
                  <w:marLeft w:val="0"/>
                  <w:marRight w:val="0"/>
                  <w:marTop w:val="0"/>
                  <w:marBottom w:val="0"/>
                  <w:divBdr>
                    <w:top w:val="none" w:sz="0" w:space="0" w:color="auto"/>
                    <w:left w:val="none" w:sz="0" w:space="0" w:color="auto"/>
                    <w:bottom w:val="none" w:sz="0" w:space="0" w:color="auto"/>
                    <w:right w:val="none" w:sz="0" w:space="0" w:color="auto"/>
                  </w:divBdr>
                  <w:divsChild>
                    <w:div w:id="277640841">
                      <w:marLeft w:val="0"/>
                      <w:marRight w:val="0"/>
                      <w:marTop w:val="0"/>
                      <w:marBottom w:val="0"/>
                      <w:divBdr>
                        <w:top w:val="none" w:sz="0" w:space="0" w:color="auto"/>
                        <w:left w:val="none" w:sz="0" w:space="0" w:color="auto"/>
                        <w:bottom w:val="none" w:sz="0" w:space="0" w:color="auto"/>
                        <w:right w:val="none" w:sz="0" w:space="0" w:color="auto"/>
                      </w:divBdr>
                    </w:div>
                  </w:divsChild>
                </w:div>
                <w:div w:id="166016712">
                  <w:marLeft w:val="0"/>
                  <w:marRight w:val="0"/>
                  <w:marTop w:val="0"/>
                  <w:marBottom w:val="0"/>
                  <w:divBdr>
                    <w:top w:val="none" w:sz="0" w:space="0" w:color="auto"/>
                    <w:left w:val="none" w:sz="0" w:space="0" w:color="auto"/>
                    <w:bottom w:val="none" w:sz="0" w:space="0" w:color="auto"/>
                    <w:right w:val="none" w:sz="0" w:space="0" w:color="auto"/>
                  </w:divBdr>
                  <w:divsChild>
                    <w:div w:id="1988897128">
                      <w:marLeft w:val="0"/>
                      <w:marRight w:val="0"/>
                      <w:marTop w:val="0"/>
                      <w:marBottom w:val="0"/>
                      <w:divBdr>
                        <w:top w:val="none" w:sz="0" w:space="0" w:color="auto"/>
                        <w:left w:val="none" w:sz="0" w:space="0" w:color="auto"/>
                        <w:bottom w:val="none" w:sz="0" w:space="0" w:color="auto"/>
                        <w:right w:val="none" w:sz="0" w:space="0" w:color="auto"/>
                      </w:divBdr>
                    </w:div>
                  </w:divsChild>
                </w:div>
                <w:div w:id="213742229">
                  <w:marLeft w:val="0"/>
                  <w:marRight w:val="0"/>
                  <w:marTop w:val="0"/>
                  <w:marBottom w:val="0"/>
                  <w:divBdr>
                    <w:top w:val="none" w:sz="0" w:space="0" w:color="auto"/>
                    <w:left w:val="none" w:sz="0" w:space="0" w:color="auto"/>
                    <w:bottom w:val="none" w:sz="0" w:space="0" w:color="auto"/>
                    <w:right w:val="none" w:sz="0" w:space="0" w:color="auto"/>
                  </w:divBdr>
                  <w:divsChild>
                    <w:div w:id="1331446228">
                      <w:marLeft w:val="0"/>
                      <w:marRight w:val="0"/>
                      <w:marTop w:val="0"/>
                      <w:marBottom w:val="0"/>
                      <w:divBdr>
                        <w:top w:val="none" w:sz="0" w:space="0" w:color="auto"/>
                        <w:left w:val="none" w:sz="0" w:space="0" w:color="auto"/>
                        <w:bottom w:val="none" w:sz="0" w:space="0" w:color="auto"/>
                        <w:right w:val="none" w:sz="0" w:space="0" w:color="auto"/>
                      </w:divBdr>
                    </w:div>
                  </w:divsChild>
                </w:div>
                <w:div w:id="213933238">
                  <w:marLeft w:val="0"/>
                  <w:marRight w:val="0"/>
                  <w:marTop w:val="0"/>
                  <w:marBottom w:val="0"/>
                  <w:divBdr>
                    <w:top w:val="none" w:sz="0" w:space="0" w:color="auto"/>
                    <w:left w:val="none" w:sz="0" w:space="0" w:color="auto"/>
                    <w:bottom w:val="none" w:sz="0" w:space="0" w:color="auto"/>
                    <w:right w:val="none" w:sz="0" w:space="0" w:color="auto"/>
                  </w:divBdr>
                  <w:divsChild>
                    <w:div w:id="147865701">
                      <w:marLeft w:val="0"/>
                      <w:marRight w:val="0"/>
                      <w:marTop w:val="0"/>
                      <w:marBottom w:val="0"/>
                      <w:divBdr>
                        <w:top w:val="none" w:sz="0" w:space="0" w:color="auto"/>
                        <w:left w:val="none" w:sz="0" w:space="0" w:color="auto"/>
                        <w:bottom w:val="none" w:sz="0" w:space="0" w:color="auto"/>
                        <w:right w:val="none" w:sz="0" w:space="0" w:color="auto"/>
                      </w:divBdr>
                    </w:div>
                  </w:divsChild>
                </w:div>
                <w:div w:id="216934542">
                  <w:marLeft w:val="0"/>
                  <w:marRight w:val="0"/>
                  <w:marTop w:val="0"/>
                  <w:marBottom w:val="0"/>
                  <w:divBdr>
                    <w:top w:val="none" w:sz="0" w:space="0" w:color="auto"/>
                    <w:left w:val="none" w:sz="0" w:space="0" w:color="auto"/>
                    <w:bottom w:val="none" w:sz="0" w:space="0" w:color="auto"/>
                    <w:right w:val="none" w:sz="0" w:space="0" w:color="auto"/>
                  </w:divBdr>
                  <w:divsChild>
                    <w:div w:id="1819226406">
                      <w:marLeft w:val="0"/>
                      <w:marRight w:val="0"/>
                      <w:marTop w:val="0"/>
                      <w:marBottom w:val="0"/>
                      <w:divBdr>
                        <w:top w:val="none" w:sz="0" w:space="0" w:color="auto"/>
                        <w:left w:val="none" w:sz="0" w:space="0" w:color="auto"/>
                        <w:bottom w:val="none" w:sz="0" w:space="0" w:color="auto"/>
                        <w:right w:val="none" w:sz="0" w:space="0" w:color="auto"/>
                      </w:divBdr>
                    </w:div>
                  </w:divsChild>
                </w:div>
                <w:div w:id="220601974">
                  <w:marLeft w:val="0"/>
                  <w:marRight w:val="0"/>
                  <w:marTop w:val="0"/>
                  <w:marBottom w:val="0"/>
                  <w:divBdr>
                    <w:top w:val="none" w:sz="0" w:space="0" w:color="auto"/>
                    <w:left w:val="none" w:sz="0" w:space="0" w:color="auto"/>
                    <w:bottom w:val="none" w:sz="0" w:space="0" w:color="auto"/>
                    <w:right w:val="none" w:sz="0" w:space="0" w:color="auto"/>
                  </w:divBdr>
                  <w:divsChild>
                    <w:div w:id="668607020">
                      <w:marLeft w:val="0"/>
                      <w:marRight w:val="0"/>
                      <w:marTop w:val="0"/>
                      <w:marBottom w:val="0"/>
                      <w:divBdr>
                        <w:top w:val="none" w:sz="0" w:space="0" w:color="auto"/>
                        <w:left w:val="none" w:sz="0" w:space="0" w:color="auto"/>
                        <w:bottom w:val="none" w:sz="0" w:space="0" w:color="auto"/>
                        <w:right w:val="none" w:sz="0" w:space="0" w:color="auto"/>
                      </w:divBdr>
                    </w:div>
                  </w:divsChild>
                </w:div>
                <w:div w:id="251284736">
                  <w:marLeft w:val="0"/>
                  <w:marRight w:val="0"/>
                  <w:marTop w:val="0"/>
                  <w:marBottom w:val="0"/>
                  <w:divBdr>
                    <w:top w:val="none" w:sz="0" w:space="0" w:color="auto"/>
                    <w:left w:val="none" w:sz="0" w:space="0" w:color="auto"/>
                    <w:bottom w:val="none" w:sz="0" w:space="0" w:color="auto"/>
                    <w:right w:val="none" w:sz="0" w:space="0" w:color="auto"/>
                  </w:divBdr>
                  <w:divsChild>
                    <w:div w:id="1777362735">
                      <w:marLeft w:val="0"/>
                      <w:marRight w:val="0"/>
                      <w:marTop w:val="0"/>
                      <w:marBottom w:val="0"/>
                      <w:divBdr>
                        <w:top w:val="none" w:sz="0" w:space="0" w:color="auto"/>
                        <w:left w:val="none" w:sz="0" w:space="0" w:color="auto"/>
                        <w:bottom w:val="none" w:sz="0" w:space="0" w:color="auto"/>
                        <w:right w:val="none" w:sz="0" w:space="0" w:color="auto"/>
                      </w:divBdr>
                    </w:div>
                  </w:divsChild>
                </w:div>
                <w:div w:id="264728613">
                  <w:marLeft w:val="0"/>
                  <w:marRight w:val="0"/>
                  <w:marTop w:val="0"/>
                  <w:marBottom w:val="0"/>
                  <w:divBdr>
                    <w:top w:val="none" w:sz="0" w:space="0" w:color="auto"/>
                    <w:left w:val="none" w:sz="0" w:space="0" w:color="auto"/>
                    <w:bottom w:val="none" w:sz="0" w:space="0" w:color="auto"/>
                    <w:right w:val="none" w:sz="0" w:space="0" w:color="auto"/>
                  </w:divBdr>
                  <w:divsChild>
                    <w:div w:id="897206301">
                      <w:marLeft w:val="0"/>
                      <w:marRight w:val="0"/>
                      <w:marTop w:val="0"/>
                      <w:marBottom w:val="0"/>
                      <w:divBdr>
                        <w:top w:val="none" w:sz="0" w:space="0" w:color="auto"/>
                        <w:left w:val="none" w:sz="0" w:space="0" w:color="auto"/>
                        <w:bottom w:val="none" w:sz="0" w:space="0" w:color="auto"/>
                        <w:right w:val="none" w:sz="0" w:space="0" w:color="auto"/>
                      </w:divBdr>
                    </w:div>
                  </w:divsChild>
                </w:div>
                <w:div w:id="292757608">
                  <w:marLeft w:val="0"/>
                  <w:marRight w:val="0"/>
                  <w:marTop w:val="0"/>
                  <w:marBottom w:val="0"/>
                  <w:divBdr>
                    <w:top w:val="none" w:sz="0" w:space="0" w:color="auto"/>
                    <w:left w:val="none" w:sz="0" w:space="0" w:color="auto"/>
                    <w:bottom w:val="none" w:sz="0" w:space="0" w:color="auto"/>
                    <w:right w:val="none" w:sz="0" w:space="0" w:color="auto"/>
                  </w:divBdr>
                  <w:divsChild>
                    <w:div w:id="122578101">
                      <w:marLeft w:val="0"/>
                      <w:marRight w:val="0"/>
                      <w:marTop w:val="0"/>
                      <w:marBottom w:val="0"/>
                      <w:divBdr>
                        <w:top w:val="none" w:sz="0" w:space="0" w:color="auto"/>
                        <w:left w:val="none" w:sz="0" w:space="0" w:color="auto"/>
                        <w:bottom w:val="none" w:sz="0" w:space="0" w:color="auto"/>
                        <w:right w:val="none" w:sz="0" w:space="0" w:color="auto"/>
                      </w:divBdr>
                    </w:div>
                  </w:divsChild>
                </w:div>
                <w:div w:id="340819201">
                  <w:marLeft w:val="0"/>
                  <w:marRight w:val="0"/>
                  <w:marTop w:val="0"/>
                  <w:marBottom w:val="0"/>
                  <w:divBdr>
                    <w:top w:val="none" w:sz="0" w:space="0" w:color="auto"/>
                    <w:left w:val="none" w:sz="0" w:space="0" w:color="auto"/>
                    <w:bottom w:val="none" w:sz="0" w:space="0" w:color="auto"/>
                    <w:right w:val="none" w:sz="0" w:space="0" w:color="auto"/>
                  </w:divBdr>
                  <w:divsChild>
                    <w:div w:id="651567961">
                      <w:marLeft w:val="0"/>
                      <w:marRight w:val="0"/>
                      <w:marTop w:val="0"/>
                      <w:marBottom w:val="0"/>
                      <w:divBdr>
                        <w:top w:val="none" w:sz="0" w:space="0" w:color="auto"/>
                        <w:left w:val="none" w:sz="0" w:space="0" w:color="auto"/>
                        <w:bottom w:val="none" w:sz="0" w:space="0" w:color="auto"/>
                        <w:right w:val="none" w:sz="0" w:space="0" w:color="auto"/>
                      </w:divBdr>
                    </w:div>
                  </w:divsChild>
                </w:div>
                <w:div w:id="372661549">
                  <w:marLeft w:val="0"/>
                  <w:marRight w:val="0"/>
                  <w:marTop w:val="0"/>
                  <w:marBottom w:val="0"/>
                  <w:divBdr>
                    <w:top w:val="none" w:sz="0" w:space="0" w:color="auto"/>
                    <w:left w:val="none" w:sz="0" w:space="0" w:color="auto"/>
                    <w:bottom w:val="none" w:sz="0" w:space="0" w:color="auto"/>
                    <w:right w:val="none" w:sz="0" w:space="0" w:color="auto"/>
                  </w:divBdr>
                  <w:divsChild>
                    <w:div w:id="453640876">
                      <w:marLeft w:val="0"/>
                      <w:marRight w:val="0"/>
                      <w:marTop w:val="0"/>
                      <w:marBottom w:val="0"/>
                      <w:divBdr>
                        <w:top w:val="none" w:sz="0" w:space="0" w:color="auto"/>
                        <w:left w:val="none" w:sz="0" w:space="0" w:color="auto"/>
                        <w:bottom w:val="none" w:sz="0" w:space="0" w:color="auto"/>
                        <w:right w:val="none" w:sz="0" w:space="0" w:color="auto"/>
                      </w:divBdr>
                    </w:div>
                  </w:divsChild>
                </w:div>
                <w:div w:id="406999527">
                  <w:marLeft w:val="0"/>
                  <w:marRight w:val="0"/>
                  <w:marTop w:val="0"/>
                  <w:marBottom w:val="0"/>
                  <w:divBdr>
                    <w:top w:val="none" w:sz="0" w:space="0" w:color="auto"/>
                    <w:left w:val="none" w:sz="0" w:space="0" w:color="auto"/>
                    <w:bottom w:val="none" w:sz="0" w:space="0" w:color="auto"/>
                    <w:right w:val="none" w:sz="0" w:space="0" w:color="auto"/>
                  </w:divBdr>
                  <w:divsChild>
                    <w:div w:id="349069920">
                      <w:marLeft w:val="0"/>
                      <w:marRight w:val="0"/>
                      <w:marTop w:val="0"/>
                      <w:marBottom w:val="0"/>
                      <w:divBdr>
                        <w:top w:val="none" w:sz="0" w:space="0" w:color="auto"/>
                        <w:left w:val="none" w:sz="0" w:space="0" w:color="auto"/>
                        <w:bottom w:val="none" w:sz="0" w:space="0" w:color="auto"/>
                        <w:right w:val="none" w:sz="0" w:space="0" w:color="auto"/>
                      </w:divBdr>
                    </w:div>
                  </w:divsChild>
                </w:div>
                <w:div w:id="414860773">
                  <w:marLeft w:val="0"/>
                  <w:marRight w:val="0"/>
                  <w:marTop w:val="0"/>
                  <w:marBottom w:val="0"/>
                  <w:divBdr>
                    <w:top w:val="none" w:sz="0" w:space="0" w:color="auto"/>
                    <w:left w:val="none" w:sz="0" w:space="0" w:color="auto"/>
                    <w:bottom w:val="none" w:sz="0" w:space="0" w:color="auto"/>
                    <w:right w:val="none" w:sz="0" w:space="0" w:color="auto"/>
                  </w:divBdr>
                  <w:divsChild>
                    <w:div w:id="584648285">
                      <w:marLeft w:val="0"/>
                      <w:marRight w:val="0"/>
                      <w:marTop w:val="0"/>
                      <w:marBottom w:val="0"/>
                      <w:divBdr>
                        <w:top w:val="none" w:sz="0" w:space="0" w:color="auto"/>
                        <w:left w:val="none" w:sz="0" w:space="0" w:color="auto"/>
                        <w:bottom w:val="none" w:sz="0" w:space="0" w:color="auto"/>
                        <w:right w:val="none" w:sz="0" w:space="0" w:color="auto"/>
                      </w:divBdr>
                    </w:div>
                  </w:divsChild>
                </w:div>
                <w:div w:id="433867003">
                  <w:marLeft w:val="0"/>
                  <w:marRight w:val="0"/>
                  <w:marTop w:val="0"/>
                  <w:marBottom w:val="0"/>
                  <w:divBdr>
                    <w:top w:val="none" w:sz="0" w:space="0" w:color="auto"/>
                    <w:left w:val="none" w:sz="0" w:space="0" w:color="auto"/>
                    <w:bottom w:val="none" w:sz="0" w:space="0" w:color="auto"/>
                    <w:right w:val="none" w:sz="0" w:space="0" w:color="auto"/>
                  </w:divBdr>
                  <w:divsChild>
                    <w:div w:id="861817144">
                      <w:marLeft w:val="0"/>
                      <w:marRight w:val="0"/>
                      <w:marTop w:val="0"/>
                      <w:marBottom w:val="0"/>
                      <w:divBdr>
                        <w:top w:val="none" w:sz="0" w:space="0" w:color="auto"/>
                        <w:left w:val="none" w:sz="0" w:space="0" w:color="auto"/>
                        <w:bottom w:val="none" w:sz="0" w:space="0" w:color="auto"/>
                        <w:right w:val="none" w:sz="0" w:space="0" w:color="auto"/>
                      </w:divBdr>
                    </w:div>
                  </w:divsChild>
                </w:div>
                <w:div w:id="441803673">
                  <w:marLeft w:val="0"/>
                  <w:marRight w:val="0"/>
                  <w:marTop w:val="0"/>
                  <w:marBottom w:val="0"/>
                  <w:divBdr>
                    <w:top w:val="none" w:sz="0" w:space="0" w:color="auto"/>
                    <w:left w:val="none" w:sz="0" w:space="0" w:color="auto"/>
                    <w:bottom w:val="none" w:sz="0" w:space="0" w:color="auto"/>
                    <w:right w:val="none" w:sz="0" w:space="0" w:color="auto"/>
                  </w:divBdr>
                  <w:divsChild>
                    <w:div w:id="1001153674">
                      <w:marLeft w:val="0"/>
                      <w:marRight w:val="0"/>
                      <w:marTop w:val="0"/>
                      <w:marBottom w:val="0"/>
                      <w:divBdr>
                        <w:top w:val="none" w:sz="0" w:space="0" w:color="auto"/>
                        <w:left w:val="none" w:sz="0" w:space="0" w:color="auto"/>
                        <w:bottom w:val="none" w:sz="0" w:space="0" w:color="auto"/>
                        <w:right w:val="none" w:sz="0" w:space="0" w:color="auto"/>
                      </w:divBdr>
                    </w:div>
                  </w:divsChild>
                </w:div>
                <w:div w:id="452864455">
                  <w:marLeft w:val="0"/>
                  <w:marRight w:val="0"/>
                  <w:marTop w:val="0"/>
                  <w:marBottom w:val="0"/>
                  <w:divBdr>
                    <w:top w:val="none" w:sz="0" w:space="0" w:color="auto"/>
                    <w:left w:val="none" w:sz="0" w:space="0" w:color="auto"/>
                    <w:bottom w:val="none" w:sz="0" w:space="0" w:color="auto"/>
                    <w:right w:val="none" w:sz="0" w:space="0" w:color="auto"/>
                  </w:divBdr>
                  <w:divsChild>
                    <w:div w:id="209419654">
                      <w:marLeft w:val="0"/>
                      <w:marRight w:val="0"/>
                      <w:marTop w:val="0"/>
                      <w:marBottom w:val="0"/>
                      <w:divBdr>
                        <w:top w:val="none" w:sz="0" w:space="0" w:color="auto"/>
                        <w:left w:val="none" w:sz="0" w:space="0" w:color="auto"/>
                        <w:bottom w:val="none" w:sz="0" w:space="0" w:color="auto"/>
                        <w:right w:val="none" w:sz="0" w:space="0" w:color="auto"/>
                      </w:divBdr>
                    </w:div>
                  </w:divsChild>
                </w:div>
                <w:div w:id="544876751">
                  <w:marLeft w:val="0"/>
                  <w:marRight w:val="0"/>
                  <w:marTop w:val="0"/>
                  <w:marBottom w:val="0"/>
                  <w:divBdr>
                    <w:top w:val="none" w:sz="0" w:space="0" w:color="auto"/>
                    <w:left w:val="none" w:sz="0" w:space="0" w:color="auto"/>
                    <w:bottom w:val="none" w:sz="0" w:space="0" w:color="auto"/>
                    <w:right w:val="none" w:sz="0" w:space="0" w:color="auto"/>
                  </w:divBdr>
                  <w:divsChild>
                    <w:div w:id="1701786008">
                      <w:marLeft w:val="0"/>
                      <w:marRight w:val="0"/>
                      <w:marTop w:val="0"/>
                      <w:marBottom w:val="0"/>
                      <w:divBdr>
                        <w:top w:val="none" w:sz="0" w:space="0" w:color="auto"/>
                        <w:left w:val="none" w:sz="0" w:space="0" w:color="auto"/>
                        <w:bottom w:val="none" w:sz="0" w:space="0" w:color="auto"/>
                        <w:right w:val="none" w:sz="0" w:space="0" w:color="auto"/>
                      </w:divBdr>
                    </w:div>
                  </w:divsChild>
                </w:div>
                <w:div w:id="578640835">
                  <w:marLeft w:val="0"/>
                  <w:marRight w:val="0"/>
                  <w:marTop w:val="0"/>
                  <w:marBottom w:val="0"/>
                  <w:divBdr>
                    <w:top w:val="none" w:sz="0" w:space="0" w:color="auto"/>
                    <w:left w:val="none" w:sz="0" w:space="0" w:color="auto"/>
                    <w:bottom w:val="none" w:sz="0" w:space="0" w:color="auto"/>
                    <w:right w:val="none" w:sz="0" w:space="0" w:color="auto"/>
                  </w:divBdr>
                  <w:divsChild>
                    <w:div w:id="689916937">
                      <w:marLeft w:val="0"/>
                      <w:marRight w:val="0"/>
                      <w:marTop w:val="0"/>
                      <w:marBottom w:val="0"/>
                      <w:divBdr>
                        <w:top w:val="none" w:sz="0" w:space="0" w:color="auto"/>
                        <w:left w:val="none" w:sz="0" w:space="0" w:color="auto"/>
                        <w:bottom w:val="none" w:sz="0" w:space="0" w:color="auto"/>
                        <w:right w:val="none" w:sz="0" w:space="0" w:color="auto"/>
                      </w:divBdr>
                    </w:div>
                  </w:divsChild>
                </w:div>
                <w:div w:id="581455221">
                  <w:marLeft w:val="0"/>
                  <w:marRight w:val="0"/>
                  <w:marTop w:val="0"/>
                  <w:marBottom w:val="0"/>
                  <w:divBdr>
                    <w:top w:val="none" w:sz="0" w:space="0" w:color="auto"/>
                    <w:left w:val="none" w:sz="0" w:space="0" w:color="auto"/>
                    <w:bottom w:val="none" w:sz="0" w:space="0" w:color="auto"/>
                    <w:right w:val="none" w:sz="0" w:space="0" w:color="auto"/>
                  </w:divBdr>
                  <w:divsChild>
                    <w:div w:id="1692532967">
                      <w:marLeft w:val="0"/>
                      <w:marRight w:val="0"/>
                      <w:marTop w:val="0"/>
                      <w:marBottom w:val="0"/>
                      <w:divBdr>
                        <w:top w:val="none" w:sz="0" w:space="0" w:color="auto"/>
                        <w:left w:val="none" w:sz="0" w:space="0" w:color="auto"/>
                        <w:bottom w:val="none" w:sz="0" w:space="0" w:color="auto"/>
                        <w:right w:val="none" w:sz="0" w:space="0" w:color="auto"/>
                      </w:divBdr>
                    </w:div>
                  </w:divsChild>
                </w:div>
                <w:div w:id="590167976">
                  <w:marLeft w:val="0"/>
                  <w:marRight w:val="0"/>
                  <w:marTop w:val="0"/>
                  <w:marBottom w:val="0"/>
                  <w:divBdr>
                    <w:top w:val="none" w:sz="0" w:space="0" w:color="auto"/>
                    <w:left w:val="none" w:sz="0" w:space="0" w:color="auto"/>
                    <w:bottom w:val="none" w:sz="0" w:space="0" w:color="auto"/>
                    <w:right w:val="none" w:sz="0" w:space="0" w:color="auto"/>
                  </w:divBdr>
                  <w:divsChild>
                    <w:div w:id="1492520228">
                      <w:marLeft w:val="0"/>
                      <w:marRight w:val="0"/>
                      <w:marTop w:val="0"/>
                      <w:marBottom w:val="0"/>
                      <w:divBdr>
                        <w:top w:val="none" w:sz="0" w:space="0" w:color="auto"/>
                        <w:left w:val="none" w:sz="0" w:space="0" w:color="auto"/>
                        <w:bottom w:val="none" w:sz="0" w:space="0" w:color="auto"/>
                        <w:right w:val="none" w:sz="0" w:space="0" w:color="auto"/>
                      </w:divBdr>
                    </w:div>
                  </w:divsChild>
                </w:div>
                <w:div w:id="592711865">
                  <w:marLeft w:val="0"/>
                  <w:marRight w:val="0"/>
                  <w:marTop w:val="0"/>
                  <w:marBottom w:val="0"/>
                  <w:divBdr>
                    <w:top w:val="none" w:sz="0" w:space="0" w:color="auto"/>
                    <w:left w:val="none" w:sz="0" w:space="0" w:color="auto"/>
                    <w:bottom w:val="none" w:sz="0" w:space="0" w:color="auto"/>
                    <w:right w:val="none" w:sz="0" w:space="0" w:color="auto"/>
                  </w:divBdr>
                  <w:divsChild>
                    <w:div w:id="492379753">
                      <w:marLeft w:val="0"/>
                      <w:marRight w:val="0"/>
                      <w:marTop w:val="0"/>
                      <w:marBottom w:val="0"/>
                      <w:divBdr>
                        <w:top w:val="none" w:sz="0" w:space="0" w:color="auto"/>
                        <w:left w:val="none" w:sz="0" w:space="0" w:color="auto"/>
                        <w:bottom w:val="none" w:sz="0" w:space="0" w:color="auto"/>
                        <w:right w:val="none" w:sz="0" w:space="0" w:color="auto"/>
                      </w:divBdr>
                    </w:div>
                  </w:divsChild>
                </w:div>
                <w:div w:id="596451801">
                  <w:marLeft w:val="0"/>
                  <w:marRight w:val="0"/>
                  <w:marTop w:val="0"/>
                  <w:marBottom w:val="0"/>
                  <w:divBdr>
                    <w:top w:val="none" w:sz="0" w:space="0" w:color="auto"/>
                    <w:left w:val="none" w:sz="0" w:space="0" w:color="auto"/>
                    <w:bottom w:val="none" w:sz="0" w:space="0" w:color="auto"/>
                    <w:right w:val="none" w:sz="0" w:space="0" w:color="auto"/>
                  </w:divBdr>
                  <w:divsChild>
                    <w:div w:id="559024106">
                      <w:marLeft w:val="0"/>
                      <w:marRight w:val="0"/>
                      <w:marTop w:val="0"/>
                      <w:marBottom w:val="0"/>
                      <w:divBdr>
                        <w:top w:val="none" w:sz="0" w:space="0" w:color="auto"/>
                        <w:left w:val="none" w:sz="0" w:space="0" w:color="auto"/>
                        <w:bottom w:val="none" w:sz="0" w:space="0" w:color="auto"/>
                        <w:right w:val="none" w:sz="0" w:space="0" w:color="auto"/>
                      </w:divBdr>
                    </w:div>
                  </w:divsChild>
                </w:div>
                <w:div w:id="661352386">
                  <w:marLeft w:val="0"/>
                  <w:marRight w:val="0"/>
                  <w:marTop w:val="0"/>
                  <w:marBottom w:val="0"/>
                  <w:divBdr>
                    <w:top w:val="none" w:sz="0" w:space="0" w:color="auto"/>
                    <w:left w:val="none" w:sz="0" w:space="0" w:color="auto"/>
                    <w:bottom w:val="none" w:sz="0" w:space="0" w:color="auto"/>
                    <w:right w:val="none" w:sz="0" w:space="0" w:color="auto"/>
                  </w:divBdr>
                  <w:divsChild>
                    <w:div w:id="1629967507">
                      <w:marLeft w:val="0"/>
                      <w:marRight w:val="0"/>
                      <w:marTop w:val="0"/>
                      <w:marBottom w:val="0"/>
                      <w:divBdr>
                        <w:top w:val="none" w:sz="0" w:space="0" w:color="auto"/>
                        <w:left w:val="none" w:sz="0" w:space="0" w:color="auto"/>
                        <w:bottom w:val="none" w:sz="0" w:space="0" w:color="auto"/>
                        <w:right w:val="none" w:sz="0" w:space="0" w:color="auto"/>
                      </w:divBdr>
                    </w:div>
                  </w:divsChild>
                </w:div>
                <w:div w:id="668019225">
                  <w:marLeft w:val="0"/>
                  <w:marRight w:val="0"/>
                  <w:marTop w:val="0"/>
                  <w:marBottom w:val="0"/>
                  <w:divBdr>
                    <w:top w:val="none" w:sz="0" w:space="0" w:color="auto"/>
                    <w:left w:val="none" w:sz="0" w:space="0" w:color="auto"/>
                    <w:bottom w:val="none" w:sz="0" w:space="0" w:color="auto"/>
                    <w:right w:val="none" w:sz="0" w:space="0" w:color="auto"/>
                  </w:divBdr>
                  <w:divsChild>
                    <w:div w:id="2021466229">
                      <w:marLeft w:val="0"/>
                      <w:marRight w:val="0"/>
                      <w:marTop w:val="0"/>
                      <w:marBottom w:val="0"/>
                      <w:divBdr>
                        <w:top w:val="none" w:sz="0" w:space="0" w:color="auto"/>
                        <w:left w:val="none" w:sz="0" w:space="0" w:color="auto"/>
                        <w:bottom w:val="none" w:sz="0" w:space="0" w:color="auto"/>
                        <w:right w:val="none" w:sz="0" w:space="0" w:color="auto"/>
                      </w:divBdr>
                    </w:div>
                  </w:divsChild>
                </w:div>
                <w:div w:id="668677491">
                  <w:marLeft w:val="0"/>
                  <w:marRight w:val="0"/>
                  <w:marTop w:val="0"/>
                  <w:marBottom w:val="0"/>
                  <w:divBdr>
                    <w:top w:val="none" w:sz="0" w:space="0" w:color="auto"/>
                    <w:left w:val="none" w:sz="0" w:space="0" w:color="auto"/>
                    <w:bottom w:val="none" w:sz="0" w:space="0" w:color="auto"/>
                    <w:right w:val="none" w:sz="0" w:space="0" w:color="auto"/>
                  </w:divBdr>
                  <w:divsChild>
                    <w:div w:id="1570654551">
                      <w:marLeft w:val="0"/>
                      <w:marRight w:val="0"/>
                      <w:marTop w:val="0"/>
                      <w:marBottom w:val="0"/>
                      <w:divBdr>
                        <w:top w:val="none" w:sz="0" w:space="0" w:color="auto"/>
                        <w:left w:val="none" w:sz="0" w:space="0" w:color="auto"/>
                        <w:bottom w:val="none" w:sz="0" w:space="0" w:color="auto"/>
                        <w:right w:val="none" w:sz="0" w:space="0" w:color="auto"/>
                      </w:divBdr>
                    </w:div>
                  </w:divsChild>
                </w:div>
                <w:div w:id="732700222">
                  <w:marLeft w:val="0"/>
                  <w:marRight w:val="0"/>
                  <w:marTop w:val="0"/>
                  <w:marBottom w:val="0"/>
                  <w:divBdr>
                    <w:top w:val="none" w:sz="0" w:space="0" w:color="auto"/>
                    <w:left w:val="none" w:sz="0" w:space="0" w:color="auto"/>
                    <w:bottom w:val="none" w:sz="0" w:space="0" w:color="auto"/>
                    <w:right w:val="none" w:sz="0" w:space="0" w:color="auto"/>
                  </w:divBdr>
                  <w:divsChild>
                    <w:div w:id="2077170107">
                      <w:marLeft w:val="0"/>
                      <w:marRight w:val="0"/>
                      <w:marTop w:val="0"/>
                      <w:marBottom w:val="0"/>
                      <w:divBdr>
                        <w:top w:val="none" w:sz="0" w:space="0" w:color="auto"/>
                        <w:left w:val="none" w:sz="0" w:space="0" w:color="auto"/>
                        <w:bottom w:val="none" w:sz="0" w:space="0" w:color="auto"/>
                        <w:right w:val="none" w:sz="0" w:space="0" w:color="auto"/>
                      </w:divBdr>
                    </w:div>
                  </w:divsChild>
                </w:div>
                <w:div w:id="736123260">
                  <w:marLeft w:val="0"/>
                  <w:marRight w:val="0"/>
                  <w:marTop w:val="0"/>
                  <w:marBottom w:val="0"/>
                  <w:divBdr>
                    <w:top w:val="none" w:sz="0" w:space="0" w:color="auto"/>
                    <w:left w:val="none" w:sz="0" w:space="0" w:color="auto"/>
                    <w:bottom w:val="none" w:sz="0" w:space="0" w:color="auto"/>
                    <w:right w:val="none" w:sz="0" w:space="0" w:color="auto"/>
                  </w:divBdr>
                  <w:divsChild>
                    <w:div w:id="922766015">
                      <w:marLeft w:val="0"/>
                      <w:marRight w:val="0"/>
                      <w:marTop w:val="0"/>
                      <w:marBottom w:val="0"/>
                      <w:divBdr>
                        <w:top w:val="none" w:sz="0" w:space="0" w:color="auto"/>
                        <w:left w:val="none" w:sz="0" w:space="0" w:color="auto"/>
                        <w:bottom w:val="none" w:sz="0" w:space="0" w:color="auto"/>
                        <w:right w:val="none" w:sz="0" w:space="0" w:color="auto"/>
                      </w:divBdr>
                    </w:div>
                  </w:divsChild>
                </w:div>
                <w:div w:id="802698143">
                  <w:marLeft w:val="0"/>
                  <w:marRight w:val="0"/>
                  <w:marTop w:val="0"/>
                  <w:marBottom w:val="0"/>
                  <w:divBdr>
                    <w:top w:val="none" w:sz="0" w:space="0" w:color="auto"/>
                    <w:left w:val="none" w:sz="0" w:space="0" w:color="auto"/>
                    <w:bottom w:val="none" w:sz="0" w:space="0" w:color="auto"/>
                    <w:right w:val="none" w:sz="0" w:space="0" w:color="auto"/>
                  </w:divBdr>
                  <w:divsChild>
                    <w:div w:id="1100567656">
                      <w:marLeft w:val="0"/>
                      <w:marRight w:val="0"/>
                      <w:marTop w:val="0"/>
                      <w:marBottom w:val="0"/>
                      <w:divBdr>
                        <w:top w:val="none" w:sz="0" w:space="0" w:color="auto"/>
                        <w:left w:val="none" w:sz="0" w:space="0" w:color="auto"/>
                        <w:bottom w:val="none" w:sz="0" w:space="0" w:color="auto"/>
                        <w:right w:val="none" w:sz="0" w:space="0" w:color="auto"/>
                      </w:divBdr>
                    </w:div>
                  </w:divsChild>
                </w:div>
                <w:div w:id="805320996">
                  <w:marLeft w:val="0"/>
                  <w:marRight w:val="0"/>
                  <w:marTop w:val="0"/>
                  <w:marBottom w:val="0"/>
                  <w:divBdr>
                    <w:top w:val="none" w:sz="0" w:space="0" w:color="auto"/>
                    <w:left w:val="none" w:sz="0" w:space="0" w:color="auto"/>
                    <w:bottom w:val="none" w:sz="0" w:space="0" w:color="auto"/>
                    <w:right w:val="none" w:sz="0" w:space="0" w:color="auto"/>
                  </w:divBdr>
                  <w:divsChild>
                    <w:div w:id="748961244">
                      <w:marLeft w:val="0"/>
                      <w:marRight w:val="0"/>
                      <w:marTop w:val="0"/>
                      <w:marBottom w:val="0"/>
                      <w:divBdr>
                        <w:top w:val="none" w:sz="0" w:space="0" w:color="auto"/>
                        <w:left w:val="none" w:sz="0" w:space="0" w:color="auto"/>
                        <w:bottom w:val="none" w:sz="0" w:space="0" w:color="auto"/>
                        <w:right w:val="none" w:sz="0" w:space="0" w:color="auto"/>
                      </w:divBdr>
                    </w:div>
                  </w:divsChild>
                </w:div>
                <w:div w:id="871647278">
                  <w:marLeft w:val="0"/>
                  <w:marRight w:val="0"/>
                  <w:marTop w:val="0"/>
                  <w:marBottom w:val="0"/>
                  <w:divBdr>
                    <w:top w:val="none" w:sz="0" w:space="0" w:color="auto"/>
                    <w:left w:val="none" w:sz="0" w:space="0" w:color="auto"/>
                    <w:bottom w:val="none" w:sz="0" w:space="0" w:color="auto"/>
                    <w:right w:val="none" w:sz="0" w:space="0" w:color="auto"/>
                  </w:divBdr>
                  <w:divsChild>
                    <w:div w:id="1871137725">
                      <w:marLeft w:val="0"/>
                      <w:marRight w:val="0"/>
                      <w:marTop w:val="0"/>
                      <w:marBottom w:val="0"/>
                      <w:divBdr>
                        <w:top w:val="none" w:sz="0" w:space="0" w:color="auto"/>
                        <w:left w:val="none" w:sz="0" w:space="0" w:color="auto"/>
                        <w:bottom w:val="none" w:sz="0" w:space="0" w:color="auto"/>
                        <w:right w:val="none" w:sz="0" w:space="0" w:color="auto"/>
                      </w:divBdr>
                    </w:div>
                  </w:divsChild>
                </w:div>
                <w:div w:id="873151036">
                  <w:marLeft w:val="0"/>
                  <w:marRight w:val="0"/>
                  <w:marTop w:val="0"/>
                  <w:marBottom w:val="0"/>
                  <w:divBdr>
                    <w:top w:val="none" w:sz="0" w:space="0" w:color="auto"/>
                    <w:left w:val="none" w:sz="0" w:space="0" w:color="auto"/>
                    <w:bottom w:val="none" w:sz="0" w:space="0" w:color="auto"/>
                    <w:right w:val="none" w:sz="0" w:space="0" w:color="auto"/>
                  </w:divBdr>
                  <w:divsChild>
                    <w:div w:id="361631416">
                      <w:marLeft w:val="0"/>
                      <w:marRight w:val="0"/>
                      <w:marTop w:val="0"/>
                      <w:marBottom w:val="0"/>
                      <w:divBdr>
                        <w:top w:val="none" w:sz="0" w:space="0" w:color="auto"/>
                        <w:left w:val="none" w:sz="0" w:space="0" w:color="auto"/>
                        <w:bottom w:val="none" w:sz="0" w:space="0" w:color="auto"/>
                        <w:right w:val="none" w:sz="0" w:space="0" w:color="auto"/>
                      </w:divBdr>
                    </w:div>
                  </w:divsChild>
                </w:div>
                <w:div w:id="875048511">
                  <w:marLeft w:val="0"/>
                  <w:marRight w:val="0"/>
                  <w:marTop w:val="0"/>
                  <w:marBottom w:val="0"/>
                  <w:divBdr>
                    <w:top w:val="none" w:sz="0" w:space="0" w:color="auto"/>
                    <w:left w:val="none" w:sz="0" w:space="0" w:color="auto"/>
                    <w:bottom w:val="none" w:sz="0" w:space="0" w:color="auto"/>
                    <w:right w:val="none" w:sz="0" w:space="0" w:color="auto"/>
                  </w:divBdr>
                  <w:divsChild>
                    <w:div w:id="1580603598">
                      <w:marLeft w:val="0"/>
                      <w:marRight w:val="0"/>
                      <w:marTop w:val="0"/>
                      <w:marBottom w:val="0"/>
                      <w:divBdr>
                        <w:top w:val="none" w:sz="0" w:space="0" w:color="auto"/>
                        <w:left w:val="none" w:sz="0" w:space="0" w:color="auto"/>
                        <w:bottom w:val="none" w:sz="0" w:space="0" w:color="auto"/>
                        <w:right w:val="none" w:sz="0" w:space="0" w:color="auto"/>
                      </w:divBdr>
                    </w:div>
                  </w:divsChild>
                </w:div>
                <w:div w:id="905459590">
                  <w:marLeft w:val="0"/>
                  <w:marRight w:val="0"/>
                  <w:marTop w:val="0"/>
                  <w:marBottom w:val="0"/>
                  <w:divBdr>
                    <w:top w:val="none" w:sz="0" w:space="0" w:color="auto"/>
                    <w:left w:val="none" w:sz="0" w:space="0" w:color="auto"/>
                    <w:bottom w:val="none" w:sz="0" w:space="0" w:color="auto"/>
                    <w:right w:val="none" w:sz="0" w:space="0" w:color="auto"/>
                  </w:divBdr>
                  <w:divsChild>
                    <w:div w:id="1174997167">
                      <w:marLeft w:val="0"/>
                      <w:marRight w:val="0"/>
                      <w:marTop w:val="0"/>
                      <w:marBottom w:val="0"/>
                      <w:divBdr>
                        <w:top w:val="none" w:sz="0" w:space="0" w:color="auto"/>
                        <w:left w:val="none" w:sz="0" w:space="0" w:color="auto"/>
                        <w:bottom w:val="none" w:sz="0" w:space="0" w:color="auto"/>
                        <w:right w:val="none" w:sz="0" w:space="0" w:color="auto"/>
                      </w:divBdr>
                    </w:div>
                  </w:divsChild>
                </w:div>
                <w:div w:id="905915655">
                  <w:marLeft w:val="0"/>
                  <w:marRight w:val="0"/>
                  <w:marTop w:val="0"/>
                  <w:marBottom w:val="0"/>
                  <w:divBdr>
                    <w:top w:val="none" w:sz="0" w:space="0" w:color="auto"/>
                    <w:left w:val="none" w:sz="0" w:space="0" w:color="auto"/>
                    <w:bottom w:val="none" w:sz="0" w:space="0" w:color="auto"/>
                    <w:right w:val="none" w:sz="0" w:space="0" w:color="auto"/>
                  </w:divBdr>
                  <w:divsChild>
                    <w:div w:id="1278415398">
                      <w:marLeft w:val="0"/>
                      <w:marRight w:val="0"/>
                      <w:marTop w:val="0"/>
                      <w:marBottom w:val="0"/>
                      <w:divBdr>
                        <w:top w:val="none" w:sz="0" w:space="0" w:color="auto"/>
                        <w:left w:val="none" w:sz="0" w:space="0" w:color="auto"/>
                        <w:bottom w:val="none" w:sz="0" w:space="0" w:color="auto"/>
                        <w:right w:val="none" w:sz="0" w:space="0" w:color="auto"/>
                      </w:divBdr>
                    </w:div>
                  </w:divsChild>
                </w:div>
                <w:div w:id="999120125">
                  <w:marLeft w:val="0"/>
                  <w:marRight w:val="0"/>
                  <w:marTop w:val="0"/>
                  <w:marBottom w:val="0"/>
                  <w:divBdr>
                    <w:top w:val="none" w:sz="0" w:space="0" w:color="auto"/>
                    <w:left w:val="none" w:sz="0" w:space="0" w:color="auto"/>
                    <w:bottom w:val="none" w:sz="0" w:space="0" w:color="auto"/>
                    <w:right w:val="none" w:sz="0" w:space="0" w:color="auto"/>
                  </w:divBdr>
                  <w:divsChild>
                    <w:div w:id="1261527989">
                      <w:marLeft w:val="0"/>
                      <w:marRight w:val="0"/>
                      <w:marTop w:val="0"/>
                      <w:marBottom w:val="0"/>
                      <w:divBdr>
                        <w:top w:val="none" w:sz="0" w:space="0" w:color="auto"/>
                        <w:left w:val="none" w:sz="0" w:space="0" w:color="auto"/>
                        <w:bottom w:val="none" w:sz="0" w:space="0" w:color="auto"/>
                        <w:right w:val="none" w:sz="0" w:space="0" w:color="auto"/>
                      </w:divBdr>
                    </w:div>
                  </w:divsChild>
                </w:div>
                <w:div w:id="1017386371">
                  <w:marLeft w:val="0"/>
                  <w:marRight w:val="0"/>
                  <w:marTop w:val="0"/>
                  <w:marBottom w:val="0"/>
                  <w:divBdr>
                    <w:top w:val="none" w:sz="0" w:space="0" w:color="auto"/>
                    <w:left w:val="none" w:sz="0" w:space="0" w:color="auto"/>
                    <w:bottom w:val="none" w:sz="0" w:space="0" w:color="auto"/>
                    <w:right w:val="none" w:sz="0" w:space="0" w:color="auto"/>
                  </w:divBdr>
                  <w:divsChild>
                    <w:div w:id="1358579385">
                      <w:marLeft w:val="0"/>
                      <w:marRight w:val="0"/>
                      <w:marTop w:val="0"/>
                      <w:marBottom w:val="0"/>
                      <w:divBdr>
                        <w:top w:val="none" w:sz="0" w:space="0" w:color="auto"/>
                        <w:left w:val="none" w:sz="0" w:space="0" w:color="auto"/>
                        <w:bottom w:val="none" w:sz="0" w:space="0" w:color="auto"/>
                        <w:right w:val="none" w:sz="0" w:space="0" w:color="auto"/>
                      </w:divBdr>
                    </w:div>
                  </w:divsChild>
                </w:div>
                <w:div w:id="1069110610">
                  <w:marLeft w:val="0"/>
                  <w:marRight w:val="0"/>
                  <w:marTop w:val="0"/>
                  <w:marBottom w:val="0"/>
                  <w:divBdr>
                    <w:top w:val="none" w:sz="0" w:space="0" w:color="auto"/>
                    <w:left w:val="none" w:sz="0" w:space="0" w:color="auto"/>
                    <w:bottom w:val="none" w:sz="0" w:space="0" w:color="auto"/>
                    <w:right w:val="none" w:sz="0" w:space="0" w:color="auto"/>
                  </w:divBdr>
                  <w:divsChild>
                    <w:div w:id="1709060214">
                      <w:marLeft w:val="0"/>
                      <w:marRight w:val="0"/>
                      <w:marTop w:val="0"/>
                      <w:marBottom w:val="0"/>
                      <w:divBdr>
                        <w:top w:val="none" w:sz="0" w:space="0" w:color="auto"/>
                        <w:left w:val="none" w:sz="0" w:space="0" w:color="auto"/>
                        <w:bottom w:val="none" w:sz="0" w:space="0" w:color="auto"/>
                        <w:right w:val="none" w:sz="0" w:space="0" w:color="auto"/>
                      </w:divBdr>
                    </w:div>
                  </w:divsChild>
                </w:div>
                <w:div w:id="1075275317">
                  <w:marLeft w:val="0"/>
                  <w:marRight w:val="0"/>
                  <w:marTop w:val="0"/>
                  <w:marBottom w:val="0"/>
                  <w:divBdr>
                    <w:top w:val="none" w:sz="0" w:space="0" w:color="auto"/>
                    <w:left w:val="none" w:sz="0" w:space="0" w:color="auto"/>
                    <w:bottom w:val="none" w:sz="0" w:space="0" w:color="auto"/>
                    <w:right w:val="none" w:sz="0" w:space="0" w:color="auto"/>
                  </w:divBdr>
                  <w:divsChild>
                    <w:div w:id="1714961310">
                      <w:marLeft w:val="0"/>
                      <w:marRight w:val="0"/>
                      <w:marTop w:val="0"/>
                      <w:marBottom w:val="0"/>
                      <w:divBdr>
                        <w:top w:val="none" w:sz="0" w:space="0" w:color="auto"/>
                        <w:left w:val="none" w:sz="0" w:space="0" w:color="auto"/>
                        <w:bottom w:val="none" w:sz="0" w:space="0" w:color="auto"/>
                        <w:right w:val="none" w:sz="0" w:space="0" w:color="auto"/>
                      </w:divBdr>
                    </w:div>
                  </w:divsChild>
                </w:div>
                <w:div w:id="1117063268">
                  <w:marLeft w:val="0"/>
                  <w:marRight w:val="0"/>
                  <w:marTop w:val="0"/>
                  <w:marBottom w:val="0"/>
                  <w:divBdr>
                    <w:top w:val="none" w:sz="0" w:space="0" w:color="auto"/>
                    <w:left w:val="none" w:sz="0" w:space="0" w:color="auto"/>
                    <w:bottom w:val="none" w:sz="0" w:space="0" w:color="auto"/>
                    <w:right w:val="none" w:sz="0" w:space="0" w:color="auto"/>
                  </w:divBdr>
                  <w:divsChild>
                    <w:div w:id="169032843">
                      <w:marLeft w:val="0"/>
                      <w:marRight w:val="0"/>
                      <w:marTop w:val="0"/>
                      <w:marBottom w:val="0"/>
                      <w:divBdr>
                        <w:top w:val="none" w:sz="0" w:space="0" w:color="auto"/>
                        <w:left w:val="none" w:sz="0" w:space="0" w:color="auto"/>
                        <w:bottom w:val="none" w:sz="0" w:space="0" w:color="auto"/>
                        <w:right w:val="none" w:sz="0" w:space="0" w:color="auto"/>
                      </w:divBdr>
                    </w:div>
                  </w:divsChild>
                </w:div>
                <w:div w:id="1176072532">
                  <w:marLeft w:val="0"/>
                  <w:marRight w:val="0"/>
                  <w:marTop w:val="0"/>
                  <w:marBottom w:val="0"/>
                  <w:divBdr>
                    <w:top w:val="none" w:sz="0" w:space="0" w:color="auto"/>
                    <w:left w:val="none" w:sz="0" w:space="0" w:color="auto"/>
                    <w:bottom w:val="none" w:sz="0" w:space="0" w:color="auto"/>
                    <w:right w:val="none" w:sz="0" w:space="0" w:color="auto"/>
                  </w:divBdr>
                  <w:divsChild>
                    <w:div w:id="1858884812">
                      <w:marLeft w:val="0"/>
                      <w:marRight w:val="0"/>
                      <w:marTop w:val="0"/>
                      <w:marBottom w:val="0"/>
                      <w:divBdr>
                        <w:top w:val="none" w:sz="0" w:space="0" w:color="auto"/>
                        <w:left w:val="none" w:sz="0" w:space="0" w:color="auto"/>
                        <w:bottom w:val="none" w:sz="0" w:space="0" w:color="auto"/>
                        <w:right w:val="none" w:sz="0" w:space="0" w:color="auto"/>
                      </w:divBdr>
                    </w:div>
                  </w:divsChild>
                </w:div>
                <w:div w:id="1181359898">
                  <w:marLeft w:val="0"/>
                  <w:marRight w:val="0"/>
                  <w:marTop w:val="0"/>
                  <w:marBottom w:val="0"/>
                  <w:divBdr>
                    <w:top w:val="none" w:sz="0" w:space="0" w:color="auto"/>
                    <w:left w:val="none" w:sz="0" w:space="0" w:color="auto"/>
                    <w:bottom w:val="none" w:sz="0" w:space="0" w:color="auto"/>
                    <w:right w:val="none" w:sz="0" w:space="0" w:color="auto"/>
                  </w:divBdr>
                  <w:divsChild>
                    <w:div w:id="1655646496">
                      <w:marLeft w:val="0"/>
                      <w:marRight w:val="0"/>
                      <w:marTop w:val="0"/>
                      <w:marBottom w:val="0"/>
                      <w:divBdr>
                        <w:top w:val="none" w:sz="0" w:space="0" w:color="auto"/>
                        <w:left w:val="none" w:sz="0" w:space="0" w:color="auto"/>
                        <w:bottom w:val="none" w:sz="0" w:space="0" w:color="auto"/>
                        <w:right w:val="none" w:sz="0" w:space="0" w:color="auto"/>
                      </w:divBdr>
                    </w:div>
                  </w:divsChild>
                </w:div>
                <w:div w:id="1208642963">
                  <w:marLeft w:val="0"/>
                  <w:marRight w:val="0"/>
                  <w:marTop w:val="0"/>
                  <w:marBottom w:val="0"/>
                  <w:divBdr>
                    <w:top w:val="none" w:sz="0" w:space="0" w:color="auto"/>
                    <w:left w:val="none" w:sz="0" w:space="0" w:color="auto"/>
                    <w:bottom w:val="none" w:sz="0" w:space="0" w:color="auto"/>
                    <w:right w:val="none" w:sz="0" w:space="0" w:color="auto"/>
                  </w:divBdr>
                  <w:divsChild>
                    <w:div w:id="837382177">
                      <w:marLeft w:val="0"/>
                      <w:marRight w:val="0"/>
                      <w:marTop w:val="0"/>
                      <w:marBottom w:val="0"/>
                      <w:divBdr>
                        <w:top w:val="none" w:sz="0" w:space="0" w:color="auto"/>
                        <w:left w:val="none" w:sz="0" w:space="0" w:color="auto"/>
                        <w:bottom w:val="none" w:sz="0" w:space="0" w:color="auto"/>
                        <w:right w:val="none" w:sz="0" w:space="0" w:color="auto"/>
                      </w:divBdr>
                    </w:div>
                  </w:divsChild>
                </w:div>
                <w:div w:id="1225488035">
                  <w:marLeft w:val="0"/>
                  <w:marRight w:val="0"/>
                  <w:marTop w:val="0"/>
                  <w:marBottom w:val="0"/>
                  <w:divBdr>
                    <w:top w:val="none" w:sz="0" w:space="0" w:color="auto"/>
                    <w:left w:val="none" w:sz="0" w:space="0" w:color="auto"/>
                    <w:bottom w:val="none" w:sz="0" w:space="0" w:color="auto"/>
                    <w:right w:val="none" w:sz="0" w:space="0" w:color="auto"/>
                  </w:divBdr>
                  <w:divsChild>
                    <w:div w:id="161358095">
                      <w:marLeft w:val="0"/>
                      <w:marRight w:val="0"/>
                      <w:marTop w:val="0"/>
                      <w:marBottom w:val="0"/>
                      <w:divBdr>
                        <w:top w:val="none" w:sz="0" w:space="0" w:color="auto"/>
                        <w:left w:val="none" w:sz="0" w:space="0" w:color="auto"/>
                        <w:bottom w:val="none" w:sz="0" w:space="0" w:color="auto"/>
                        <w:right w:val="none" w:sz="0" w:space="0" w:color="auto"/>
                      </w:divBdr>
                    </w:div>
                  </w:divsChild>
                </w:div>
                <w:div w:id="1268847765">
                  <w:marLeft w:val="0"/>
                  <w:marRight w:val="0"/>
                  <w:marTop w:val="0"/>
                  <w:marBottom w:val="0"/>
                  <w:divBdr>
                    <w:top w:val="none" w:sz="0" w:space="0" w:color="auto"/>
                    <w:left w:val="none" w:sz="0" w:space="0" w:color="auto"/>
                    <w:bottom w:val="none" w:sz="0" w:space="0" w:color="auto"/>
                    <w:right w:val="none" w:sz="0" w:space="0" w:color="auto"/>
                  </w:divBdr>
                  <w:divsChild>
                    <w:div w:id="611859198">
                      <w:marLeft w:val="0"/>
                      <w:marRight w:val="0"/>
                      <w:marTop w:val="0"/>
                      <w:marBottom w:val="0"/>
                      <w:divBdr>
                        <w:top w:val="none" w:sz="0" w:space="0" w:color="auto"/>
                        <w:left w:val="none" w:sz="0" w:space="0" w:color="auto"/>
                        <w:bottom w:val="none" w:sz="0" w:space="0" w:color="auto"/>
                        <w:right w:val="none" w:sz="0" w:space="0" w:color="auto"/>
                      </w:divBdr>
                    </w:div>
                  </w:divsChild>
                </w:div>
                <w:div w:id="1271426849">
                  <w:marLeft w:val="0"/>
                  <w:marRight w:val="0"/>
                  <w:marTop w:val="0"/>
                  <w:marBottom w:val="0"/>
                  <w:divBdr>
                    <w:top w:val="none" w:sz="0" w:space="0" w:color="auto"/>
                    <w:left w:val="none" w:sz="0" w:space="0" w:color="auto"/>
                    <w:bottom w:val="none" w:sz="0" w:space="0" w:color="auto"/>
                    <w:right w:val="none" w:sz="0" w:space="0" w:color="auto"/>
                  </w:divBdr>
                  <w:divsChild>
                    <w:div w:id="1596595831">
                      <w:marLeft w:val="0"/>
                      <w:marRight w:val="0"/>
                      <w:marTop w:val="0"/>
                      <w:marBottom w:val="0"/>
                      <w:divBdr>
                        <w:top w:val="none" w:sz="0" w:space="0" w:color="auto"/>
                        <w:left w:val="none" w:sz="0" w:space="0" w:color="auto"/>
                        <w:bottom w:val="none" w:sz="0" w:space="0" w:color="auto"/>
                        <w:right w:val="none" w:sz="0" w:space="0" w:color="auto"/>
                      </w:divBdr>
                    </w:div>
                  </w:divsChild>
                </w:div>
                <w:div w:id="1274752168">
                  <w:marLeft w:val="0"/>
                  <w:marRight w:val="0"/>
                  <w:marTop w:val="0"/>
                  <w:marBottom w:val="0"/>
                  <w:divBdr>
                    <w:top w:val="none" w:sz="0" w:space="0" w:color="auto"/>
                    <w:left w:val="none" w:sz="0" w:space="0" w:color="auto"/>
                    <w:bottom w:val="none" w:sz="0" w:space="0" w:color="auto"/>
                    <w:right w:val="none" w:sz="0" w:space="0" w:color="auto"/>
                  </w:divBdr>
                  <w:divsChild>
                    <w:div w:id="494418069">
                      <w:marLeft w:val="0"/>
                      <w:marRight w:val="0"/>
                      <w:marTop w:val="0"/>
                      <w:marBottom w:val="0"/>
                      <w:divBdr>
                        <w:top w:val="none" w:sz="0" w:space="0" w:color="auto"/>
                        <w:left w:val="none" w:sz="0" w:space="0" w:color="auto"/>
                        <w:bottom w:val="none" w:sz="0" w:space="0" w:color="auto"/>
                        <w:right w:val="none" w:sz="0" w:space="0" w:color="auto"/>
                      </w:divBdr>
                    </w:div>
                  </w:divsChild>
                </w:div>
                <w:div w:id="1314599375">
                  <w:marLeft w:val="0"/>
                  <w:marRight w:val="0"/>
                  <w:marTop w:val="0"/>
                  <w:marBottom w:val="0"/>
                  <w:divBdr>
                    <w:top w:val="none" w:sz="0" w:space="0" w:color="auto"/>
                    <w:left w:val="none" w:sz="0" w:space="0" w:color="auto"/>
                    <w:bottom w:val="none" w:sz="0" w:space="0" w:color="auto"/>
                    <w:right w:val="none" w:sz="0" w:space="0" w:color="auto"/>
                  </w:divBdr>
                  <w:divsChild>
                    <w:div w:id="1768962821">
                      <w:marLeft w:val="0"/>
                      <w:marRight w:val="0"/>
                      <w:marTop w:val="0"/>
                      <w:marBottom w:val="0"/>
                      <w:divBdr>
                        <w:top w:val="none" w:sz="0" w:space="0" w:color="auto"/>
                        <w:left w:val="none" w:sz="0" w:space="0" w:color="auto"/>
                        <w:bottom w:val="none" w:sz="0" w:space="0" w:color="auto"/>
                        <w:right w:val="none" w:sz="0" w:space="0" w:color="auto"/>
                      </w:divBdr>
                    </w:div>
                  </w:divsChild>
                </w:div>
                <w:div w:id="1367637728">
                  <w:marLeft w:val="0"/>
                  <w:marRight w:val="0"/>
                  <w:marTop w:val="0"/>
                  <w:marBottom w:val="0"/>
                  <w:divBdr>
                    <w:top w:val="none" w:sz="0" w:space="0" w:color="auto"/>
                    <w:left w:val="none" w:sz="0" w:space="0" w:color="auto"/>
                    <w:bottom w:val="none" w:sz="0" w:space="0" w:color="auto"/>
                    <w:right w:val="none" w:sz="0" w:space="0" w:color="auto"/>
                  </w:divBdr>
                  <w:divsChild>
                    <w:div w:id="208344351">
                      <w:marLeft w:val="0"/>
                      <w:marRight w:val="0"/>
                      <w:marTop w:val="0"/>
                      <w:marBottom w:val="0"/>
                      <w:divBdr>
                        <w:top w:val="none" w:sz="0" w:space="0" w:color="auto"/>
                        <w:left w:val="none" w:sz="0" w:space="0" w:color="auto"/>
                        <w:bottom w:val="none" w:sz="0" w:space="0" w:color="auto"/>
                        <w:right w:val="none" w:sz="0" w:space="0" w:color="auto"/>
                      </w:divBdr>
                    </w:div>
                  </w:divsChild>
                </w:div>
                <w:div w:id="1405058871">
                  <w:marLeft w:val="0"/>
                  <w:marRight w:val="0"/>
                  <w:marTop w:val="0"/>
                  <w:marBottom w:val="0"/>
                  <w:divBdr>
                    <w:top w:val="none" w:sz="0" w:space="0" w:color="auto"/>
                    <w:left w:val="none" w:sz="0" w:space="0" w:color="auto"/>
                    <w:bottom w:val="none" w:sz="0" w:space="0" w:color="auto"/>
                    <w:right w:val="none" w:sz="0" w:space="0" w:color="auto"/>
                  </w:divBdr>
                  <w:divsChild>
                    <w:div w:id="609242536">
                      <w:marLeft w:val="0"/>
                      <w:marRight w:val="0"/>
                      <w:marTop w:val="0"/>
                      <w:marBottom w:val="0"/>
                      <w:divBdr>
                        <w:top w:val="none" w:sz="0" w:space="0" w:color="auto"/>
                        <w:left w:val="none" w:sz="0" w:space="0" w:color="auto"/>
                        <w:bottom w:val="none" w:sz="0" w:space="0" w:color="auto"/>
                        <w:right w:val="none" w:sz="0" w:space="0" w:color="auto"/>
                      </w:divBdr>
                    </w:div>
                  </w:divsChild>
                </w:div>
                <w:div w:id="1445424334">
                  <w:marLeft w:val="0"/>
                  <w:marRight w:val="0"/>
                  <w:marTop w:val="0"/>
                  <w:marBottom w:val="0"/>
                  <w:divBdr>
                    <w:top w:val="none" w:sz="0" w:space="0" w:color="auto"/>
                    <w:left w:val="none" w:sz="0" w:space="0" w:color="auto"/>
                    <w:bottom w:val="none" w:sz="0" w:space="0" w:color="auto"/>
                    <w:right w:val="none" w:sz="0" w:space="0" w:color="auto"/>
                  </w:divBdr>
                  <w:divsChild>
                    <w:div w:id="1025909144">
                      <w:marLeft w:val="0"/>
                      <w:marRight w:val="0"/>
                      <w:marTop w:val="0"/>
                      <w:marBottom w:val="0"/>
                      <w:divBdr>
                        <w:top w:val="none" w:sz="0" w:space="0" w:color="auto"/>
                        <w:left w:val="none" w:sz="0" w:space="0" w:color="auto"/>
                        <w:bottom w:val="none" w:sz="0" w:space="0" w:color="auto"/>
                        <w:right w:val="none" w:sz="0" w:space="0" w:color="auto"/>
                      </w:divBdr>
                    </w:div>
                  </w:divsChild>
                </w:div>
                <w:div w:id="1446314963">
                  <w:marLeft w:val="0"/>
                  <w:marRight w:val="0"/>
                  <w:marTop w:val="0"/>
                  <w:marBottom w:val="0"/>
                  <w:divBdr>
                    <w:top w:val="none" w:sz="0" w:space="0" w:color="auto"/>
                    <w:left w:val="none" w:sz="0" w:space="0" w:color="auto"/>
                    <w:bottom w:val="none" w:sz="0" w:space="0" w:color="auto"/>
                    <w:right w:val="none" w:sz="0" w:space="0" w:color="auto"/>
                  </w:divBdr>
                  <w:divsChild>
                    <w:div w:id="2145804303">
                      <w:marLeft w:val="0"/>
                      <w:marRight w:val="0"/>
                      <w:marTop w:val="0"/>
                      <w:marBottom w:val="0"/>
                      <w:divBdr>
                        <w:top w:val="none" w:sz="0" w:space="0" w:color="auto"/>
                        <w:left w:val="none" w:sz="0" w:space="0" w:color="auto"/>
                        <w:bottom w:val="none" w:sz="0" w:space="0" w:color="auto"/>
                        <w:right w:val="none" w:sz="0" w:space="0" w:color="auto"/>
                      </w:divBdr>
                    </w:div>
                  </w:divsChild>
                </w:div>
                <w:div w:id="1480852616">
                  <w:marLeft w:val="0"/>
                  <w:marRight w:val="0"/>
                  <w:marTop w:val="0"/>
                  <w:marBottom w:val="0"/>
                  <w:divBdr>
                    <w:top w:val="none" w:sz="0" w:space="0" w:color="auto"/>
                    <w:left w:val="none" w:sz="0" w:space="0" w:color="auto"/>
                    <w:bottom w:val="none" w:sz="0" w:space="0" w:color="auto"/>
                    <w:right w:val="none" w:sz="0" w:space="0" w:color="auto"/>
                  </w:divBdr>
                  <w:divsChild>
                    <w:div w:id="1358502656">
                      <w:marLeft w:val="0"/>
                      <w:marRight w:val="0"/>
                      <w:marTop w:val="0"/>
                      <w:marBottom w:val="0"/>
                      <w:divBdr>
                        <w:top w:val="none" w:sz="0" w:space="0" w:color="auto"/>
                        <w:left w:val="none" w:sz="0" w:space="0" w:color="auto"/>
                        <w:bottom w:val="none" w:sz="0" w:space="0" w:color="auto"/>
                        <w:right w:val="none" w:sz="0" w:space="0" w:color="auto"/>
                      </w:divBdr>
                    </w:div>
                  </w:divsChild>
                </w:div>
                <w:div w:id="1498380939">
                  <w:marLeft w:val="0"/>
                  <w:marRight w:val="0"/>
                  <w:marTop w:val="0"/>
                  <w:marBottom w:val="0"/>
                  <w:divBdr>
                    <w:top w:val="none" w:sz="0" w:space="0" w:color="auto"/>
                    <w:left w:val="none" w:sz="0" w:space="0" w:color="auto"/>
                    <w:bottom w:val="none" w:sz="0" w:space="0" w:color="auto"/>
                    <w:right w:val="none" w:sz="0" w:space="0" w:color="auto"/>
                  </w:divBdr>
                  <w:divsChild>
                    <w:div w:id="894052467">
                      <w:marLeft w:val="0"/>
                      <w:marRight w:val="0"/>
                      <w:marTop w:val="0"/>
                      <w:marBottom w:val="0"/>
                      <w:divBdr>
                        <w:top w:val="none" w:sz="0" w:space="0" w:color="auto"/>
                        <w:left w:val="none" w:sz="0" w:space="0" w:color="auto"/>
                        <w:bottom w:val="none" w:sz="0" w:space="0" w:color="auto"/>
                        <w:right w:val="none" w:sz="0" w:space="0" w:color="auto"/>
                      </w:divBdr>
                    </w:div>
                  </w:divsChild>
                </w:div>
                <w:div w:id="1532720334">
                  <w:marLeft w:val="0"/>
                  <w:marRight w:val="0"/>
                  <w:marTop w:val="0"/>
                  <w:marBottom w:val="0"/>
                  <w:divBdr>
                    <w:top w:val="none" w:sz="0" w:space="0" w:color="auto"/>
                    <w:left w:val="none" w:sz="0" w:space="0" w:color="auto"/>
                    <w:bottom w:val="none" w:sz="0" w:space="0" w:color="auto"/>
                    <w:right w:val="none" w:sz="0" w:space="0" w:color="auto"/>
                  </w:divBdr>
                  <w:divsChild>
                    <w:div w:id="1890874675">
                      <w:marLeft w:val="0"/>
                      <w:marRight w:val="0"/>
                      <w:marTop w:val="0"/>
                      <w:marBottom w:val="0"/>
                      <w:divBdr>
                        <w:top w:val="none" w:sz="0" w:space="0" w:color="auto"/>
                        <w:left w:val="none" w:sz="0" w:space="0" w:color="auto"/>
                        <w:bottom w:val="none" w:sz="0" w:space="0" w:color="auto"/>
                        <w:right w:val="none" w:sz="0" w:space="0" w:color="auto"/>
                      </w:divBdr>
                    </w:div>
                  </w:divsChild>
                </w:div>
                <w:div w:id="1569421690">
                  <w:marLeft w:val="0"/>
                  <w:marRight w:val="0"/>
                  <w:marTop w:val="0"/>
                  <w:marBottom w:val="0"/>
                  <w:divBdr>
                    <w:top w:val="none" w:sz="0" w:space="0" w:color="auto"/>
                    <w:left w:val="none" w:sz="0" w:space="0" w:color="auto"/>
                    <w:bottom w:val="none" w:sz="0" w:space="0" w:color="auto"/>
                    <w:right w:val="none" w:sz="0" w:space="0" w:color="auto"/>
                  </w:divBdr>
                  <w:divsChild>
                    <w:div w:id="1529610512">
                      <w:marLeft w:val="0"/>
                      <w:marRight w:val="0"/>
                      <w:marTop w:val="0"/>
                      <w:marBottom w:val="0"/>
                      <w:divBdr>
                        <w:top w:val="none" w:sz="0" w:space="0" w:color="auto"/>
                        <w:left w:val="none" w:sz="0" w:space="0" w:color="auto"/>
                        <w:bottom w:val="none" w:sz="0" w:space="0" w:color="auto"/>
                        <w:right w:val="none" w:sz="0" w:space="0" w:color="auto"/>
                      </w:divBdr>
                    </w:div>
                  </w:divsChild>
                </w:div>
                <w:div w:id="1636370733">
                  <w:marLeft w:val="0"/>
                  <w:marRight w:val="0"/>
                  <w:marTop w:val="0"/>
                  <w:marBottom w:val="0"/>
                  <w:divBdr>
                    <w:top w:val="none" w:sz="0" w:space="0" w:color="auto"/>
                    <w:left w:val="none" w:sz="0" w:space="0" w:color="auto"/>
                    <w:bottom w:val="none" w:sz="0" w:space="0" w:color="auto"/>
                    <w:right w:val="none" w:sz="0" w:space="0" w:color="auto"/>
                  </w:divBdr>
                  <w:divsChild>
                    <w:div w:id="2010668064">
                      <w:marLeft w:val="0"/>
                      <w:marRight w:val="0"/>
                      <w:marTop w:val="0"/>
                      <w:marBottom w:val="0"/>
                      <w:divBdr>
                        <w:top w:val="none" w:sz="0" w:space="0" w:color="auto"/>
                        <w:left w:val="none" w:sz="0" w:space="0" w:color="auto"/>
                        <w:bottom w:val="none" w:sz="0" w:space="0" w:color="auto"/>
                        <w:right w:val="none" w:sz="0" w:space="0" w:color="auto"/>
                      </w:divBdr>
                    </w:div>
                  </w:divsChild>
                </w:div>
                <w:div w:id="1637679501">
                  <w:marLeft w:val="0"/>
                  <w:marRight w:val="0"/>
                  <w:marTop w:val="0"/>
                  <w:marBottom w:val="0"/>
                  <w:divBdr>
                    <w:top w:val="none" w:sz="0" w:space="0" w:color="auto"/>
                    <w:left w:val="none" w:sz="0" w:space="0" w:color="auto"/>
                    <w:bottom w:val="none" w:sz="0" w:space="0" w:color="auto"/>
                    <w:right w:val="none" w:sz="0" w:space="0" w:color="auto"/>
                  </w:divBdr>
                  <w:divsChild>
                    <w:div w:id="2028406934">
                      <w:marLeft w:val="0"/>
                      <w:marRight w:val="0"/>
                      <w:marTop w:val="0"/>
                      <w:marBottom w:val="0"/>
                      <w:divBdr>
                        <w:top w:val="none" w:sz="0" w:space="0" w:color="auto"/>
                        <w:left w:val="none" w:sz="0" w:space="0" w:color="auto"/>
                        <w:bottom w:val="none" w:sz="0" w:space="0" w:color="auto"/>
                        <w:right w:val="none" w:sz="0" w:space="0" w:color="auto"/>
                      </w:divBdr>
                    </w:div>
                  </w:divsChild>
                </w:div>
                <w:div w:id="1657299732">
                  <w:marLeft w:val="0"/>
                  <w:marRight w:val="0"/>
                  <w:marTop w:val="0"/>
                  <w:marBottom w:val="0"/>
                  <w:divBdr>
                    <w:top w:val="none" w:sz="0" w:space="0" w:color="auto"/>
                    <w:left w:val="none" w:sz="0" w:space="0" w:color="auto"/>
                    <w:bottom w:val="none" w:sz="0" w:space="0" w:color="auto"/>
                    <w:right w:val="none" w:sz="0" w:space="0" w:color="auto"/>
                  </w:divBdr>
                  <w:divsChild>
                    <w:div w:id="173300425">
                      <w:marLeft w:val="0"/>
                      <w:marRight w:val="0"/>
                      <w:marTop w:val="0"/>
                      <w:marBottom w:val="0"/>
                      <w:divBdr>
                        <w:top w:val="none" w:sz="0" w:space="0" w:color="auto"/>
                        <w:left w:val="none" w:sz="0" w:space="0" w:color="auto"/>
                        <w:bottom w:val="none" w:sz="0" w:space="0" w:color="auto"/>
                        <w:right w:val="none" w:sz="0" w:space="0" w:color="auto"/>
                      </w:divBdr>
                    </w:div>
                  </w:divsChild>
                </w:div>
                <w:div w:id="1679650573">
                  <w:marLeft w:val="0"/>
                  <w:marRight w:val="0"/>
                  <w:marTop w:val="0"/>
                  <w:marBottom w:val="0"/>
                  <w:divBdr>
                    <w:top w:val="none" w:sz="0" w:space="0" w:color="auto"/>
                    <w:left w:val="none" w:sz="0" w:space="0" w:color="auto"/>
                    <w:bottom w:val="none" w:sz="0" w:space="0" w:color="auto"/>
                    <w:right w:val="none" w:sz="0" w:space="0" w:color="auto"/>
                  </w:divBdr>
                  <w:divsChild>
                    <w:div w:id="1686789516">
                      <w:marLeft w:val="0"/>
                      <w:marRight w:val="0"/>
                      <w:marTop w:val="0"/>
                      <w:marBottom w:val="0"/>
                      <w:divBdr>
                        <w:top w:val="none" w:sz="0" w:space="0" w:color="auto"/>
                        <w:left w:val="none" w:sz="0" w:space="0" w:color="auto"/>
                        <w:bottom w:val="none" w:sz="0" w:space="0" w:color="auto"/>
                        <w:right w:val="none" w:sz="0" w:space="0" w:color="auto"/>
                      </w:divBdr>
                    </w:div>
                  </w:divsChild>
                </w:div>
                <w:div w:id="1682078384">
                  <w:marLeft w:val="0"/>
                  <w:marRight w:val="0"/>
                  <w:marTop w:val="0"/>
                  <w:marBottom w:val="0"/>
                  <w:divBdr>
                    <w:top w:val="none" w:sz="0" w:space="0" w:color="auto"/>
                    <w:left w:val="none" w:sz="0" w:space="0" w:color="auto"/>
                    <w:bottom w:val="none" w:sz="0" w:space="0" w:color="auto"/>
                    <w:right w:val="none" w:sz="0" w:space="0" w:color="auto"/>
                  </w:divBdr>
                  <w:divsChild>
                    <w:div w:id="50468885">
                      <w:marLeft w:val="0"/>
                      <w:marRight w:val="0"/>
                      <w:marTop w:val="0"/>
                      <w:marBottom w:val="0"/>
                      <w:divBdr>
                        <w:top w:val="none" w:sz="0" w:space="0" w:color="auto"/>
                        <w:left w:val="none" w:sz="0" w:space="0" w:color="auto"/>
                        <w:bottom w:val="none" w:sz="0" w:space="0" w:color="auto"/>
                        <w:right w:val="none" w:sz="0" w:space="0" w:color="auto"/>
                      </w:divBdr>
                    </w:div>
                  </w:divsChild>
                </w:div>
                <w:div w:id="1696617334">
                  <w:marLeft w:val="0"/>
                  <w:marRight w:val="0"/>
                  <w:marTop w:val="0"/>
                  <w:marBottom w:val="0"/>
                  <w:divBdr>
                    <w:top w:val="none" w:sz="0" w:space="0" w:color="auto"/>
                    <w:left w:val="none" w:sz="0" w:space="0" w:color="auto"/>
                    <w:bottom w:val="none" w:sz="0" w:space="0" w:color="auto"/>
                    <w:right w:val="none" w:sz="0" w:space="0" w:color="auto"/>
                  </w:divBdr>
                  <w:divsChild>
                    <w:div w:id="1296325794">
                      <w:marLeft w:val="0"/>
                      <w:marRight w:val="0"/>
                      <w:marTop w:val="0"/>
                      <w:marBottom w:val="0"/>
                      <w:divBdr>
                        <w:top w:val="none" w:sz="0" w:space="0" w:color="auto"/>
                        <w:left w:val="none" w:sz="0" w:space="0" w:color="auto"/>
                        <w:bottom w:val="none" w:sz="0" w:space="0" w:color="auto"/>
                        <w:right w:val="none" w:sz="0" w:space="0" w:color="auto"/>
                      </w:divBdr>
                    </w:div>
                  </w:divsChild>
                </w:div>
                <w:div w:id="1715424482">
                  <w:marLeft w:val="0"/>
                  <w:marRight w:val="0"/>
                  <w:marTop w:val="0"/>
                  <w:marBottom w:val="0"/>
                  <w:divBdr>
                    <w:top w:val="none" w:sz="0" w:space="0" w:color="auto"/>
                    <w:left w:val="none" w:sz="0" w:space="0" w:color="auto"/>
                    <w:bottom w:val="none" w:sz="0" w:space="0" w:color="auto"/>
                    <w:right w:val="none" w:sz="0" w:space="0" w:color="auto"/>
                  </w:divBdr>
                  <w:divsChild>
                    <w:div w:id="442312853">
                      <w:marLeft w:val="0"/>
                      <w:marRight w:val="0"/>
                      <w:marTop w:val="0"/>
                      <w:marBottom w:val="0"/>
                      <w:divBdr>
                        <w:top w:val="none" w:sz="0" w:space="0" w:color="auto"/>
                        <w:left w:val="none" w:sz="0" w:space="0" w:color="auto"/>
                        <w:bottom w:val="none" w:sz="0" w:space="0" w:color="auto"/>
                        <w:right w:val="none" w:sz="0" w:space="0" w:color="auto"/>
                      </w:divBdr>
                    </w:div>
                  </w:divsChild>
                </w:div>
                <w:div w:id="1719740016">
                  <w:marLeft w:val="0"/>
                  <w:marRight w:val="0"/>
                  <w:marTop w:val="0"/>
                  <w:marBottom w:val="0"/>
                  <w:divBdr>
                    <w:top w:val="none" w:sz="0" w:space="0" w:color="auto"/>
                    <w:left w:val="none" w:sz="0" w:space="0" w:color="auto"/>
                    <w:bottom w:val="none" w:sz="0" w:space="0" w:color="auto"/>
                    <w:right w:val="none" w:sz="0" w:space="0" w:color="auto"/>
                  </w:divBdr>
                  <w:divsChild>
                    <w:div w:id="1462456588">
                      <w:marLeft w:val="0"/>
                      <w:marRight w:val="0"/>
                      <w:marTop w:val="0"/>
                      <w:marBottom w:val="0"/>
                      <w:divBdr>
                        <w:top w:val="none" w:sz="0" w:space="0" w:color="auto"/>
                        <w:left w:val="none" w:sz="0" w:space="0" w:color="auto"/>
                        <w:bottom w:val="none" w:sz="0" w:space="0" w:color="auto"/>
                        <w:right w:val="none" w:sz="0" w:space="0" w:color="auto"/>
                      </w:divBdr>
                    </w:div>
                  </w:divsChild>
                </w:div>
                <w:div w:id="1722091653">
                  <w:marLeft w:val="0"/>
                  <w:marRight w:val="0"/>
                  <w:marTop w:val="0"/>
                  <w:marBottom w:val="0"/>
                  <w:divBdr>
                    <w:top w:val="none" w:sz="0" w:space="0" w:color="auto"/>
                    <w:left w:val="none" w:sz="0" w:space="0" w:color="auto"/>
                    <w:bottom w:val="none" w:sz="0" w:space="0" w:color="auto"/>
                    <w:right w:val="none" w:sz="0" w:space="0" w:color="auto"/>
                  </w:divBdr>
                  <w:divsChild>
                    <w:div w:id="1746292777">
                      <w:marLeft w:val="0"/>
                      <w:marRight w:val="0"/>
                      <w:marTop w:val="0"/>
                      <w:marBottom w:val="0"/>
                      <w:divBdr>
                        <w:top w:val="none" w:sz="0" w:space="0" w:color="auto"/>
                        <w:left w:val="none" w:sz="0" w:space="0" w:color="auto"/>
                        <w:bottom w:val="none" w:sz="0" w:space="0" w:color="auto"/>
                        <w:right w:val="none" w:sz="0" w:space="0" w:color="auto"/>
                      </w:divBdr>
                    </w:div>
                  </w:divsChild>
                </w:div>
                <w:div w:id="1771007213">
                  <w:marLeft w:val="0"/>
                  <w:marRight w:val="0"/>
                  <w:marTop w:val="0"/>
                  <w:marBottom w:val="0"/>
                  <w:divBdr>
                    <w:top w:val="none" w:sz="0" w:space="0" w:color="auto"/>
                    <w:left w:val="none" w:sz="0" w:space="0" w:color="auto"/>
                    <w:bottom w:val="none" w:sz="0" w:space="0" w:color="auto"/>
                    <w:right w:val="none" w:sz="0" w:space="0" w:color="auto"/>
                  </w:divBdr>
                  <w:divsChild>
                    <w:div w:id="2018733336">
                      <w:marLeft w:val="0"/>
                      <w:marRight w:val="0"/>
                      <w:marTop w:val="0"/>
                      <w:marBottom w:val="0"/>
                      <w:divBdr>
                        <w:top w:val="none" w:sz="0" w:space="0" w:color="auto"/>
                        <w:left w:val="none" w:sz="0" w:space="0" w:color="auto"/>
                        <w:bottom w:val="none" w:sz="0" w:space="0" w:color="auto"/>
                        <w:right w:val="none" w:sz="0" w:space="0" w:color="auto"/>
                      </w:divBdr>
                    </w:div>
                  </w:divsChild>
                </w:div>
                <w:div w:id="1776241542">
                  <w:marLeft w:val="0"/>
                  <w:marRight w:val="0"/>
                  <w:marTop w:val="0"/>
                  <w:marBottom w:val="0"/>
                  <w:divBdr>
                    <w:top w:val="none" w:sz="0" w:space="0" w:color="auto"/>
                    <w:left w:val="none" w:sz="0" w:space="0" w:color="auto"/>
                    <w:bottom w:val="none" w:sz="0" w:space="0" w:color="auto"/>
                    <w:right w:val="none" w:sz="0" w:space="0" w:color="auto"/>
                  </w:divBdr>
                  <w:divsChild>
                    <w:div w:id="1863668988">
                      <w:marLeft w:val="0"/>
                      <w:marRight w:val="0"/>
                      <w:marTop w:val="0"/>
                      <w:marBottom w:val="0"/>
                      <w:divBdr>
                        <w:top w:val="none" w:sz="0" w:space="0" w:color="auto"/>
                        <w:left w:val="none" w:sz="0" w:space="0" w:color="auto"/>
                        <w:bottom w:val="none" w:sz="0" w:space="0" w:color="auto"/>
                        <w:right w:val="none" w:sz="0" w:space="0" w:color="auto"/>
                      </w:divBdr>
                    </w:div>
                  </w:divsChild>
                </w:div>
                <w:div w:id="1839231585">
                  <w:marLeft w:val="0"/>
                  <w:marRight w:val="0"/>
                  <w:marTop w:val="0"/>
                  <w:marBottom w:val="0"/>
                  <w:divBdr>
                    <w:top w:val="none" w:sz="0" w:space="0" w:color="auto"/>
                    <w:left w:val="none" w:sz="0" w:space="0" w:color="auto"/>
                    <w:bottom w:val="none" w:sz="0" w:space="0" w:color="auto"/>
                    <w:right w:val="none" w:sz="0" w:space="0" w:color="auto"/>
                  </w:divBdr>
                  <w:divsChild>
                    <w:div w:id="237643248">
                      <w:marLeft w:val="0"/>
                      <w:marRight w:val="0"/>
                      <w:marTop w:val="0"/>
                      <w:marBottom w:val="0"/>
                      <w:divBdr>
                        <w:top w:val="none" w:sz="0" w:space="0" w:color="auto"/>
                        <w:left w:val="none" w:sz="0" w:space="0" w:color="auto"/>
                        <w:bottom w:val="none" w:sz="0" w:space="0" w:color="auto"/>
                        <w:right w:val="none" w:sz="0" w:space="0" w:color="auto"/>
                      </w:divBdr>
                    </w:div>
                  </w:divsChild>
                </w:div>
                <w:div w:id="1853104082">
                  <w:marLeft w:val="0"/>
                  <w:marRight w:val="0"/>
                  <w:marTop w:val="0"/>
                  <w:marBottom w:val="0"/>
                  <w:divBdr>
                    <w:top w:val="none" w:sz="0" w:space="0" w:color="auto"/>
                    <w:left w:val="none" w:sz="0" w:space="0" w:color="auto"/>
                    <w:bottom w:val="none" w:sz="0" w:space="0" w:color="auto"/>
                    <w:right w:val="none" w:sz="0" w:space="0" w:color="auto"/>
                  </w:divBdr>
                  <w:divsChild>
                    <w:div w:id="876351769">
                      <w:marLeft w:val="0"/>
                      <w:marRight w:val="0"/>
                      <w:marTop w:val="0"/>
                      <w:marBottom w:val="0"/>
                      <w:divBdr>
                        <w:top w:val="none" w:sz="0" w:space="0" w:color="auto"/>
                        <w:left w:val="none" w:sz="0" w:space="0" w:color="auto"/>
                        <w:bottom w:val="none" w:sz="0" w:space="0" w:color="auto"/>
                        <w:right w:val="none" w:sz="0" w:space="0" w:color="auto"/>
                      </w:divBdr>
                    </w:div>
                  </w:divsChild>
                </w:div>
                <w:div w:id="1874925966">
                  <w:marLeft w:val="0"/>
                  <w:marRight w:val="0"/>
                  <w:marTop w:val="0"/>
                  <w:marBottom w:val="0"/>
                  <w:divBdr>
                    <w:top w:val="none" w:sz="0" w:space="0" w:color="auto"/>
                    <w:left w:val="none" w:sz="0" w:space="0" w:color="auto"/>
                    <w:bottom w:val="none" w:sz="0" w:space="0" w:color="auto"/>
                    <w:right w:val="none" w:sz="0" w:space="0" w:color="auto"/>
                  </w:divBdr>
                  <w:divsChild>
                    <w:div w:id="1869490108">
                      <w:marLeft w:val="0"/>
                      <w:marRight w:val="0"/>
                      <w:marTop w:val="0"/>
                      <w:marBottom w:val="0"/>
                      <w:divBdr>
                        <w:top w:val="none" w:sz="0" w:space="0" w:color="auto"/>
                        <w:left w:val="none" w:sz="0" w:space="0" w:color="auto"/>
                        <w:bottom w:val="none" w:sz="0" w:space="0" w:color="auto"/>
                        <w:right w:val="none" w:sz="0" w:space="0" w:color="auto"/>
                      </w:divBdr>
                    </w:div>
                  </w:divsChild>
                </w:div>
                <w:div w:id="1905800861">
                  <w:marLeft w:val="0"/>
                  <w:marRight w:val="0"/>
                  <w:marTop w:val="0"/>
                  <w:marBottom w:val="0"/>
                  <w:divBdr>
                    <w:top w:val="none" w:sz="0" w:space="0" w:color="auto"/>
                    <w:left w:val="none" w:sz="0" w:space="0" w:color="auto"/>
                    <w:bottom w:val="none" w:sz="0" w:space="0" w:color="auto"/>
                    <w:right w:val="none" w:sz="0" w:space="0" w:color="auto"/>
                  </w:divBdr>
                  <w:divsChild>
                    <w:div w:id="1906064815">
                      <w:marLeft w:val="0"/>
                      <w:marRight w:val="0"/>
                      <w:marTop w:val="0"/>
                      <w:marBottom w:val="0"/>
                      <w:divBdr>
                        <w:top w:val="none" w:sz="0" w:space="0" w:color="auto"/>
                        <w:left w:val="none" w:sz="0" w:space="0" w:color="auto"/>
                        <w:bottom w:val="none" w:sz="0" w:space="0" w:color="auto"/>
                        <w:right w:val="none" w:sz="0" w:space="0" w:color="auto"/>
                      </w:divBdr>
                    </w:div>
                  </w:divsChild>
                </w:div>
                <w:div w:id="1926109015">
                  <w:marLeft w:val="0"/>
                  <w:marRight w:val="0"/>
                  <w:marTop w:val="0"/>
                  <w:marBottom w:val="0"/>
                  <w:divBdr>
                    <w:top w:val="none" w:sz="0" w:space="0" w:color="auto"/>
                    <w:left w:val="none" w:sz="0" w:space="0" w:color="auto"/>
                    <w:bottom w:val="none" w:sz="0" w:space="0" w:color="auto"/>
                    <w:right w:val="none" w:sz="0" w:space="0" w:color="auto"/>
                  </w:divBdr>
                  <w:divsChild>
                    <w:div w:id="612133078">
                      <w:marLeft w:val="0"/>
                      <w:marRight w:val="0"/>
                      <w:marTop w:val="0"/>
                      <w:marBottom w:val="0"/>
                      <w:divBdr>
                        <w:top w:val="none" w:sz="0" w:space="0" w:color="auto"/>
                        <w:left w:val="none" w:sz="0" w:space="0" w:color="auto"/>
                        <w:bottom w:val="none" w:sz="0" w:space="0" w:color="auto"/>
                        <w:right w:val="none" w:sz="0" w:space="0" w:color="auto"/>
                      </w:divBdr>
                    </w:div>
                  </w:divsChild>
                </w:div>
                <w:div w:id="1960145289">
                  <w:marLeft w:val="0"/>
                  <w:marRight w:val="0"/>
                  <w:marTop w:val="0"/>
                  <w:marBottom w:val="0"/>
                  <w:divBdr>
                    <w:top w:val="none" w:sz="0" w:space="0" w:color="auto"/>
                    <w:left w:val="none" w:sz="0" w:space="0" w:color="auto"/>
                    <w:bottom w:val="none" w:sz="0" w:space="0" w:color="auto"/>
                    <w:right w:val="none" w:sz="0" w:space="0" w:color="auto"/>
                  </w:divBdr>
                  <w:divsChild>
                    <w:div w:id="681971863">
                      <w:marLeft w:val="0"/>
                      <w:marRight w:val="0"/>
                      <w:marTop w:val="0"/>
                      <w:marBottom w:val="0"/>
                      <w:divBdr>
                        <w:top w:val="none" w:sz="0" w:space="0" w:color="auto"/>
                        <w:left w:val="none" w:sz="0" w:space="0" w:color="auto"/>
                        <w:bottom w:val="none" w:sz="0" w:space="0" w:color="auto"/>
                        <w:right w:val="none" w:sz="0" w:space="0" w:color="auto"/>
                      </w:divBdr>
                    </w:div>
                  </w:divsChild>
                </w:div>
                <w:div w:id="1986857864">
                  <w:marLeft w:val="0"/>
                  <w:marRight w:val="0"/>
                  <w:marTop w:val="0"/>
                  <w:marBottom w:val="0"/>
                  <w:divBdr>
                    <w:top w:val="none" w:sz="0" w:space="0" w:color="auto"/>
                    <w:left w:val="none" w:sz="0" w:space="0" w:color="auto"/>
                    <w:bottom w:val="none" w:sz="0" w:space="0" w:color="auto"/>
                    <w:right w:val="none" w:sz="0" w:space="0" w:color="auto"/>
                  </w:divBdr>
                  <w:divsChild>
                    <w:div w:id="1483497528">
                      <w:marLeft w:val="0"/>
                      <w:marRight w:val="0"/>
                      <w:marTop w:val="0"/>
                      <w:marBottom w:val="0"/>
                      <w:divBdr>
                        <w:top w:val="none" w:sz="0" w:space="0" w:color="auto"/>
                        <w:left w:val="none" w:sz="0" w:space="0" w:color="auto"/>
                        <w:bottom w:val="none" w:sz="0" w:space="0" w:color="auto"/>
                        <w:right w:val="none" w:sz="0" w:space="0" w:color="auto"/>
                      </w:divBdr>
                    </w:div>
                  </w:divsChild>
                </w:div>
                <w:div w:id="1990474533">
                  <w:marLeft w:val="0"/>
                  <w:marRight w:val="0"/>
                  <w:marTop w:val="0"/>
                  <w:marBottom w:val="0"/>
                  <w:divBdr>
                    <w:top w:val="none" w:sz="0" w:space="0" w:color="auto"/>
                    <w:left w:val="none" w:sz="0" w:space="0" w:color="auto"/>
                    <w:bottom w:val="none" w:sz="0" w:space="0" w:color="auto"/>
                    <w:right w:val="none" w:sz="0" w:space="0" w:color="auto"/>
                  </w:divBdr>
                  <w:divsChild>
                    <w:div w:id="1360861215">
                      <w:marLeft w:val="0"/>
                      <w:marRight w:val="0"/>
                      <w:marTop w:val="0"/>
                      <w:marBottom w:val="0"/>
                      <w:divBdr>
                        <w:top w:val="none" w:sz="0" w:space="0" w:color="auto"/>
                        <w:left w:val="none" w:sz="0" w:space="0" w:color="auto"/>
                        <w:bottom w:val="none" w:sz="0" w:space="0" w:color="auto"/>
                        <w:right w:val="none" w:sz="0" w:space="0" w:color="auto"/>
                      </w:divBdr>
                    </w:div>
                  </w:divsChild>
                </w:div>
                <w:div w:id="2030599713">
                  <w:marLeft w:val="0"/>
                  <w:marRight w:val="0"/>
                  <w:marTop w:val="0"/>
                  <w:marBottom w:val="0"/>
                  <w:divBdr>
                    <w:top w:val="none" w:sz="0" w:space="0" w:color="auto"/>
                    <w:left w:val="none" w:sz="0" w:space="0" w:color="auto"/>
                    <w:bottom w:val="none" w:sz="0" w:space="0" w:color="auto"/>
                    <w:right w:val="none" w:sz="0" w:space="0" w:color="auto"/>
                  </w:divBdr>
                  <w:divsChild>
                    <w:div w:id="452751871">
                      <w:marLeft w:val="0"/>
                      <w:marRight w:val="0"/>
                      <w:marTop w:val="0"/>
                      <w:marBottom w:val="0"/>
                      <w:divBdr>
                        <w:top w:val="none" w:sz="0" w:space="0" w:color="auto"/>
                        <w:left w:val="none" w:sz="0" w:space="0" w:color="auto"/>
                        <w:bottom w:val="none" w:sz="0" w:space="0" w:color="auto"/>
                        <w:right w:val="none" w:sz="0" w:space="0" w:color="auto"/>
                      </w:divBdr>
                    </w:div>
                  </w:divsChild>
                </w:div>
                <w:div w:id="2039502164">
                  <w:marLeft w:val="0"/>
                  <w:marRight w:val="0"/>
                  <w:marTop w:val="0"/>
                  <w:marBottom w:val="0"/>
                  <w:divBdr>
                    <w:top w:val="none" w:sz="0" w:space="0" w:color="auto"/>
                    <w:left w:val="none" w:sz="0" w:space="0" w:color="auto"/>
                    <w:bottom w:val="none" w:sz="0" w:space="0" w:color="auto"/>
                    <w:right w:val="none" w:sz="0" w:space="0" w:color="auto"/>
                  </w:divBdr>
                  <w:divsChild>
                    <w:div w:id="230772358">
                      <w:marLeft w:val="0"/>
                      <w:marRight w:val="0"/>
                      <w:marTop w:val="0"/>
                      <w:marBottom w:val="0"/>
                      <w:divBdr>
                        <w:top w:val="none" w:sz="0" w:space="0" w:color="auto"/>
                        <w:left w:val="none" w:sz="0" w:space="0" w:color="auto"/>
                        <w:bottom w:val="none" w:sz="0" w:space="0" w:color="auto"/>
                        <w:right w:val="none" w:sz="0" w:space="0" w:color="auto"/>
                      </w:divBdr>
                    </w:div>
                  </w:divsChild>
                </w:div>
                <w:div w:id="2053529584">
                  <w:marLeft w:val="0"/>
                  <w:marRight w:val="0"/>
                  <w:marTop w:val="0"/>
                  <w:marBottom w:val="0"/>
                  <w:divBdr>
                    <w:top w:val="none" w:sz="0" w:space="0" w:color="auto"/>
                    <w:left w:val="none" w:sz="0" w:space="0" w:color="auto"/>
                    <w:bottom w:val="none" w:sz="0" w:space="0" w:color="auto"/>
                    <w:right w:val="none" w:sz="0" w:space="0" w:color="auto"/>
                  </w:divBdr>
                  <w:divsChild>
                    <w:div w:id="783768936">
                      <w:marLeft w:val="0"/>
                      <w:marRight w:val="0"/>
                      <w:marTop w:val="0"/>
                      <w:marBottom w:val="0"/>
                      <w:divBdr>
                        <w:top w:val="none" w:sz="0" w:space="0" w:color="auto"/>
                        <w:left w:val="none" w:sz="0" w:space="0" w:color="auto"/>
                        <w:bottom w:val="none" w:sz="0" w:space="0" w:color="auto"/>
                        <w:right w:val="none" w:sz="0" w:space="0" w:color="auto"/>
                      </w:divBdr>
                    </w:div>
                  </w:divsChild>
                </w:div>
                <w:div w:id="2091660723">
                  <w:marLeft w:val="0"/>
                  <w:marRight w:val="0"/>
                  <w:marTop w:val="0"/>
                  <w:marBottom w:val="0"/>
                  <w:divBdr>
                    <w:top w:val="none" w:sz="0" w:space="0" w:color="auto"/>
                    <w:left w:val="none" w:sz="0" w:space="0" w:color="auto"/>
                    <w:bottom w:val="none" w:sz="0" w:space="0" w:color="auto"/>
                    <w:right w:val="none" w:sz="0" w:space="0" w:color="auto"/>
                  </w:divBdr>
                  <w:divsChild>
                    <w:div w:id="1122385797">
                      <w:marLeft w:val="0"/>
                      <w:marRight w:val="0"/>
                      <w:marTop w:val="0"/>
                      <w:marBottom w:val="0"/>
                      <w:divBdr>
                        <w:top w:val="none" w:sz="0" w:space="0" w:color="auto"/>
                        <w:left w:val="none" w:sz="0" w:space="0" w:color="auto"/>
                        <w:bottom w:val="none" w:sz="0" w:space="0" w:color="auto"/>
                        <w:right w:val="none" w:sz="0" w:space="0" w:color="auto"/>
                      </w:divBdr>
                    </w:div>
                  </w:divsChild>
                </w:div>
                <w:div w:id="2100178654">
                  <w:marLeft w:val="0"/>
                  <w:marRight w:val="0"/>
                  <w:marTop w:val="0"/>
                  <w:marBottom w:val="0"/>
                  <w:divBdr>
                    <w:top w:val="none" w:sz="0" w:space="0" w:color="auto"/>
                    <w:left w:val="none" w:sz="0" w:space="0" w:color="auto"/>
                    <w:bottom w:val="none" w:sz="0" w:space="0" w:color="auto"/>
                    <w:right w:val="none" w:sz="0" w:space="0" w:color="auto"/>
                  </w:divBdr>
                  <w:divsChild>
                    <w:div w:id="7087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50802">
          <w:marLeft w:val="0"/>
          <w:marRight w:val="0"/>
          <w:marTop w:val="0"/>
          <w:marBottom w:val="0"/>
          <w:divBdr>
            <w:top w:val="none" w:sz="0" w:space="0" w:color="auto"/>
            <w:left w:val="none" w:sz="0" w:space="0" w:color="auto"/>
            <w:bottom w:val="none" w:sz="0" w:space="0" w:color="auto"/>
            <w:right w:val="none" w:sz="0" w:space="0" w:color="auto"/>
          </w:divBdr>
        </w:div>
        <w:div w:id="2044210833">
          <w:marLeft w:val="0"/>
          <w:marRight w:val="0"/>
          <w:marTop w:val="0"/>
          <w:marBottom w:val="0"/>
          <w:divBdr>
            <w:top w:val="none" w:sz="0" w:space="0" w:color="auto"/>
            <w:left w:val="none" w:sz="0" w:space="0" w:color="auto"/>
            <w:bottom w:val="none" w:sz="0" w:space="0" w:color="auto"/>
            <w:right w:val="none" w:sz="0" w:space="0" w:color="auto"/>
          </w:divBdr>
        </w:div>
      </w:divsChild>
    </w:div>
    <w:div w:id="37626302">
      <w:bodyDiv w:val="1"/>
      <w:marLeft w:val="0"/>
      <w:marRight w:val="0"/>
      <w:marTop w:val="0"/>
      <w:marBottom w:val="0"/>
      <w:divBdr>
        <w:top w:val="none" w:sz="0" w:space="0" w:color="auto"/>
        <w:left w:val="none" w:sz="0" w:space="0" w:color="auto"/>
        <w:bottom w:val="none" w:sz="0" w:space="0" w:color="auto"/>
        <w:right w:val="none" w:sz="0" w:space="0" w:color="auto"/>
      </w:divBdr>
    </w:div>
    <w:div w:id="69891080">
      <w:bodyDiv w:val="1"/>
      <w:marLeft w:val="0"/>
      <w:marRight w:val="0"/>
      <w:marTop w:val="0"/>
      <w:marBottom w:val="0"/>
      <w:divBdr>
        <w:top w:val="none" w:sz="0" w:space="0" w:color="auto"/>
        <w:left w:val="none" w:sz="0" w:space="0" w:color="auto"/>
        <w:bottom w:val="none" w:sz="0" w:space="0" w:color="auto"/>
        <w:right w:val="none" w:sz="0" w:space="0" w:color="auto"/>
      </w:divBdr>
      <w:divsChild>
        <w:div w:id="579600988">
          <w:marLeft w:val="0"/>
          <w:marRight w:val="0"/>
          <w:marTop w:val="0"/>
          <w:marBottom w:val="0"/>
          <w:divBdr>
            <w:top w:val="none" w:sz="0" w:space="0" w:color="auto"/>
            <w:left w:val="none" w:sz="0" w:space="0" w:color="auto"/>
            <w:bottom w:val="none" w:sz="0" w:space="0" w:color="auto"/>
            <w:right w:val="none" w:sz="0" w:space="0" w:color="auto"/>
          </w:divBdr>
        </w:div>
        <w:div w:id="1535998652">
          <w:marLeft w:val="0"/>
          <w:marRight w:val="0"/>
          <w:marTop w:val="0"/>
          <w:marBottom w:val="0"/>
          <w:divBdr>
            <w:top w:val="none" w:sz="0" w:space="0" w:color="auto"/>
            <w:left w:val="none" w:sz="0" w:space="0" w:color="auto"/>
            <w:bottom w:val="none" w:sz="0" w:space="0" w:color="auto"/>
            <w:right w:val="none" w:sz="0" w:space="0" w:color="auto"/>
          </w:divBdr>
          <w:divsChild>
            <w:div w:id="1804888350">
              <w:marLeft w:val="-75"/>
              <w:marRight w:val="0"/>
              <w:marTop w:val="30"/>
              <w:marBottom w:val="30"/>
              <w:divBdr>
                <w:top w:val="none" w:sz="0" w:space="0" w:color="auto"/>
                <w:left w:val="none" w:sz="0" w:space="0" w:color="auto"/>
                <w:bottom w:val="none" w:sz="0" w:space="0" w:color="auto"/>
                <w:right w:val="none" w:sz="0" w:space="0" w:color="auto"/>
              </w:divBdr>
              <w:divsChild>
                <w:div w:id="41950373">
                  <w:marLeft w:val="0"/>
                  <w:marRight w:val="0"/>
                  <w:marTop w:val="0"/>
                  <w:marBottom w:val="0"/>
                  <w:divBdr>
                    <w:top w:val="none" w:sz="0" w:space="0" w:color="auto"/>
                    <w:left w:val="none" w:sz="0" w:space="0" w:color="auto"/>
                    <w:bottom w:val="none" w:sz="0" w:space="0" w:color="auto"/>
                    <w:right w:val="none" w:sz="0" w:space="0" w:color="auto"/>
                  </w:divBdr>
                  <w:divsChild>
                    <w:div w:id="551775703">
                      <w:marLeft w:val="0"/>
                      <w:marRight w:val="0"/>
                      <w:marTop w:val="0"/>
                      <w:marBottom w:val="0"/>
                      <w:divBdr>
                        <w:top w:val="none" w:sz="0" w:space="0" w:color="auto"/>
                        <w:left w:val="none" w:sz="0" w:space="0" w:color="auto"/>
                        <w:bottom w:val="none" w:sz="0" w:space="0" w:color="auto"/>
                        <w:right w:val="none" w:sz="0" w:space="0" w:color="auto"/>
                      </w:divBdr>
                    </w:div>
                  </w:divsChild>
                </w:div>
                <w:div w:id="109512915">
                  <w:marLeft w:val="0"/>
                  <w:marRight w:val="0"/>
                  <w:marTop w:val="0"/>
                  <w:marBottom w:val="0"/>
                  <w:divBdr>
                    <w:top w:val="none" w:sz="0" w:space="0" w:color="auto"/>
                    <w:left w:val="none" w:sz="0" w:space="0" w:color="auto"/>
                    <w:bottom w:val="none" w:sz="0" w:space="0" w:color="auto"/>
                    <w:right w:val="none" w:sz="0" w:space="0" w:color="auto"/>
                  </w:divBdr>
                  <w:divsChild>
                    <w:div w:id="1597011142">
                      <w:marLeft w:val="0"/>
                      <w:marRight w:val="0"/>
                      <w:marTop w:val="0"/>
                      <w:marBottom w:val="0"/>
                      <w:divBdr>
                        <w:top w:val="none" w:sz="0" w:space="0" w:color="auto"/>
                        <w:left w:val="none" w:sz="0" w:space="0" w:color="auto"/>
                        <w:bottom w:val="none" w:sz="0" w:space="0" w:color="auto"/>
                        <w:right w:val="none" w:sz="0" w:space="0" w:color="auto"/>
                      </w:divBdr>
                    </w:div>
                  </w:divsChild>
                </w:div>
                <w:div w:id="130221218">
                  <w:marLeft w:val="0"/>
                  <w:marRight w:val="0"/>
                  <w:marTop w:val="0"/>
                  <w:marBottom w:val="0"/>
                  <w:divBdr>
                    <w:top w:val="none" w:sz="0" w:space="0" w:color="auto"/>
                    <w:left w:val="none" w:sz="0" w:space="0" w:color="auto"/>
                    <w:bottom w:val="none" w:sz="0" w:space="0" w:color="auto"/>
                    <w:right w:val="none" w:sz="0" w:space="0" w:color="auto"/>
                  </w:divBdr>
                  <w:divsChild>
                    <w:div w:id="315886463">
                      <w:marLeft w:val="0"/>
                      <w:marRight w:val="0"/>
                      <w:marTop w:val="0"/>
                      <w:marBottom w:val="0"/>
                      <w:divBdr>
                        <w:top w:val="none" w:sz="0" w:space="0" w:color="auto"/>
                        <w:left w:val="none" w:sz="0" w:space="0" w:color="auto"/>
                        <w:bottom w:val="none" w:sz="0" w:space="0" w:color="auto"/>
                        <w:right w:val="none" w:sz="0" w:space="0" w:color="auto"/>
                      </w:divBdr>
                    </w:div>
                  </w:divsChild>
                </w:div>
                <w:div w:id="188419117">
                  <w:marLeft w:val="0"/>
                  <w:marRight w:val="0"/>
                  <w:marTop w:val="0"/>
                  <w:marBottom w:val="0"/>
                  <w:divBdr>
                    <w:top w:val="none" w:sz="0" w:space="0" w:color="auto"/>
                    <w:left w:val="none" w:sz="0" w:space="0" w:color="auto"/>
                    <w:bottom w:val="none" w:sz="0" w:space="0" w:color="auto"/>
                    <w:right w:val="none" w:sz="0" w:space="0" w:color="auto"/>
                  </w:divBdr>
                  <w:divsChild>
                    <w:div w:id="607666407">
                      <w:marLeft w:val="0"/>
                      <w:marRight w:val="0"/>
                      <w:marTop w:val="0"/>
                      <w:marBottom w:val="0"/>
                      <w:divBdr>
                        <w:top w:val="none" w:sz="0" w:space="0" w:color="auto"/>
                        <w:left w:val="none" w:sz="0" w:space="0" w:color="auto"/>
                        <w:bottom w:val="none" w:sz="0" w:space="0" w:color="auto"/>
                        <w:right w:val="none" w:sz="0" w:space="0" w:color="auto"/>
                      </w:divBdr>
                    </w:div>
                  </w:divsChild>
                </w:div>
                <w:div w:id="189876759">
                  <w:marLeft w:val="0"/>
                  <w:marRight w:val="0"/>
                  <w:marTop w:val="0"/>
                  <w:marBottom w:val="0"/>
                  <w:divBdr>
                    <w:top w:val="none" w:sz="0" w:space="0" w:color="auto"/>
                    <w:left w:val="none" w:sz="0" w:space="0" w:color="auto"/>
                    <w:bottom w:val="none" w:sz="0" w:space="0" w:color="auto"/>
                    <w:right w:val="none" w:sz="0" w:space="0" w:color="auto"/>
                  </w:divBdr>
                  <w:divsChild>
                    <w:div w:id="1323849888">
                      <w:marLeft w:val="0"/>
                      <w:marRight w:val="0"/>
                      <w:marTop w:val="0"/>
                      <w:marBottom w:val="0"/>
                      <w:divBdr>
                        <w:top w:val="none" w:sz="0" w:space="0" w:color="auto"/>
                        <w:left w:val="none" w:sz="0" w:space="0" w:color="auto"/>
                        <w:bottom w:val="none" w:sz="0" w:space="0" w:color="auto"/>
                        <w:right w:val="none" w:sz="0" w:space="0" w:color="auto"/>
                      </w:divBdr>
                    </w:div>
                  </w:divsChild>
                </w:div>
                <w:div w:id="191698353">
                  <w:marLeft w:val="0"/>
                  <w:marRight w:val="0"/>
                  <w:marTop w:val="0"/>
                  <w:marBottom w:val="0"/>
                  <w:divBdr>
                    <w:top w:val="none" w:sz="0" w:space="0" w:color="auto"/>
                    <w:left w:val="none" w:sz="0" w:space="0" w:color="auto"/>
                    <w:bottom w:val="none" w:sz="0" w:space="0" w:color="auto"/>
                    <w:right w:val="none" w:sz="0" w:space="0" w:color="auto"/>
                  </w:divBdr>
                  <w:divsChild>
                    <w:div w:id="1692682162">
                      <w:marLeft w:val="0"/>
                      <w:marRight w:val="0"/>
                      <w:marTop w:val="0"/>
                      <w:marBottom w:val="0"/>
                      <w:divBdr>
                        <w:top w:val="none" w:sz="0" w:space="0" w:color="auto"/>
                        <w:left w:val="none" w:sz="0" w:space="0" w:color="auto"/>
                        <w:bottom w:val="none" w:sz="0" w:space="0" w:color="auto"/>
                        <w:right w:val="none" w:sz="0" w:space="0" w:color="auto"/>
                      </w:divBdr>
                    </w:div>
                  </w:divsChild>
                </w:div>
                <w:div w:id="199170061">
                  <w:marLeft w:val="0"/>
                  <w:marRight w:val="0"/>
                  <w:marTop w:val="0"/>
                  <w:marBottom w:val="0"/>
                  <w:divBdr>
                    <w:top w:val="none" w:sz="0" w:space="0" w:color="auto"/>
                    <w:left w:val="none" w:sz="0" w:space="0" w:color="auto"/>
                    <w:bottom w:val="none" w:sz="0" w:space="0" w:color="auto"/>
                    <w:right w:val="none" w:sz="0" w:space="0" w:color="auto"/>
                  </w:divBdr>
                  <w:divsChild>
                    <w:div w:id="1480418705">
                      <w:marLeft w:val="0"/>
                      <w:marRight w:val="0"/>
                      <w:marTop w:val="0"/>
                      <w:marBottom w:val="0"/>
                      <w:divBdr>
                        <w:top w:val="none" w:sz="0" w:space="0" w:color="auto"/>
                        <w:left w:val="none" w:sz="0" w:space="0" w:color="auto"/>
                        <w:bottom w:val="none" w:sz="0" w:space="0" w:color="auto"/>
                        <w:right w:val="none" w:sz="0" w:space="0" w:color="auto"/>
                      </w:divBdr>
                    </w:div>
                  </w:divsChild>
                </w:div>
                <w:div w:id="240719173">
                  <w:marLeft w:val="0"/>
                  <w:marRight w:val="0"/>
                  <w:marTop w:val="0"/>
                  <w:marBottom w:val="0"/>
                  <w:divBdr>
                    <w:top w:val="none" w:sz="0" w:space="0" w:color="auto"/>
                    <w:left w:val="none" w:sz="0" w:space="0" w:color="auto"/>
                    <w:bottom w:val="none" w:sz="0" w:space="0" w:color="auto"/>
                    <w:right w:val="none" w:sz="0" w:space="0" w:color="auto"/>
                  </w:divBdr>
                  <w:divsChild>
                    <w:div w:id="442187624">
                      <w:marLeft w:val="0"/>
                      <w:marRight w:val="0"/>
                      <w:marTop w:val="0"/>
                      <w:marBottom w:val="0"/>
                      <w:divBdr>
                        <w:top w:val="none" w:sz="0" w:space="0" w:color="auto"/>
                        <w:left w:val="none" w:sz="0" w:space="0" w:color="auto"/>
                        <w:bottom w:val="none" w:sz="0" w:space="0" w:color="auto"/>
                        <w:right w:val="none" w:sz="0" w:space="0" w:color="auto"/>
                      </w:divBdr>
                    </w:div>
                  </w:divsChild>
                </w:div>
                <w:div w:id="266086920">
                  <w:marLeft w:val="0"/>
                  <w:marRight w:val="0"/>
                  <w:marTop w:val="0"/>
                  <w:marBottom w:val="0"/>
                  <w:divBdr>
                    <w:top w:val="none" w:sz="0" w:space="0" w:color="auto"/>
                    <w:left w:val="none" w:sz="0" w:space="0" w:color="auto"/>
                    <w:bottom w:val="none" w:sz="0" w:space="0" w:color="auto"/>
                    <w:right w:val="none" w:sz="0" w:space="0" w:color="auto"/>
                  </w:divBdr>
                  <w:divsChild>
                    <w:div w:id="1673608460">
                      <w:marLeft w:val="0"/>
                      <w:marRight w:val="0"/>
                      <w:marTop w:val="0"/>
                      <w:marBottom w:val="0"/>
                      <w:divBdr>
                        <w:top w:val="none" w:sz="0" w:space="0" w:color="auto"/>
                        <w:left w:val="none" w:sz="0" w:space="0" w:color="auto"/>
                        <w:bottom w:val="none" w:sz="0" w:space="0" w:color="auto"/>
                        <w:right w:val="none" w:sz="0" w:space="0" w:color="auto"/>
                      </w:divBdr>
                    </w:div>
                  </w:divsChild>
                </w:div>
                <w:div w:id="341131823">
                  <w:marLeft w:val="0"/>
                  <w:marRight w:val="0"/>
                  <w:marTop w:val="0"/>
                  <w:marBottom w:val="0"/>
                  <w:divBdr>
                    <w:top w:val="none" w:sz="0" w:space="0" w:color="auto"/>
                    <w:left w:val="none" w:sz="0" w:space="0" w:color="auto"/>
                    <w:bottom w:val="none" w:sz="0" w:space="0" w:color="auto"/>
                    <w:right w:val="none" w:sz="0" w:space="0" w:color="auto"/>
                  </w:divBdr>
                  <w:divsChild>
                    <w:div w:id="38482858">
                      <w:marLeft w:val="0"/>
                      <w:marRight w:val="0"/>
                      <w:marTop w:val="0"/>
                      <w:marBottom w:val="0"/>
                      <w:divBdr>
                        <w:top w:val="none" w:sz="0" w:space="0" w:color="auto"/>
                        <w:left w:val="none" w:sz="0" w:space="0" w:color="auto"/>
                        <w:bottom w:val="none" w:sz="0" w:space="0" w:color="auto"/>
                        <w:right w:val="none" w:sz="0" w:space="0" w:color="auto"/>
                      </w:divBdr>
                    </w:div>
                  </w:divsChild>
                </w:div>
                <w:div w:id="349844191">
                  <w:marLeft w:val="0"/>
                  <w:marRight w:val="0"/>
                  <w:marTop w:val="0"/>
                  <w:marBottom w:val="0"/>
                  <w:divBdr>
                    <w:top w:val="none" w:sz="0" w:space="0" w:color="auto"/>
                    <w:left w:val="none" w:sz="0" w:space="0" w:color="auto"/>
                    <w:bottom w:val="none" w:sz="0" w:space="0" w:color="auto"/>
                    <w:right w:val="none" w:sz="0" w:space="0" w:color="auto"/>
                  </w:divBdr>
                  <w:divsChild>
                    <w:div w:id="780805867">
                      <w:marLeft w:val="0"/>
                      <w:marRight w:val="0"/>
                      <w:marTop w:val="0"/>
                      <w:marBottom w:val="0"/>
                      <w:divBdr>
                        <w:top w:val="none" w:sz="0" w:space="0" w:color="auto"/>
                        <w:left w:val="none" w:sz="0" w:space="0" w:color="auto"/>
                        <w:bottom w:val="none" w:sz="0" w:space="0" w:color="auto"/>
                        <w:right w:val="none" w:sz="0" w:space="0" w:color="auto"/>
                      </w:divBdr>
                    </w:div>
                  </w:divsChild>
                </w:div>
                <w:div w:id="363333757">
                  <w:marLeft w:val="0"/>
                  <w:marRight w:val="0"/>
                  <w:marTop w:val="0"/>
                  <w:marBottom w:val="0"/>
                  <w:divBdr>
                    <w:top w:val="none" w:sz="0" w:space="0" w:color="auto"/>
                    <w:left w:val="none" w:sz="0" w:space="0" w:color="auto"/>
                    <w:bottom w:val="none" w:sz="0" w:space="0" w:color="auto"/>
                    <w:right w:val="none" w:sz="0" w:space="0" w:color="auto"/>
                  </w:divBdr>
                  <w:divsChild>
                    <w:div w:id="417554332">
                      <w:marLeft w:val="0"/>
                      <w:marRight w:val="0"/>
                      <w:marTop w:val="0"/>
                      <w:marBottom w:val="0"/>
                      <w:divBdr>
                        <w:top w:val="none" w:sz="0" w:space="0" w:color="auto"/>
                        <w:left w:val="none" w:sz="0" w:space="0" w:color="auto"/>
                        <w:bottom w:val="none" w:sz="0" w:space="0" w:color="auto"/>
                        <w:right w:val="none" w:sz="0" w:space="0" w:color="auto"/>
                      </w:divBdr>
                    </w:div>
                  </w:divsChild>
                </w:div>
                <w:div w:id="383531303">
                  <w:marLeft w:val="0"/>
                  <w:marRight w:val="0"/>
                  <w:marTop w:val="0"/>
                  <w:marBottom w:val="0"/>
                  <w:divBdr>
                    <w:top w:val="none" w:sz="0" w:space="0" w:color="auto"/>
                    <w:left w:val="none" w:sz="0" w:space="0" w:color="auto"/>
                    <w:bottom w:val="none" w:sz="0" w:space="0" w:color="auto"/>
                    <w:right w:val="none" w:sz="0" w:space="0" w:color="auto"/>
                  </w:divBdr>
                  <w:divsChild>
                    <w:div w:id="192041019">
                      <w:marLeft w:val="0"/>
                      <w:marRight w:val="0"/>
                      <w:marTop w:val="0"/>
                      <w:marBottom w:val="0"/>
                      <w:divBdr>
                        <w:top w:val="none" w:sz="0" w:space="0" w:color="auto"/>
                        <w:left w:val="none" w:sz="0" w:space="0" w:color="auto"/>
                        <w:bottom w:val="none" w:sz="0" w:space="0" w:color="auto"/>
                        <w:right w:val="none" w:sz="0" w:space="0" w:color="auto"/>
                      </w:divBdr>
                    </w:div>
                  </w:divsChild>
                </w:div>
                <w:div w:id="384645610">
                  <w:marLeft w:val="0"/>
                  <w:marRight w:val="0"/>
                  <w:marTop w:val="0"/>
                  <w:marBottom w:val="0"/>
                  <w:divBdr>
                    <w:top w:val="none" w:sz="0" w:space="0" w:color="auto"/>
                    <w:left w:val="none" w:sz="0" w:space="0" w:color="auto"/>
                    <w:bottom w:val="none" w:sz="0" w:space="0" w:color="auto"/>
                    <w:right w:val="none" w:sz="0" w:space="0" w:color="auto"/>
                  </w:divBdr>
                  <w:divsChild>
                    <w:div w:id="763694845">
                      <w:marLeft w:val="0"/>
                      <w:marRight w:val="0"/>
                      <w:marTop w:val="0"/>
                      <w:marBottom w:val="0"/>
                      <w:divBdr>
                        <w:top w:val="none" w:sz="0" w:space="0" w:color="auto"/>
                        <w:left w:val="none" w:sz="0" w:space="0" w:color="auto"/>
                        <w:bottom w:val="none" w:sz="0" w:space="0" w:color="auto"/>
                        <w:right w:val="none" w:sz="0" w:space="0" w:color="auto"/>
                      </w:divBdr>
                    </w:div>
                  </w:divsChild>
                </w:div>
                <w:div w:id="392386797">
                  <w:marLeft w:val="0"/>
                  <w:marRight w:val="0"/>
                  <w:marTop w:val="0"/>
                  <w:marBottom w:val="0"/>
                  <w:divBdr>
                    <w:top w:val="none" w:sz="0" w:space="0" w:color="auto"/>
                    <w:left w:val="none" w:sz="0" w:space="0" w:color="auto"/>
                    <w:bottom w:val="none" w:sz="0" w:space="0" w:color="auto"/>
                    <w:right w:val="none" w:sz="0" w:space="0" w:color="auto"/>
                  </w:divBdr>
                  <w:divsChild>
                    <w:div w:id="1974408070">
                      <w:marLeft w:val="0"/>
                      <w:marRight w:val="0"/>
                      <w:marTop w:val="0"/>
                      <w:marBottom w:val="0"/>
                      <w:divBdr>
                        <w:top w:val="none" w:sz="0" w:space="0" w:color="auto"/>
                        <w:left w:val="none" w:sz="0" w:space="0" w:color="auto"/>
                        <w:bottom w:val="none" w:sz="0" w:space="0" w:color="auto"/>
                        <w:right w:val="none" w:sz="0" w:space="0" w:color="auto"/>
                      </w:divBdr>
                    </w:div>
                  </w:divsChild>
                </w:div>
                <w:div w:id="393503139">
                  <w:marLeft w:val="0"/>
                  <w:marRight w:val="0"/>
                  <w:marTop w:val="0"/>
                  <w:marBottom w:val="0"/>
                  <w:divBdr>
                    <w:top w:val="none" w:sz="0" w:space="0" w:color="auto"/>
                    <w:left w:val="none" w:sz="0" w:space="0" w:color="auto"/>
                    <w:bottom w:val="none" w:sz="0" w:space="0" w:color="auto"/>
                    <w:right w:val="none" w:sz="0" w:space="0" w:color="auto"/>
                  </w:divBdr>
                  <w:divsChild>
                    <w:div w:id="461769509">
                      <w:marLeft w:val="0"/>
                      <w:marRight w:val="0"/>
                      <w:marTop w:val="0"/>
                      <w:marBottom w:val="0"/>
                      <w:divBdr>
                        <w:top w:val="none" w:sz="0" w:space="0" w:color="auto"/>
                        <w:left w:val="none" w:sz="0" w:space="0" w:color="auto"/>
                        <w:bottom w:val="none" w:sz="0" w:space="0" w:color="auto"/>
                        <w:right w:val="none" w:sz="0" w:space="0" w:color="auto"/>
                      </w:divBdr>
                    </w:div>
                  </w:divsChild>
                </w:div>
                <w:div w:id="414060557">
                  <w:marLeft w:val="0"/>
                  <w:marRight w:val="0"/>
                  <w:marTop w:val="0"/>
                  <w:marBottom w:val="0"/>
                  <w:divBdr>
                    <w:top w:val="none" w:sz="0" w:space="0" w:color="auto"/>
                    <w:left w:val="none" w:sz="0" w:space="0" w:color="auto"/>
                    <w:bottom w:val="none" w:sz="0" w:space="0" w:color="auto"/>
                    <w:right w:val="none" w:sz="0" w:space="0" w:color="auto"/>
                  </w:divBdr>
                  <w:divsChild>
                    <w:div w:id="973025341">
                      <w:marLeft w:val="0"/>
                      <w:marRight w:val="0"/>
                      <w:marTop w:val="0"/>
                      <w:marBottom w:val="0"/>
                      <w:divBdr>
                        <w:top w:val="none" w:sz="0" w:space="0" w:color="auto"/>
                        <w:left w:val="none" w:sz="0" w:space="0" w:color="auto"/>
                        <w:bottom w:val="none" w:sz="0" w:space="0" w:color="auto"/>
                        <w:right w:val="none" w:sz="0" w:space="0" w:color="auto"/>
                      </w:divBdr>
                    </w:div>
                  </w:divsChild>
                </w:div>
                <w:div w:id="442304755">
                  <w:marLeft w:val="0"/>
                  <w:marRight w:val="0"/>
                  <w:marTop w:val="0"/>
                  <w:marBottom w:val="0"/>
                  <w:divBdr>
                    <w:top w:val="none" w:sz="0" w:space="0" w:color="auto"/>
                    <w:left w:val="none" w:sz="0" w:space="0" w:color="auto"/>
                    <w:bottom w:val="none" w:sz="0" w:space="0" w:color="auto"/>
                    <w:right w:val="none" w:sz="0" w:space="0" w:color="auto"/>
                  </w:divBdr>
                  <w:divsChild>
                    <w:div w:id="1745226383">
                      <w:marLeft w:val="0"/>
                      <w:marRight w:val="0"/>
                      <w:marTop w:val="0"/>
                      <w:marBottom w:val="0"/>
                      <w:divBdr>
                        <w:top w:val="none" w:sz="0" w:space="0" w:color="auto"/>
                        <w:left w:val="none" w:sz="0" w:space="0" w:color="auto"/>
                        <w:bottom w:val="none" w:sz="0" w:space="0" w:color="auto"/>
                        <w:right w:val="none" w:sz="0" w:space="0" w:color="auto"/>
                      </w:divBdr>
                    </w:div>
                  </w:divsChild>
                </w:div>
                <w:div w:id="444885534">
                  <w:marLeft w:val="0"/>
                  <w:marRight w:val="0"/>
                  <w:marTop w:val="0"/>
                  <w:marBottom w:val="0"/>
                  <w:divBdr>
                    <w:top w:val="none" w:sz="0" w:space="0" w:color="auto"/>
                    <w:left w:val="none" w:sz="0" w:space="0" w:color="auto"/>
                    <w:bottom w:val="none" w:sz="0" w:space="0" w:color="auto"/>
                    <w:right w:val="none" w:sz="0" w:space="0" w:color="auto"/>
                  </w:divBdr>
                  <w:divsChild>
                    <w:div w:id="1181626288">
                      <w:marLeft w:val="0"/>
                      <w:marRight w:val="0"/>
                      <w:marTop w:val="0"/>
                      <w:marBottom w:val="0"/>
                      <w:divBdr>
                        <w:top w:val="none" w:sz="0" w:space="0" w:color="auto"/>
                        <w:left w:val="none" w:sz="0" w:space="0" w:color="auto"/>
                        <w:bottom w:val="none" w:sz="0" w:space="0" w:color="auto"/>
                        <w:right w:val="none" w:sz="0" w:space="0" w:color="auto"/>
                      </w:divBdr>
                    </w:div>
                  </w:divsChild>
                </w:div>
                <w:div w:id="448665873">
                  <w:marLeft w:val="0"/>
                  <w:marRight w:val="0"/>
                  <w:marTop w:val="0"/>
                  <w:marBottom w:val="0"/>
                  <w:divBdr>
                    <w:top w:val="none" w:sz="0" w:space="0" w:color="auto"/>
                    <w:left w:val="none" w:sz="0" w:space="0" w:color="auto"/>
                    <w:bottom w:val="none" w:sz="0" w:space="0" w:color="auto"/>
                    <w:right w:val="none" w:sz="0" w:space="0" w:color="auto"/>
                  </w:divBdr>
                  <w:divsChild>
                    <w:div w:id="586112924">
                      <w:marLeft w:val="0"/>
                      <w:marRight w:val="0"/>
                      <w:marTop w:val="0"/>
                      <w:marBottom w:val="0"/>
                      <w:divBdr>
                        <w:top w:val="none" w:sz="0" w:space="0" w:color="auto"/>
                        <w:left w:val="none" w:sz="0" w:space="0" w:color="auto"/>
                        <w:bottom w:val="none" w:sz="0" w:space="0" w:color="auto"/>
                        <w:right w:val="none" w:sz="0" w:space="0" w:color="auto"/>
                      </w:divBdr>
                    </w:div>
                  </w:divsChild>
                </w:div>
                <w:div w:id="491412246">
                  <w:marLeft w:val="0"/>
                  <w:marRight w:val="0"/>
                  <w:marTop w:val="0"/>
                  <w:marBottom w:val="0"/>
                  <w:divBdr>
                    <w:top w:val="none" w:sz="0" w:space="0" w:color="auto"/>
                    <w:left w:val="none" w:sz="0" w:space="0" w:color="auto"/>
                    <w:bottom w:val="none" w:sz="0" w:space="0" w:color="auto"/>
                    <w:right w:val="none" w:sz="0" w:space="0" w:color="auto"/>
                  </w:divBdr>
                  <w:divsChild>
                    <w:div w:id="367919361">
                      <w:marLeft w:val="0"/>
                      <w:marRight w:val="0"/>
                      <w:marTop w:val="0"/>
                      <w:marBottom w:val="0"/>
                      <w:divBdr>
                        <w:top w:val="none" w:sz="0" w:space="0" w:color="auto"/>
                        <w:left w:val="none" w:sz="0" w:space="0" w:color="auto"/>
                        <w:bottom w:val="none" w:sz="0" w:space="0" w:color="auto"/>
                        <w:right w:val="none" w:sz="0" w:space="0" w:color="auto"/>
                      </w:divBdr>
                    </w:div>
                  </w:divsChild>
                </w:div>
                <w:div w:id="565919846">
                  <w:marLeft w:val="0"/>
                  <w:marRight w:val="0"/>
                  <w:marTop w:val="0"/>
                  <w:marBottom w:val="0"/>
                  <w:divBdr>
                    <w:top w:val="none" w:sz="0" w:space="0" w:color="auto"/>
                    <w:left w:val="none" w:sz="0" w:space="0" w:color="auto"/>
                    <w:bottom w:val="none" w:sz="0" w:space="0" w:color="auto"/>
                    <w:right w:val="none" w:sz="0" w:space="0" w:color="auto"/>
                  </w:divBdr>
                  <w:divsChild>
                    <w:div w:id="1318414100">
                      <w:marLeft w:val="0"/>
                      <w:marRight w:val="0"/>
                      <w:marTop w:val="0"/>
                      <w:marBottom w:val="0"/>
                      <w:divBdr>
                        <w:top w:val="none" w:sz="0" w:space="0" w:color="auto"/>
                        <w:left w:val="none" w:sz="0" w:space="0" w:color="auto"/>
                        <w:bottom w:val="none" w:sz="0" w:space="0" w:color="auto"/>
                        <w:right w:val="none" w:sz="0" w:space="0" w:color="auto"/>
                      </w:divBdr>
                    </w:div>
                  </w:divsChild>
                </w:div>
                <w:div w:id="567377626">
                  <w:marLeft w:val="0"/>
                  <w:marRight w:val="0"/>
                  <w:marTop w:val="0"/>
                  <w:marBottom w:val="0"/>
                  <w:divBdr>
                    <w:top w:val="none" w:sz="0" w:space="0" w:color="auto"/>
                    <w:left w:val="none" w:sz="0" w:space="0" w:color="auto"/>
                    <w:bottom w:val="none" w:sz="0" w:space="0" w:color="auto"/>
                    <w:right w:val="none" w:sz="0" w:space="0" w:color="auto"/>
                  </w:divBdr>
                  <w:divsChild>
                    <w:div w:id="627472063">
                      <w:marLeft w:val="0"/>
                      <w:marRight w:val="0"/>
                      <w:marTop w:val="0"/>
                      <w:marBottom w:val="0"/>
                      <w:divBdr>
                        <w:top w:val="none" w:sz="0" w:space="0" w:color="auto"/>
                        <w:left w:val="none" w:sz="0" w:space="0" w:color="auto"/>
                        <w:bottom w:val="none" w:sz="0" w:space="0" w:color="auto"/>
                        <w:right w:val="none" w:sz="0" w:space="0" w:color="auto"/>
                      </w:divBdr>
                    </w:div>
                  </w:divsChild>
                </w:div>
                <w:div w:id="571694478">
                  <w:marLeft w:val="0"/>
                  <w:marRight w:val="0"/>
                  <w:marTop w:val="0"/>
                  <w:marBottom w:val="0"/>
                  <w:divBdr>
                    <w:top w:val="none" w:sz="0" w:space="0" w:color="auto"/>
                    <w:left w:val="none" w:sz="0" w:space="0" w:color="auto"/>
                    <w:bottom w:val="none" w:sz="0" w:space="0" w:color="auto"/>
                    <w:right w:val="none" w:sz="0" w:space="0" w:color="auto"/>
                  </w:divBdr>
                  <w:divsChild>
                    <w:div w:id="1511410501">
                      <w:marLeft w:val="0"/>
                      <w:marRight w:val="0"/>
                      <w:marTop w:val="0"/>
                      <w:marBottom w:val="0"/>
                      <w:divBdr>
                        <w:top w:val="none" w:sz="0" w:space="0" w:color="auto"/>
                        <w:left w:val="none" w:sz="0" w:space="0" w:color="auto"/>
                        <w:bottom w:val="none" w:sz="0" w:space="0" w:color="auto"/>
                        <w:right w:val="none" w:sz="0" w:space="0" w:color="auto"/>
                      </w:divBdr>
                    </w:div>
                  </w:divsChild>
                </w:div>
                <w:div w:id="588658210">
                  <w:marLeft w:val="0"/>
                  <w:marRight w:val="0"/>
                  <w:marTop w:val="0"/>
                  <w:marBottom w:val="0"/>
                  <w:divBdr>
                    <w:top w:val="none" w:sz="0" w:space="0" w:color="auto"/>
                    <w:left w:val="none" w:sz="0" w:space="0" w:color="auto"/>
                    <w:bottom w:val="none" w:sz="0" w:space="0" w:color="auto"/>
                    <w:right w:val="none" w:sz="0" w:space="0" w:color="auto"/>
                  </w:divBdr>
                  <w:divsChild>
                    <w:div w:id="1364475792">
                      <w:marLeft w:val="0"/>
                      <w:marRight w:val="0"/>
                      <w:marTop w:val="0"/>
                      <w:marBottom w:val="0"/>
                      <w:divBdr>
                        <w:top w:val="none" w:sz="0" w:space="0" w:color="auto"/>
                        <w:left w:val="none" w:sz="0" w:space="0" w:color="auto"/>
                        <w:bottom w:val="none" w:sz="0" w:space="0" w:color="auto"/>
                        <w:right w:val="none" w:sz="0" w:space="0" w:color="auto"/>
                      </w:divBdr>
                    </w:div>
                  </w:divsChild>
                </w:div>
                <w:div w:id="607469101">
                  <w:marLeft w:val="0"/>
                  <w:marRight w:val="0"/>
                  <w:marTop w:val="0"/>
                  <w:marBottom w:val="0"/>
                  <w:divBdr>
                    <w:top w:val="none" w:sz="0" w:space="0" w:color="auto"/>
                    <w:left w:val="none" w:sz="0" w:space="0" w:color="auto"/>
                    <w:bottom w:val="none" w:sz="0" w:space="0" w:color="auto"/>
                    <w:right w:val="none" w:sz="0" w:space="0" w:color="auto"/>
                  </w:divBdr>
                  <w:divsChild>
                    <w:div w:id="893001965">
                      <w:marLeft w:val="0"/>
                      <w:marRight w:val="0"/>
                      <w:marTop w:val="0"/>
                      <w:marBottom w:val="0"/>
                      <w:divBdr>
                        <w:top w:val="none" w:sz="0" w:space="0" w:color="auto"/>
                        <w:left w:val="none" w:sz="0" w:space="0" w:color="auto"/>
                        <w:bottom w:val="none" w:sz="0" w:space="0" w:color="auto"/>
                        <w:right w:val="none" w:sz="0" w:space="0" w:color="auto"/>
                      </w:divBdr>
                    </w:div>
                  </w:divsChild>
                </w:div>
                <w:div w:id="693195934">
                  <w:marLeft w:val="0"/>
                  <w:marRight w:val="0"/>
                  <w:marTop w:val="0"/>
                  <w:marBottom w:val="0"/>
                  <w:divBdr>
                    <w:top w:val="none" w:sz="0" w:space="0" w:color="auto"/>
                    <w:left w:val="none" w:sz="0" w:space="0" w:color="auto"/>
                    <w:bottom w:val="none" w:sz="0" w:space="0" w:color="auto"/>
                    <w:right w:val="none" w:sz="0" w:space="0" w:color="auto"/>
                  </w:divBdr>
                  <w:divsChild>
                    <w:div w:id="682710376">
                      <w:marLeft w:val="0"/>
                      <w:marRight w:val="0"/>
                      <w:marTop w:val="0"/>
                      <w:marBottom w:val="0"/>
                      <w:divBdr>
                        <w:top w:val="none" w:sz="0" w:space="0" w:color="auto"/>
                        <w:left w:val="none" w:sz="0" w:space="0" w:color="auto"/>
                        <w:bottom w:val="none" w:sz="0" w:space="0" w:color="auto"/>
                        <w:right w:val="none" w:sz="0" w:space="0" w:color="auto"/>
                      </w:divBdr>
                    </w:div>
                  </w:divsChild>
                </w:div>
                <w:div w:id="712389185">
                  <w:marLeft w:val="0"/>
                  <w:marRight w:val="0"/>
                  <w:marTop w:val="0"/>
                  <w:marBottom w:val="0"/>
                  <w:divBdr>
                    <w:top w:val="none" w:sz="0" w:space="0" w:color="auto"/>
                    <w:left w:val="none" w:sz="0" w:space="0" w:color="auto"/>
                    <w:bottom w:val="none" w:sz="0" w:space="0" w:color="auto"/>
                    <w:right w:val="none" w:sz="0" w:space="0" w:color="auto"/>
                  </w:divBdr>
                  <w:divsChild>
                    <w:div w:id="1768042640">
                      <w:marLeft w:val="0"/>
                      <w:marRight w:val="0"/>
                      <w:marTop w:val="0"/>
                      <w:marBottom w:val="0"/>
                      <w:divBdr>
                        <w:top w:val="none" w:sz="0" w:space="0" w:color="auto"/>
                        <w:left w:val="none" w:sz="0" w:space="0" w:color="auto"/>
                        <w:bottom w:val="none" w:sz="0" w:space="0" w:color="auto"/>
                        <w:right w:val="none" w:sz="0" w:space="0" w:color="auto"/>
                      </w:divBdr>
                    </w:div>
                  </w:divsChild>
                </w:div>
                <w:div w:id="718893594">
                  <w:marLeft w:val="0"/>
                  <w:marRight w:val="0"/>
                  <w:marTop w:val="0"/>
                  <w:marBottom w:val="0"/>
                  <w:divBdr>
                    <w:top w:val="none" w:sz="0" w:space="0" w:color="auto"/>
                    <w:left w:val="none" w:sz="0" w:space="0" w:color="auto"/>
                    <w:bottom w:val="none" w:sz="0" w:space="0" w:color="auto"/>
                    <w:right w:val="none" w:sz="0" w:space="0" w:color="auto"/>
                  </w:divBdr>
                  <w:divsChild>
                    <w:div w:id="1935504683">
                      <w:marLeft w:val="0"/>
                      <w:marRight w:val="0"/>
                      <w:marTop w:val="0"/>
                      <w:marBottom w:val="0"/>
                      <w:divBdr>
                        <w:top w:val="none" w:sz="0" w:space="0" w:color="auto"/>
                        <w:left w:val="none" w:sz="0" w:space="0" w:color="auto"/>
                        <w:bottom w:val="none" w:sz="0" w:space="0" w:color="auto"/>
                        <w:right w:val="none" w:sz="0" w:space="0" w:color="auto"/>
                      </w:divBdr>
                    </w:div>
                  </w:divsChild>
                </w:div>
                <w:div w:id="724108736">
                  <w:marLeft w:val="0"/>
                  <w:marRight w:val="0"/>
                  <w:marTop w:val="0"/>
                  <w:marBottom w:val="0"/>
                  <w:divBdr>
                    <w:top w:val="none" w:sz="0" w:space="0" w:color="auto"/>
                    <w:left w:val="none" w:sz="0" w:space="0" w:color="auto"/>
                    <w:bottom w:val="none" w:sz="0" w:space="0" w:color="auto"/>
                    <w:right w:val="none" w:sz="0" w:space="0" w:color="auto"/>
                  </w:divBdr>
                  <w:divsChild>
                    <w:div w:id="1493443811">
                      <w:marLeft w:val="0"/>
                      <w:marRight w:val="0"/>
                      <w:marTop w:val="0"/>
                      <w:marBottom w:val="0"/>
                      <w:divBdr>
                        <w:top w:val="none" w:sz="0" w:space="0" w:color="auto"/>
                        <w:left w:val="none" w:sz="0" w:space="0" w:color="auto"/>
                        <w:bottom w:val="none" w:sz="0" w:space="0" w:color="auto"/>
                        <w:right w:val="none" w:sz="0" w:space="0" w:color="auto"/>
                      </w:divBdr>
                    </w:div>
                  </w:divsChild>
                </w:div>
                <w:div w:id="741365605">
                  <w:marLeft w:val="0"/>
                  <w:marRight w:val="0"/>
                  <w:marTop w:val="0"/>
                  <w:marBottom w:val="0"/>
                  <w:divBdr>
                    <w:top w:val="none" w:sz="0" w:space="0" w:color="auto"/>
                    <w:left w:val="none" w:sz="0" w:space="0" w:color="auto"/>
                    <w:bottom w:val="none" w:sz="0" w:space="0" w:color="auto"/>
                    <w:right w:val="none" w:sz="0" w:space="0" w:color="auto"/>
                  </w:divBdr>
                  <w:divsChild>
                    <w:div w:id="513228899">
                      <w:marLeft w:val="0"/>
                      <w:marRight w:val="0"/>
                      <w:marTop w:val="0"/>
                      <w:marBottom w:val="0"/>
                      <w:divBdr>
                        <w:top w:val="none" w:sz="0" w:space="0" w:color="auto"/>
                        <w:left w:val="none" w:sz="0" w:space="0" w:color="auto"/>
                        <w:bottom w:val="none" w:sz="0" w:space="0" w:color="auto"/>
                        <w:right w:val="none" w:sz="0" w:space="0" w:color="auto"/>
                      </w:divBdr>
                    </w:div>
                  </w:divsChild>
                </w:div>
                <w:div w:id="840894563">
                  <w:marLeft w:val="0"/>
                  <w:marRight w:val="0"/>
                  <w:marTop w:val="0"/>
                  <w:marBottom w:val="0"/>
                  <w:divBdr>
                    <w:top w:val="none" w:sz="0" w:space="0" w:color="auto"/>
                    <w:left w:val="none" w:sz="0" w:space="0" w:color="auto"/>
                    <w:bottom w:val="none" w:sz="0" w:space="0" w:color="auto"/>
                    <w:right w:val="none" w:sz="0" w:space="0" w:color="auto"/>
                  </w:divBdr>
                  <w:divsChild>
                    <w:div w:id="157427579">
                      <w:marLeft w:val="0"/>
                      <w:marRight w:val="0"/>
                      <w:marTop w:val="0"/>
                      <w:marBottom w:val="0"/>
                      <w:divBdr>
                        <w:top w:val="none" w:sz="0" w:space="0" w:color="auto"/>
                        <w:left w:val="none" w:sz="0" w:space="0" w:color="auto"/>
                        <w:bottom w:val="none" w:sz="0" w:space="0" w:color="auto"/>
                        <w:right w:val="none" w:sz="0" w:space="0" w:color="auto"/>
                      </w:divBdr>
                    </w:div>
                  </w:divsChild>
                </w:div>
                <w:div w:id="848836039">
                  <w:marLeft w:val="0"/>
                  <w:marRight w:val="0"/>
                  <w:marTop w:val="0"/>
                  <w:marBottom w:val="0"/>
                  <w:divBdr>
                    <w:top w:val="none" w:sz="0" w:space="0" w:color="auto"/>
                    <w:left w:val="none" w:sz="0" w:space="0" w:color="auto"/>
                    <w:bottom w:val="none" w:sz="0" w:space="0" w:color="auto"/>
                    <w:right w:val="none" w:sz="0" w:space="0" w:color="auto"/>
                  </w:divBdr>
                  <w:divsChild>
                    <w:div w:id="497381438">
                      <w:marLeft w:val="0"/>
                      <w:marRight w:val="0"/>
                      <w:marTop w:val="0"/>
                      <w:marBottom w:val="0"/>
                      <w:divBdr>
                        <w:top w:val="none" w:sz="0" w:space="0" w:color="auto"/>
                        <w:left w:val="none" w:sz="0" w:space="0" w:color="auto"/>
                        <w:bottom w:val="none" w:sz="0" w:space="0" w:color="auto"/>
                        <w:right w:val="none" w:sz="0" w:space="0" w:color="auto"/>
                      </w:divBdr>
                    </w:div>
                  </w:divsChild>
                </w:div>
                <w:div w:id="849412835">
                  <w:marLeft w:val="0"/>
                  <w:marRight w:val="0"/>
                  <w:marTop w:val="0"/>
                  <w:marBottom w:val="0"/>
                  <w:divBdr>
                    <w:top w:val="none" w:sz="0" w:space="0" w:color="auto"/>
                    <w:left w:val="none" w:sz="0" w:space="0" w:color="auto"/>
                    <w:bottom w:val="none" w:sz="0" w:space="0" w:color="auto"/>
                    <w:right w:val="none" w:sz="0" w:space="0" w:color="auto"/>
                  </w:divBdr>
                  <w:divsChild>
                    <w:div w:id="430051891">
                      <w:marLeft w:val="0"/>
                      <w:marRight w:val="0"/>
                      <w:marTop w:val="0"/>
                      <w:marBottom w:val="0"/>
                      <w:divBdr>
                        <w:top w:val="none" w:sz="0" w:space="0" w:color="auto"/>
                        <w:left w:val="none" w:sz="0" w:space="0" w:color="auto"/>
                        <w:bottom w:val="none" w:sz="0" w:space="0" w:color="auto"/>
                        <w:right w:val="none" w:sz="0" w:space="0" w:color="auto"/>
                      </w:divBdr>
                    </w:div>
                  </w:divsChild>
                </w:div>
                <w:div w:id="940183333">
                  <w:marLeft w:val="0"/>
                  <w:marRight w:val="0"/>
                  <w:marTop w:val="0"/>
                  <w:marBottom w:val="0"/>
                  <w:divBdr>
                    <w:top w:val="none" w:sz="0" w:space="0" w:color="auto"/>
                    <w:left w:val="none" w:sz="0" w:space="0" w:color="auto"/>
                    <w:bottom w:val="none" w:sz="0" w:space="0" w:color="auto"/>
                    <w:right w:val="none" w:sz="0" w:space="0" w:color="auto"/>
                  </w:divBdr>
                  <w:divsChild>
                    <w:div w:id="1193961667">
                      <w:marLeft w:val="0"/>
                      <w:marRight w:val="0"/>
                      <w:marTop w:val="0"/>
                      <w:marBottom w:val="0"/>
                      <w:divBdr>
                        <w:top w:val="none" w:sz="0" w:space="0" w:color="auto"/>
                        <w:left w:val="none" w:sz="0" w:space="0" w:color="auto"/>
                        <w:bottom w:val="none" w:sz="0" w:space="0" w:color="auto"/>
                        <w:right w:val="none" w:sz="0" w:space="0" w:color="auto"/>
                      </w:divBdr>
                    </w:div>
                  </w:divsChild>
                </w:div>
                <w:div w:id="951935822">
                  <w:marLeft w:val="0"/>
                  <w:marRight w:val="0"/>
                  <w:marTop w:val="0"/>
                  <w:marBottom w:val="0"/>
                  <w:divBdr>
                    <w:top w:val="none" w:sz="0" w:space="0" w:color="auto"/>
                    <w:left w:val="none" w:sz="0" w:space="0" w:color="auto"/>
                    <w:bottom w:val="none" w:sz="0" w:space="0" w:color="auto"/>
                    <w:right w:val="none" w:sz="0" w:space="0" w:color="auto"/>
                  </w:divBdr>
                  <w:divsChild>
                    <w:div w:id="2026132370">
                      <w:marLeft w:val="0"/>
                      <w:marRight w:val="0"/>
                      <w:marTop w:val="0"/>
                      <w:marBottom w:val="0"/>
                      <w:divBdr>
                        <w:top w:val="none" w:sz="0" w:space="0" w:color="auto"/>
                        <w:left w:val="none" w:sz="0" w:space="0" w:color="auto"/>
                        <w:bottom w:val="none" w:sz="0" w:space="0" w:color="auto"/>
                        <w:right w:val="none" w:sz="0" w:space="0" w:color="auto"/>
                      </w:divBdr>
                    </w:div>
                  </w:divsChild>
                </w:div>
                <w:div w:id="973408733">
                  <w:marLeft w:val="0"/>
                  <w:marRight w:val="0"/>
                  <w:marTop w:val="0"/>
                  <w:marBottom w:val="0"/>
                  <w:divBdr>
                    <w:top w:val="none" w:sz="0" w:space="0" w:color="auto"/>
                    <w:left w:val="none" w:sz="0" w:space="0" w:color="auto"/>
                    <w:bottom w:val="none" w:sz="0" w:space="0" w:color="auto"/>
                    <w:right w:val="none" w:sz="0" w:space="0" w:color="auto"/>
                  </w:divBdr>
                  <w:divsChild>
                    <w:div w:id="1634679490">
                      <w:marLeft w:val="0"/>
                      <w:marRight w:val="0"/>
                      <w:marTop w:val="0"/>
                      <w:marBottom w:val="0"/>
                      <w:divBdr>
                        <w:top w:val="none" w:sz="0" w:space="0" w:color="auto"/>
                        <w:left w:val="none" w:sz="0" w:space="0" w:color="auto"/>
                        <w:bottom w:val="none" w:sz="0" w:space="0" w:color="auto"/>
                        <w:right w:val="none" w:sz="0" w:space="0" w:color="auto"/>
                      </w:divBdr>
                    </w:div>
                  </w:divsChild>
                </w:div>
                <w:div w:id="1003632629">
                  <w:marLeft w:val="0"/>
                  <w:marRight w:val="0"/>
                  <w:marTop w:val="0"/>
                  <w:marBottom w:val="0"/>
                  <w:divBdr>
                    <w:top w:val="none" w:sz="0" w:space="0" w:color="auto"/>
                    <w:left w:val="none" w:sz="0" w:space="0" w:color="auto"/>
                    <w:bottom w:val="none" w:sz="0" w:space="0" w:color="auto"/>
                    <w:right w:val="none" w:sz="0" w:space="0" w:color="auto"/>
                  </w:divBdr>
                  <w:divsChild>
                    <w:div w:id="582645800">
                      <w:marLeft w:val="0"/>
                      <w:marRight w:val="0"/>
                      <w:marTop w:val="0"/>
                      <w:marBottom w:val="0"/>
                      <w:divBdr>
                        <w:top w:val="none" w:sz="0" w:space="0" w:color="auto"/>
                        <w:left w:val="none" w:sz="0" w:space="0" w:color="auto"/>
                        <w:bottom w:val="none" w:sz="0" w:space="0" w:color="auto"/>
                        <w:right w:val="none" w:sz="0" w:space="0" w:color="auto"/>
                      </w:divBdr>
                    </w:div>
                  </w:divsChild>
                </w:div>
                <w:div w:id="1009482946">
                  <w:marLeft w:val="0"/>
                  <w:marRight w:val="0"/>
                  <w:marTop w:val="0"/>
                  <w:marBottom w:val="0"/>
                  <w:divBdr>
                    <w:top w:val="none" w:sz="0" w:space="0" w:color="auto"/>
                    <w:left w:val="none" w:sz="0" w:space="0" w:color="auto"/>
                    <w:bottom w:val="none" w:sz="0" w:space="0" w:color="auto"/>
                    <w:right w:val="none" w:sz="0" w:space="0" w:color="auto"/>
                  </w:divBdr>
                  <w:divsChild>
                    <w:div w:id="1883785826">
                      <w:marLeft w:val="0"/>
                      <w:marRight w:val="0"/>
                      <w:marTop w:val="0"/>
                      <w:marBottom w:val="0"/>
                      <w:divBdr>
                        <w:top w:val="none" w:sz="0" w:space="0" w:color="auto"/>
                        <w:left w:val="none" w:sz="0" w:space="0" w:color="auto"/>
                        <w:bottom w:val="none" w:sz="0" w:space="0" w:color="auto"/>
                        <w:right w:val="none" w:sz="0" w:space="0" w:color="auto"/>
                      </w:divBdr>
                    </w:div>
                  </w:divsChild>
                </w:div>
                <w:div w:id="1029062389">
                  <w:marLeft w:val="0"/>
                  <w:marRight w:val="0"/>
                  <w:marTop w:val="0"/>
                  <w:marBottom w:val="0"/>
                  <w:divBdr>
                    <w:top w:val="none" w:sz="0" w:space="0" w:color="auto"/>
                    <w:left w:val="none" w:sz="0" w:space="0" w:color="auto"/>
                    <w:bottom w:val="none" w:sz="0" w:space="0" w:color="auto"/>
                    <w:right w:val="none" w:sz="0" w:space="0" w:color="auto"/>
                  </w:divBdr>
                  <w:divsChild>
                    <w:div w:id="1051998984">
                      <w:marLeft w:val="0"/>
                      <w:marRight w:val="0"/>
                      <w:marTop w:val="0"/>
                      <w:marBottom w:val="0"/>
                      <w:divBdr>
                        <w:top w:val="none" w:sz="0" w:space="0" w:color="auto"/>
                        <w:left w:val="none" w:sz="0" w:space="0" w:color="auto"/>
                        <w:bottom w:val="none" w:sz="0" w:space="0" w:color="auto"/>
                        <w:right w:val="none" w:sz="0" w:space="0" w:color="auto"/>
                      </w:divBdr>
                    </w:div>
                  </w:divsChild>
                </w:div>
                <w:div w:id="1086146097">
                  <w:marLeft w:val="0"/>
                  <w:marRight w:val="0"/>
                  <w:marTop w:val="0"/>
                  <w:marBottom w:val="0"/>
                  <w:divBdr>
                    <w:top w:val="none" w:sz="0" w:space="0" w:color="auto"/>
                    <w:left w:val="none" w:sz="0" w:space="0" w:color="auto"/>
                    <w:bottom w:val="none" w:sz="0" w:space="0" w:color="auto"/>
                    <w:right w:val="none" w:sz="0" w:space="0" w:color="auto"/>
                  </w:divBdr>
                  <w:divsChild>
                    <w:div w:id="1370452458">
                      <w:marLeft w:val="0"/>
                      <w:marRight w:val="0"/>
                      <w:marTop w:val="0"/>
                      <w:marBottom w:val="0"/>
                      <w:divBdr>
                        <w:top w:val="none" w:sz="0" w:space="0" w:color="auto"/>
                        <w:left w:val="none" w:sz="0" w:space="0" w:color="auto"/>
                        <w:bottom w:val="none" w:sz="0" w:space="0" w:color="auto"/>
                        <w:right w:val="none" w:sz="0" w:space="0" w:color="auto"/>
                      </w:divBdr>
                    </w:div>
                  </w:divsChild>
                </w:div>
                <w:div w:id="1087463893">
                  <w:marLeft w:val="0"/>
                  <w:marRight w:val="0"/>
                  <w:marTop w:val="0"/>
                  <w:marBottom w:val="0"/>
                  <w:divBdr>
                    <w:top w:val="none" w:sz="0" w:space="0" w:color="auto"/>
                    <w:left w:val="none" w:sz="0" w:space="0" w:color="auto"/>
                    <w:bottom w:val="none" w:sz="0" w:space="0" w:color="auto"/>
                    <w:right w:val="none" w:sz="0" w:space="0" w:color="auto"/>
                  </w:divBdr>
                  <w:divsChild>
                    <w:div w:id="606695176">
                      <w:marLeft w:val="0"/>
                      <w:marRight w:val="0"/>
                      <w:marTop w:val="0"/>
                      <w:marBottom w:val="0"/>
                      <w:divBdr>
                        <w:top w:val="none" w:sz="0" w:space="0" w:color="auto"/>
                        <w:left w:val="none" w:sz="0" w:space="0" w:color="auto"/>
                        <w:bottom w:val="none" w:sz="0" w:space="0" w:color="auto"/>
                        <w:right w:val="none" w:sz="0" w:space="0" w:color="auto"/>
                      </w:divBdr>
                    </w:div>
                  </w:divsChild>
                </w:div>
                <w:div w:id="1087574283">
                  <w:marLeft w:val="0"/>
                  <w:marRight w:val="0"/>
                  <w:marTop w:val="0"/>
                  <w:marBottom w:val="0"/>
                  <w:divBdr>
                    <w:top w:val="none" w:sz="0" w:space="0" w:color="auto"/>
                    <w:left w:val="none" w:sz="0" w:space="0" w:color="auto"/>
                    <w:bottom w:val="none" w:sz="0" w:space="0" w:color="auto"/>
                    <w:right w:val="none" w:sz="0" w:space="0" w:color="auto"/>
                  </w:divBdr>
                  <w:divsChild>
                    <w:div w:id="1317488486">
                      <w:marLeft w:val="0"/>
                      <w:marRight w:val="0"/>
                      <w:marTop w:val="0"/>
                      <w:marBottom w:val="0"/>
                      <w:divBdr>
                        <w:top w:val="none" w:sz="0" w:space="0" w:color="auto"/>
                        <w:left w:val="none" w:sz="0" w:space="0" w:color="auto"/>
                        <w:bottom w:val="none" w:sz="0" w:space="0" w:color="auto"/>
                        <w:right w:val="none" w:sz="0" w:space="0" w:color="auto"/>
                      </w:divBdr>
                    </w:div>
                  </w:divsChild>
                </w:div>
                <w:div w:id="1095396057">
                  <w:marLeft w:val="0"/>
                  <w:marRight w:val="0"/>
                  <w:marTop w:val="0"/>
                  <w:marBottom w:val="0"/>
                  <w:divBdr>
                    <w:top w:val="none" w:sz="0" w:space="0" w:color="auto"/>
                    <w:left w:val="none" w:sz="0" w:space="0" w:color="auto"/>
                    <w:bottom w:val="none" w:sz="0" w:space="0" w:color="auto"/>
                    <w:right w:val="none" w:sz="0" w:space="0" w:color="auto"/>
                  </w:divBdr>
                  <w:divsChild>
                    <w:div w:id="482426756">
                      <w:marLeft w:val="0"/>
                      <w:marRight w:val="0"/>
                      <w:marTop w:val="0"/>
                      <w:marBottom w:val="0"/>
                      <w:divBdr>
                        <w:top w:val="none" w:sz="0" w:space="0" w:color="auto"/>
                        <w:left w:val="none" w:sz="0" w:space="0" w:color="auto"/>
                        <w:bottom w:val="none" w:sz="0" w:space="0" w:color="auto"/>
                        <w:right w:val="none" w:sz="0" w:space="0" w:color="auto"/>
                      </w:divBdr>
                    </w:div>
                  </w:divsChild>
                </w:div>
                <w:div w:id="1098260708">
                  <w:marLeft w:val="0"/>
                  <w:marRight w:val="0"/>
                  <w:marTop w:val="0"/>
                  <w:marBottom w:val="0"/>
                  <w:divBdr>
                    <w:top w:val="none" w:sz="0" w:space="0" w:color="auto"/>
                    <w:left w:val="none" w:sz="0" w:space="0" w:color="auto"/>
                    <w:bottom w:val="none" w:sz="0" w:space="0" w:color="auto"/>
                    <w:right w:val="none" w:sz="0" w:space="0" w:color="auto"/>
                  </w:divBdr>
                  <w:divsChild>
                    <w:div w:id="97798514">
                      <w:marLeft w:val="0"/>
                      <w:marRight w:val="0"/>
                      <w:marTop w:val="0"/>
                      <w:marBottom w:val="0"/>
                      <w:divBdr>
                        <w:top w:val="none" w:sz="0" w:space="0" w:color="auto"/>
                        <w:left w:val="none" w:sz="0" w:space="0" w:color="auto"/>
                        <w:bottom w:val="none" w:sz="0" w:space="0" w:color="auto"/>
                        <w:right w:val="none" w:sz="0" w:space="0" w:color="auto"/>
                      </w:divBdr>
                    </w:div>
                  </w:divsChild>
                </w:div>
                <w:div w:id="1102460927">
                  <w:marLeft w:val="0"/>
                  <w:marRight w:val="0"/>
                  <w:marTop w:val="0"/>
                  <w:marBottom w:val="0"/>
                  <w:divBdr>
                    <w:top w:val="none" w:sz="0" w:space="0" w:color="auto"/>
                    <w:left w:val="none" w:sz="0" w:space="0" w:color="auto"/>
                    <w:bottom w:val="none" w:sz="0" w:space="0" w:color="auto"/>
                    <w:right w:val="none" w:sz="0" w:space="0" w:color="auto"/>
                  </w:divBdr>
                  <w:divsChild>
                    <w:div w:id="410661022">
                      <w:marLeft w:val="0"/>
                      <w:marRight w:val="0"/>
                      <w:marTop w:val="0"/>
                      <w:marBottom w:val="0"/>
                      <w:divBdr>
                        <w:top w:val="none" w:sz="0" w:space="0" w:color="auto"/>
                        <w:left w:val="none" w:sz="0" w:space="0" w:color="auto"/>
                        <w:bottom w:val="none" w:sz="0" w:space="0" w:color="auto"/>
                        <w:right w:val="none" w:sz="0" w:space="0" w:color="auto"/>
                      </w:divBdr>
                    </w:div>
                  </w:divsChild>
                </w:div>
                <w:div w:id="1114984217">
                  <w:marLeft w:val="0"/>
                  <w:marRight w:val="0"/>
                  <w:marTop w:val="0"/>
                  <w:marBottom w:val="0"/>
                  <w:divBdr>
                    <w:top w:val="none" w:sz="0" w:space="0" w:color="auto"/>
                    <w:left w:val="none" w:sz="0" w:space="0" w:color="auto"/>
                    <w:bottom w:val="none" w:sz="0" w:space="0" w:color="auto"/>
                    <w:right w:val="none" w:sz="0" w:space="0" w:color="auto"/>
                  </w:divBdr>
                  <w:divsChild>
                    <w:div w:id="632831099">
                      <w:marLeft w:val="0"/>
                      <w:marRight w:val="0"/>
                      <w:marTop w:val="0"/>
                      <w:marBottom w:val="0"/>
                      <w:divBdr>
                        <w:top w:val="none" w:sz="0" w:space="0" w:color="auto"/>
                        <w:left w:val="none" w:sz="0" w:space="0" w:color="auto"/>
                        <w:bottom w:val="none" w:sz="0" w:space="0" w:color="auto"/>
                        <w:right w:val="none" w:sz="0" w:space="0" w:color="auto"/>
                      </w:divBdr>
                    </w:div>
                  </w:divsChild>
                </w:div>
                <w:div w:id="1129393416">
                  <w:marLeft w:val="0"/>
                  <w:marRight w:val="0"/>
                  <w:marTop w:val="0"/>
                  <w:marBottom w:val="0"/>
                  <w:divBdr>
                    <w:top w:val="none" w:sz="0" w:space="0" w:color="auto"/>
                    <w:left w:val="none" w:sz="0" w:space="0" w:color="auto"/>
                    <w:bottom w:val="none" w:sz="0" w:space="0" w:color="auto"/>
                    <w:right w:val="none" w:sz="0" w:space="0" w:color="auto"/>
                  </w:divBdr>
                  <w:divsChild>
                    <w:div w:id="66194568">
                      <w:marLeft w:val="0"/>
                      <w:marRight w:val="0"/>
                      <w:marTop w:val="0"/>
                      <w:marBottom w:val="0"/>
                      <w:divBdr>
                        <w:top w:val="none" w:sz="0" w:space="0" w:color="auto"/>
                        <w:left w:val="none" w:sz="0" w:space="0" w:color="auto"/>
                        <w:bottom w:val="none" w:sz="0" w:space="0" w:color="auto"/>
                        <w:right w:val="none" w:sz="0" w:space="0" w:color="auto"/>
                      </w:divBdr>
                    </w:div>
                  </w:divsChild>
                </w:div>
                <w:div w:id="1146120876">
                  <w:marLeft w:val="0"/>
                  <w:marRight w:val="0"/>
                  <w:marTop w:val="0"/>
                  <w:marBottom w:val="0"/>
                  <w:divBdr>
                    <w:top w:val="none" w:sz="0" w:space="0" w:color="auto"/>
                    <w:left w:val="none" w:sz="0" w:space="0" w:color="auto"/>
                    <w:bottom w:val="none" w:sz="0" w:space="0" w:color="auto"/>
                    <w:right w:val="none" w:sz="0" w:space="0" w:color="auto"/>
                  </w:divBdr>
                  <w:divsChild>
                    <w:div w:id="1691834513">
                      <w:marLeft w:val="0"/>
                      <w:marRight w:val="0"/>
                      <w:marTop w:val="0"/>
                      <w:marBottom w:val="0"/>
                      <w:divBdr>
                        <w:top w:val="none" w:sz="0" w:space="0" w:color="auto"/>
                        <w:left w:val="none" w:sz="0" w:space="0" w:color="auto"/>
                        <w:bottom w:val="none" w:sz="0" w:space="0" w:color="auto"/>
                        <w:right w:val="none" w:sz="0" w:space="0" w:color="auto"/>
                      </w:divBdr>
                    </w:div>
                  </w:divsChild>
                </w:div>
                <w:div w:id="1157646165">
                  <w:marLeft w:val="0"/>
                  <w:marRight w:val="0"/>
                  <w:marTop w:val="0"/>
                  <w:marBottom w:val="0"/>
                  <w:divBdr>
                    <w:top w:val="none" w:sz="0" w:space="0" w:color="auto"/>
                    <w:left w:val="none" w:sz="0" w:space="0" w:color="auto"/>
                    <w:bottom w:val="none" w:sz="0" w:space="0" w:color="auto"/>
                    <w:right w:val="none" w:sz="0" w:space="0" w:color="auto"/>
                  </w:divBdr>
                  <w:divsChild>
                    <w:div w:id="1772820143">
                      <w:marLeft w:val="0"/>
                      <w:marRight w:val="0"/>
                      <w:marTop w:val="0"/>
                      <w:marBottom w:val="0"/>
                      <w:divBdr>
                        <w:top w:val="none" w:sz="0" w:space="0" w:color="auto"/>
                        <w:left w:val="none" w:sz="0" w:space="0" w:color="auto"/>
                        <w:bottom w:val="none" w:sz="0" w:space="0" w:color="auto"/>
                        <w:right w:val="none" w:sz="0" w:space="0" w:color="auto"/>
                      </w:divBdr>
                    </w:div>
                  </w:divsChild>
                </w:div>
                <w:div w:id="1170094869">
                  <w:marLeft w:val="0"/>
                  <w:marRight w:val="0"/>
                  <w:marTop w:val="0"/>
                  <w:marBottom w:val="0"/>
                  <w:divBdr>
                    <w:top w:val="none" w:sz="0" w:space="0" w:color="auto"/>
                    <w:left w:val="none" w:sz="0" w:space="0" w:color="auto"/>
                    <w:bottom w:val="none" w:sz="0" w:space="0" w:color="auto"/>
                    <w:right w:val="none" w:sz="0" w:space="0" w:color="auto"/>
                  </w:divBdr>
                  <w:divsChild>
                    <w:div w:id="45568521">
                      <w:marLeft w:val="0"/>
                      <w:marRight w:val="0"/>
                      <w:marTop w:val="0"/>
                      <w:marBottom w:val="0"/>
                      <w:divBdr>
                        <w:top w:val="none" w:sz="0" w:space="0" w:color="auto"/>
                        <w:left w:val="none" w:sz="0" w:space="0" w:color="auto"/>
                        <w:bottom w:val="none" w:sz="0" w:space="0" w:color="auto"/>
                        <w:right w:val="none" w:sz="0" w:space="0" w:color="auto"/>
                      </w:divBdr>
                    </w:div>
                  </w:divsChild>
                </w:div>
                <w:div w:id="1184519930">
                  <w:marLeft w:val="0"/>
                  <w:marRight w:val="0"/>
                  <w:marTop w:val="0"/>
                  <w:marBottom w:val="0"/>
                  <w:divBdr>
                    <w:top w:val="none" w:sz="0" w:space="0" w:color="auto"/>
                    <w:left w:val="none" w:sz="0" w:space="0" w:color="auto"/>
                    <w:bottom w:val="none" w:sz="0" w:space="0" w:color="auto"/>
                    <w:right w:val="none" w:sz="0" w:space="0" w:color="auto"/>
                  </w:divBdr>
                  <w:divsChild>
                    <w:div w:id="740714408">
                      <w:marLeft w:val="0"/>
                      <w:marRight w:val="0"/>
                      <w:marTop w:val="0"/>
                      <w:marBottom w:val="0"/>
                      <w:divBdr>
                        <w:top w:val="none" w:sz="0" w:space="0" w:color="auto"/>
                        <w:left w:val="none" w:sz="0" w:space="0" w:color="auto"/>
                        <w:bottom w:val="none" w:sz="0" w:space="0" w:color="auto"/>
                        <w:right w:val="none" w:sz="0" w:space="0" w:color="auto"/>
                      </w:divBdr>
                    </w:div>
                  </w:divsChild>
                </w:div>
                <w:div w:id="1189105174">
                  <w:marLeft w:val="0"/>
                  <w:marRight w:val="0"/>
                  <w:marTop w:val="0"/>
                  <w:marBottom w:val="0"/>
                  <w:divBdr>
                    <w:top w:val="none" w:sz="0" w:space="0" w:color="auto"/>
                    <w:left w:val="none" w:sz="0" w:space="0" w:color="auto"/>
                    <w:bottom w:val="none" w:sz="0" w:space="0" w:color="auto"/>
                    <w:right w:val="none" w:sz="0" w:space="0" w:color="auto"/>
                  </w:divBdr>
                  <w:divsChild>
                    <w:div w:id="1086803915">
                      <w:marLeft w:val="0"/>
                      <w:marRight w:val="0"/>
                      <w:marTop w:val="0"/>
                      <w:marBottom w:val="0"/>
                      <w:divBdr>
                        <w:top w:val="none" w:sz="0" w:space="0" w:color="auto"/>
                        <w:left w:val="none" w:sz="0" w:space="0" w:color="auto"/>
                        <w:bottom w:val="none" w:sz="0" w:space="0" w:color="auto"/>
                        <w:right w:val="none" w:sz="0" w:space="0" w:color="auto"/>
                      </w:divBdr>
                    </w:div>
                  </w:divsChild>
                </w:div>
                <w:div w:id="1200438362">
                  <w:marLeft w:val="0"/>
                  <w:marRight w:val="0"/>
                  <w:marTop w:val="0"/>
                  <w:marBottom w:val="0"/>
                  <w:divBdr>
                    <w:top w:val="none" w:sz="0" w:space="0" w:color="auto"/>
                    <w:left w:val="none" w:sz="0" w:space="0" w:color="auto"/>
                    <w:bottom w:val="none" w:sz="0" w:space="0" w:color="auto"/>
                    <w:right w:val="none" w:sz="0" w:space="0" w:color="auto"/>
                  </w:divBdr>
                  <w:divsChild>
                    <w:div w:id="2005743688">
                      <w:marLeft w:val="0"/>
                      <w:marRight w:val="0"/>
                      <w:marTop w:val="0"/>
                      <w:marBottom w:val="0"/>
                      <w:divBdr>
                        <w:top w:val="none" w:sz="0" w:space="0" w:color="auto"/>
                        <w:left w:val="none" w:sz="0" w:space="0" w:color="auto"/>
                        <w:bottom w:val="none" w:sz="0" w:space="0" w:color="auto"/>
                        <w:right w:val="none" w:sz="0" w:space="0" w:color="auto"/>
                      </w:divBdr>
                    </w:div>
                  </w:divsChild>
                </w:div>
                <w:div w:id="1204442513">
                  <w:marLeft w:val="0"/>
                  <w:marRight w:val="0"/>
                  <w:marTop w:val="0"/>
                  <w:marBottom w:val="0"/>
                  <w:divBdr>
                    <w:top w:val="none" w:sz="0" w:space="0" w:color="auto"/>
                    <w:left w:val="none" w:sz="0" w:space="0" w:color="auto"/>
                    <w:bottom w:val="none" w:sz="0" w:space="0" w:color="auto"/>
                    <w:right w:val="none" w:sz="0" w:space="0" w:color="auto"/>
                  </w:divBdr>
                  <w:divsChild>
                    <w:div w:id="1008217894">
                      <w:marLeft w:val="0"/>
                      <w:marRight w:val="0"/>
                      <w:marTop w:val="0"/>
                      <w:marBottom w:val="0"/>
                      <w:divBdr>
                        <w:top w:val="none" w:sz="0" w:space="0" w:color="auto"/>
                        <w:left w:val="none" w:sz="0" w:space="0" w:color="auto"/>
                        <w:bottom w:val="none" w:sz="0" w:space="0" w:color="auto"/>
                        <w:right w:val="none" w:sz="0" w:space="0" w:color="auto"/>
                      </w:divBdr>
                    </w:div>
                  </w:divsChild>
                </w:div>
                <w:div w:id="1219173051">
                  <w:marLeft w:val="0"/>
                  <w:marRight w:val="0"/>
                  <w:marTop w:val="0"/>
                  <w:marBottom w:val="0"/>
                  <w:divBdr>
                    <w:top w:val="none" w:sz="0" w:space="0" w:color="auto"/>
                    <w:left w:val="none" w:sz="0" w:space="0" w:color="auto"/>
                    <w:bottom w:val="none" w:sz="0" w:space="0" w:color="auto"/>
                    <w:right w:val="none" w:sz="0" w:space="0" w:color="auto"/>
                  </w:divBdr>
                  <w:divsChild>
                    <w:div w:id="2017725419">
                      <w:marLeft w:val="0"/>
                      <w:marRight w:val="0"/>
                      <w:marTop w:val="0"/>
                      <w:marBottom w:val="0"/>
                      <w:divBdr>
                        <w:top w:val="none" w:sz="0" w:space="0" w:color="auto"/>
                        <w:left w:val="none" w:sz="0" w:space="0" w:color="auto"/>
                        <w:bottom w:val="none" w:sz="0" w:space="0" w:color="auto"/>
                        <w:right w:val="none" w:sz="0" w:space="0" w:color="auto"/>
                      </w:divBdr>
                    </w:div>
                  </w:divsChild>
                </w:div>
                <w:div w:id="1274284922">
                  <w:marLeft w:val="0"/>
                  <w:marRight w:val="0"/>
                  <w:marTop w:val="0"/>
                  <w:marBottom w:val="0"/>
                  <w:divBdr>
                    <w:top w:val="none" w:sz="0" w:space="0" w:color="auto"/>
                    <w:left w:val="none" w:sz="0" w:space="0" w:color="auto"/>
                    <w:bottom w:val="none" w:sz="0" w:space="0" w:color="auto"/>
                    <w:right w:val="none" w:sz="0" w:space="0" w:color="auto"/>
                  </w:divBdr>
                  <w:divsChild>
                    <w:div w:id="919098879">
                      <w:marLeft w:val="0"/>
                      <w:marRight w:val="0"/>
                      <w:marTop w:val="0"/>
                      <w:marBottom w:val="0"/>
                      <w:divBdr>
                        <w:top w:val="none" w:sz="0" w:space="0" w:color="auto"/>
                        <w:left w:val="none" w:sz="0" w:space="0" w:color="auto"/>
                        <w:bottom w:val="none" w:sz="0" w:space="0" w:color="auto"/>
                        <w:right w:val="none" w:sz="0" w:space="0" w:color="auto"/>
                      </w:divBdr>
                    </w:div>
                  </w:divsChild>
                </w:div>
                <w:div w:id="1299647285">
                  <w:marLeft w:val="0"/>
                  <w:marRight w:val="0"/>
                  <w:marTop w:val="0"/>
                  <w:marBottom w:val="0"/>
                  <w:divBdr>
                    <w:top w:val="none" w:sz="0" w:space="0" w:color="auto"/>
                    <w:left w:val="none" w:sz="0" w:space="0" w:color="auto"/>
                    <w:bottom w:val="none" w:sz="0" w:space="0" w:color="auto"/>
                    <w:right w:val="none" w:sz="0" w:space="0" w:color="auto"/>
                  </w:divBdr>
                  <w:divsChild>
                    <w:div w:id="826677128">
                      <w:marLeft w:val="0"/>
                      <w:marRight w:val="0"/>
                      <w:marTop w:val="0"/>
                      <w:marBottom w:val="0"/>
                      <w:divBdr>
                        <w:top w:val="none" w:sz="0" w:space="0" w:color="auto"/>
                        <w:left w:val="none" w:sz="0" w:space="0" w:color="auto"/>
                        <w:bottom w:val="none" w:sz="0" w:space="0" w:color="auto"/>
                        <w:right w:val="none" w:sz="0" w:space="0" w:color="auto"/>
                      </w:divBdr>
                    </w:div>
                  </w:divsChild>
                </w:div>
                <w:div w:id="1380931205">
                  <w:marLeft w:val="0"/>
                  <w:marRight w:val="0"/>
                  <w:marTop w:val="0"/>
                  <w:marBottom w:val="0"/>
                  <w:divBdr>
                    <w:top w:val="none" w:sz="0" w:space="0" w:color="auto"/>
                    <w:left w:val="none" w:sz="0" w:space="0" w:color="auto"/>
                    <w:bottom w:val="none" w:sz="0" w:space="0" w:color="auto"/>
                    <w:right w:val="none" w:sz="0" w:space="0" w:color="auto"/>
                  </w:divBdr>
                  <w:divsChild>
                    <w:div w:id="2049452674">
                      <w:marLeft w:val="0"/>
                      <w:marRight w:val="0"/>
                      <w:marTop w:val="0"/>
                      <w:marBottom w:val="0"/>
                      <w:divBdr>
                        <w:top w:val="none" w:sz="0" w:space="0" w:color="auto"/>
                        <w:left w:val="none" w:sz="0" w:space="0" w:color="auto"/>
                        <w:bottom w:val="none" w:sz="0" w:space="0" w:color="auto"/>
                        <w:right w:val="none" w:sz="0" w:space="0" w:color="auto"/>
                      </w:divBdr>
                    </w:div>
                  </w:divsChild>
                </w:div>
                <w:div w:id="1383141595">
                  <w:marLeft w:val="0"/>
                  <w:marRight w:val="0"/>
                  <w:marTop w:val="0"/>
                  <w:marBottom w:val="0"/>
                  <w:divBdr>
                    <w:top w:val="none" w:sz="0" w:space="0" w:color="auto"/>
                    <w:left w:val="none" w:sz="0" w:space="0" w:color="auto"/>
                    <w:bottom w:val="none" w:sz="0" w:space="0" w:color="auto"/>
                    <w:right w:val="none" w:sz="0" w:space="0" w:color="auto"/>
                  </w:divBdr>
                  <w:divsChild>
                    <w:div w:id="1516378202">
                      <w:marLeft w:val="0"/>
                      <w:marRight w:val="0"/>
                      <w:marTop w:val="0"/>
                      <w:marBottom w:val="0"/>
                      <w:divBdr>
                        <w:top w:val="none" w:sz="0" w:space="0" w:color="auto"/>
                        <w:left w:val="none" w:sz="0" w:space="0" w:color="auto"/>
                        <w:bottom w:val="none" w:sz="0" w:space="0" w:color="auto"/>
                        <w:right w:val="none" w:sz="0" w:space="0" w:color="auto"/>
                      </w:divBdr>
                    </w:div>
                  </w:divsChild>
                </w:div>
                <w:div w:id="1383283135">
                  <w:marLeft w:val="0"/>
                  <w:marRight w:val="0"/>
                  <w:marTop w:val="0"/>
                  <w:marBottom w:val="0"/>
                  <w:divBdr>
                    <w:top w:val="none" w:sz="0" w:space="0" w:color="auto"/>
                    <w:left w:val="none" w:sz="0" w:space="0" w:color="auto"/>
                    <w:bottom w:val="none" w:sz="0" w:space="0" w:color="auto"/>
                    <w:right w:val="none" w:sz="0" w:space="0" w:color="auto"/>
                  </w:divBdr>
                  <w:divsChild>
                    <w:div w:id="2143183948">
                      <w:marLeft w:val="0"/>
                      <w:marRight w:val="0"/>
                      <w:marTop w:val="0"/>
                      <w:marBottom w:val="0"/>
                      <w:divBdr>
                        <w:top w:val="none" w:sz="0" w:space="0" w:color="auto"/>
                        <w:left w:val="none" w:sz="0" w:space="0" w:color="auto"/>
                        <w:bottom w:val="none" w:sz="0" w:space="0" w:color="auto"/>
                        <w:right w:val="none" w:sz="0" w:space="0" w:color="auto"/>
                      </w:divBdr>
                    </w:div>
                  </w:divsChild>
                </w:div>
                <w:div w:id="1470898045">
                  <w:marLeft w:val="0"/>
                  <w:marRight w:val="0"/>
                  <w:marTop w:val="0"/>
                  <w:marBottom w:val="0"/>
                  <w:divBdr>
                    <w:top w:val="none" w:sz="0" w:space="0" w:color="auto"/>
                    <w:left w:val="none" w:sz="0" w:space="0" w:color="auto"/>
                    <w:bottom w:val="none" w:sz="0" w:space="0" w:color="auto"/>
                    <w:right w:val="none" w:sz="0" w:space="0" w:color="auto"/>
                  </w:divBdr>
                  <w:divsChild>
                    <w:div w:id="362748635">
                      <w:marLeft w:val="0"/>
                      <w:marRight w:val="0"/>
                      <w:marTop w:val="0"/>
                      <w:marBottom w:val="0"/>
                      <w:divBdr>
                        <w:top w:val="none" w:sz="0" w:space="0" w:color="auto"/>
                        <w:left w:val="none" w:sz="0" w:space="0" w:color="auto"/>
                        <w:bottom w:val="none" w:sz="0" w:space="0" w:color="auto"/>
                        <w:right w:val="none" w:sz="0" w:space="0" w:color="auto"/>
                      </w:divBdr>
                    </w:div>
                  </w:divsChild>
                </w:div>
                <w:div w:id="1484396419">
                  <w:marLeft w:val="0"/>
                  <w:marRight w:val="0"/>
                  <w:marTop w:val="0"/>
                  <w:marBottom w:val="0"/>
                  <w:divBdr>
                    <w:top w:val="none" w:sz="0" w:space="0" w:color="auto"/>
                    <w:left w:val="none" w:sz="0" w:space="0" w:color="auto"/>
                    <w:bottom w:val="none" w:sz="0" w:space="0" w:color="auto"/>
                    <w:right w:val="none" w:sz="0" w:space="0" w:color="auto"/>
                  </w:divBdr>
                  <w:divsChild>
                    <w:div w:id="802962125">
                      <w:marLeft w:val="0"/>
                      <w:marRight w:val="0"/>
                      <w:marTop w:val="0"/>
                      <w:marBottom w:val="0"/>
                      <w:divBdr>
                        <w:top w:val="none" w:sz="0" w:space="0" w:color="auto"/>
                        <w:left w:val="none" w:sz="0" w:space="0" w:color="auto"/>
                        <w:bottom w:val="none" w:sz="0" w:space="0" w:color="auto"/>
                        <w:right w:val="none" w:sz="0" w:space="0" w:color="auto"/>
                      </w:divBdr>
                    </w:div>
                  </w:divsChild>
                </w:div>
                <w:div w:id="1510018936">
                  <w:marLeft w:val="0"/>
                  <w:marRight w:val="0"/>
                  <w:marTop w:val="0"/>
                  <w:marBottom w:val="0"/>
                  <w:divBdr>
                    <w:top w:val="none" w:sz="0" w:space="0" w:color="auto"/>
                    <w:left w:val="none" w:sz="0" w:space="0" w:color="auto"/>
                    <w:bottom w:val="none" w:sz="0" w:space="0" w:color="auto"/>
                    <w:right w:val="none" w:sz="0" w:space="0" w:color="auto"/>
                  </w:divBdr>
                  <w:divsChild>
                    <w:div w:id="1214972787">
                      <w:marLeft w:val="0"/>
                      <w:marRight w:val="0"/>
                      <w:marTop w:val="0"/>
                      <w:marBottom w:val="0"/>
                      <w:divBdr>
                        <w:top w:val="none" w:sz="0" w:space="0" w:color="auto"/>
                        <w:left w:val="none" w:sz="0" w:space="0" w:color="auto"/>
                        <w:bottom w:val="none" w:sz="0" w:space="0" w:color="auto"/>
                        <w:right w:val="none" w:sz="0" w:space="0" w:color="auto"/>
                      </w:divBdr>
                    </w:div>
                  </w:divsChild>
                </w:div>
                <w:div w:id="1514221241">
                  <w:marLeft w:val="0"/>
                  <w:marRight w:val="0"/>
                  <w:marTop w:val="0"/>
                  <w:marBottom w:val="0"/>
                  <w:divBdr>
                    <w:top w:val="none" w:sz="0" w:space="0" w:color="auto"/>
                    <w:left w:val="none" w:sz="0" w:space="0" w:color="auto"/>
                    <w:bottom w:val="none" w:sz="0" w:space="0" w:color="auto"/>
                    <w:right w:val="none" w:sz="0" w:space="0" w:color="auto"/>
                  </w:divBdr>
                  <w:divsChild>
                    <w:div w:id="1744529274">
                      <w:marLeft w:val="0"/>
                      <w:marRight w:val="0"/>
                      <w:marTop w:val="0"/>
                      <w:marBottom w:val="0"/>
                      <w:divBdr>
                        <w:top w:val="none" w:sz="0" w:space="0" w:color="auto"/>
                        <w:left w:val="none" w:sz="0" w:space="0" w:color="auto"/>
                        <w:bottom w:val="none" w:sz="0" w:space="0" w:color="auto"/>
                        <w:right w:val="none" w:sz="0" w:space="0" w:color="auto"/>
                      </w:divBdr>
                    </w:div>
                  </w:divsChild>
                </w:div>
                <w:div w:id="1527327427">
                  <w:marLeft w:val="0"/>
                  <w:marRight w:val="0"/>
                  <w:marTop w:val="0"/>
                  <w:marBottom w:val="0"/>
                  <w:divBdr>
                    <w:top w:val="none" w:sz="0" w:space="0" w:color="auto"/>
                    <w:left w:val="none" w:sz="0" w:space="0" w:color="auto"/>
                    <w:bottom w:val="none" w:sz="0" w:space="0" w:color="auto"/>
                    <w:right w:val="none" w:sz="0" w:space="0" w:color="auto"/>
                  </w:divBdr>
                  <w:divsChild>
                    <w:div w:id="1368136655">
                      <w:marLeft w:val="0"/>
                      <w:marRight w:val="0"/>
                      <w:marTop w:val="0"/>
                      <w:marBottom w:val="0"/>
                      <w:divBdr>
                        <w:top w:val="none" w:sz="0" w:space="0" w:color="auto"/>
                        <w:left w:val="none" w:sz="0" w:space="0" w:color="auto"/>
                        <w:bottom w:val="none" w:sz="0" w:space="0" w:color="auto"/>
                        <w:right w:val="none" w:sz="0" w:space="0" w:color="auto"/>
                      </w:divBdr>
                    </w:div>
                  </w:divsChild>
                </w:div>
                <w:div w:id="1528178750">
                  <w:marLeft w:val="0"/>
                  <w:marRight w:val="0"/>
                  <w:marTop w:val="0"/>
                  <w:marBottom w:val="0"/>
                  <w:divBdr>
                    <w:top w:val="none" w:sz="0" w:space="0" w:color="auto"/>
                    <w:left w:val="none" w:sz="0" w:space="0" w:color="auto"/>
                    <w:bottom w:val="none" w:sz="0" w:space="0" w:color="auto"/>
                    <w:right w:val="none" w:sz="0" w:space="0" w:color="auto"/>
                  </w:divBdr>
                  <w:divsChild>
                    <w:div w:id="1985355233">
                      <w:marLeft w:val="0"/>
                      <w:marRight w:val="0"/>
                      <w:marTop w:val="0"/>
                      <w:marBottom w:val="0"/>
                      <w:divBdr>
                        <w:top w:val="none" w:sz="0" w:space="0" w:color="auto"/>
                        <w:left w:val="none" w:sz="0" w:space="0" w:color="auto"/>
                        <w:bottom w:val="none" w:sz="0" w:space="0" w:color="auto"/>
                        <w:right w:val="none" w:sz="0" w:space="0" w:color="auto"/>
                      </w:divBdr>
                    </w:div>
                  </w:divsChild>
                </w:div>
                <w:div w:id="1545407737">
                  <w:marLeft w:val="0"/>
                  <w:marRight w:val="0"/>
                  <w:marTop w:val="0"/>
                  <w:marBottom w:val="0"/>
                  <w:divBdr>
                    <w:top w:val="none" w:sz="0" w:space="0" w:color="auto"/>
                    <w:left w:val="none" w:sz="0" w:space="0" w:color="auto"/>
                    <w:bottom w:val="none" w:sz="0" w:space="0" w:color="auto"/>
                    <w:right w:val="none" w:sz="0" w:space="0" w:color="auto"/>
                  </w:divBdr>
                  <w:divsChild>
                    <w:div w:id="404452933">
                      <w:marLeft w:val="0"/>
                      <w:marRight w:val="0"/>
                      <w:marTop w:val="0"/>
                      <w:marBottom w:val="0"/>
                      <w:divBdr>
                        <w:top w:val="none" w:sz="0" w:space="0" w:color="auto"/>
                        <w:left w:val="none" w:sz="0" w:space="0" w:color="auto"/>
                        <w:bottom w:val="none" w:sz="0" w:space="0" w:color="auto"/>
                        <w:right w:val="none" w:sz="0" w:space="0" w:color="auto"/>
                      </w:divBdr>
                    </w:div>
                  </w:divsChild>
                </w:div>
                <w:div w:id="1545874271">
                  <w:marLeft w:val="0"/>
                  <w:marRight w:val="0"/>
                  <w:marTop w:val="0"/>
                  <w:marBottom w:val="0"/>
                  <w:divBdr>
                    <w:top w:val="none" w:sz="0" w:space="0" w:color="auto"/>
                    <w:left w:val="none" w:sz="0" w:space="0" w:color="auto"/>
                    <w:bottom w:val="none" w:sz="0" w:space="0" w:color="auto"/>
                    <w:right w:val="none" w:sz="0" w:space="0" w:color="auto"/>
                  </w:divBdr>
                  <w:divsChild>
                    <w:div w:id="1174999407">
                      <w:marLeft w:val="0"/>
                      <w:marRight w:val="0"/>
                      <w:marTop w:val="0"/>
                      <w:marBottom w:val="0"/>
                      <w:divBdr>
                        <w:top w:val="none" w:sz="0" w:space="0" w:color="auto"/>
                        <w:left w:val="none" w:sz="0" w:space="0" w:color="auto"/>
                        <w:bottom w:val="none" w:sz="0" w:space="0" w:color="auto"/>
                        <w:right w:val="none" w:sz="0" w:space="0" w:color="auto"/>
                      </w:divBdr>
                    </w:div>
                  </w:divsChild>
                </w:div>
                <w:div w:id="1552423968">
                  <w:marLeft w:val="0"/>
                  <w:marRight w:val="0"/>
                  <w:marTop w:val="0"/>
                  <w:marBottom w:val="0"/>
                  <w:divBdr>
                    <w:top w:val="none" w:sz="0" w:space="0" w:color="auto"/>
                    <w:left w:val="none" w:sz="0" w:space="0" w:color="auto"/>
                    <w:bottom w:val="none" w:sz="0" w:space="0" w:color="auto"/>
                    <w:right w:val="none" w:sz="0" w:space="0" w:color="auto"/>
                  </w:divBdr>
                  <w:divsChild>
                    <w:div w:id="1061757596">
                      <w:marLeft w:val="0"/>
                      <w:marRight w:val="0"/>
                      <w:marTop w:val="0"/>
                      <w:marBottom w:val="0"/>
                      <w:divBdr>
                        <w:top w:val="none" w:sz="0" w:space="0" w:color="auto"/>
                        <w:left w:val="none" w:sz="0" w:space="0" w:color="auto"/>
                        <w:bottom w:val="none" w:sz="0" w:space="0" w:color="auto"/>
                        <w:right w:val="none" w:sz="0" w:space="0" w:color="auto"/>
                      </w:divBdr>
                    </w:div>
                  </w:divsChild>
                </w:div>
                <w:div w:id="1608152088">
                  <w:marLeft w:val="0"/>
                  <w:marRight w:val="0"/>
                  <w:marTop w:val="0"/>
                  <w:marBottom w:val="0"/>
                  <w:divBdr>
                    <w:top w:val="none" w:sz="0" w:space="0" w:color="auto"/>
                    <w:left w:val="none" w:sz="0" w:space="0" w:color="auto"/>
                    <w:bottom w:val="none" w:sz="0" w:space="0" w:color="auto"/>
                    <w:right w:val="none" w:sz="0" w:space="0" w:color="auto"/>
                  </w:divBdr>
                  <w:divsChild>
                    <w:div w:id="1105880957">
                      <w:marLeft w:val="0"/>
                      <w:marRight w:val="0"/>
                      <w:marTop w:val="0"/>
                      <w:marBottom w:val="0"/>
                      <w:divBdr>
                        <w:top w:val="none" w:sz="0" w:space="0" w:color="auto"/>
                        <w:left w:val="none" w:sz="0" w:space="0" w:color="auto"/>
                        <w:bottom w:val="none" w:sz="0" w:space="0" w:color="auto"/>
                        <w:right w:val="none" w:sz="0" w:space="0" w:color="auto"/>
                      </w:divBdr>
                    </w:div>
                  </w:divsChild>
                </w:div>
                <w:div w:id="1650285342">
                  <w:marLeft w:val="0"/>
                  <w:marRight w:val="0"/>
                  <w:marTop w:val="0"/>
                  <w:marBottom w:val="0"/>
                  <w:divBdr>
                    <w:top w:val="none" w:sz="0" w:space="0" w:color="auto"/>
                    <w:left w:val="none" w:sz="0" w:space="0" w:color="auto"/>
                    <w:bottom w:val="none" w:sz="0" w:space="0" w:color="auto"/>
                    <w:right w:val="none" w:sz="0" w:space="0" w:color="auto"/>
                  </w:divBdr>
                  <w:divsChild>
                    <w:div w:id="2085251255">
                      <w:marLeft w:val="0"/>
                      <w:marRight w:val="0"/>
                      <w:marTop w:val="0"/>
                      <w:marBottom w:val="0"/>
                      <w:divBdr>
                        <w:top w:val="none" w:sz="0" w:space="0" w:color="auto"/>
                        <w:left w:val="none" w:sz="0" w:space="0" w:color="auto"/>
                        <w:bottom w:val="none" w:sz="0" w:space="0" w:color="auto"/>
                        <w:right w:val="none" w:sz="0" w:space="0" w:color="auto"/>
                      </w:divBdr>
                    </w:div>
                  </w:divsChild>
                </w:div>
                <w:div w:id="1652716311">
                  <w:marLeft w:val="0"/>
                  <w:marRight w:val="0"/>
                  <w:marTop w:val="0"/>
                  <w:marBottom w:val="0"/>
                  <w:divBdr>
                    <w:top w:val="none" w:sz="0" w:space="0" w:color="auto"/>
                    <w:left w:val="none" w:sz="0" w:space="0" w:color="auto"/>
                    <w:bottom w:val="none" w:sz="0" w:space="0" w:color="auto"/>
                    <w:right w:val="none" w:sz="0" w:space="0" w:color="auto"/>
                  </w:divBdr>
                  <w:divsChild>
                    <w:div w:id="1023097909">
                      <w:marLeft w:val="0"/>
                      <w:marRight w:val="0"/>
                      <w:marTop w:val="0"/>
                      <w:marBottom w:val="0"/>
                      <w:divBdr>
                        <w:top w:val="none" w:sz="0" w:space="0" w:color="auto"/>
                        <w:left w:val="none" w:sz="0" w:space="0" w:color="auto"/>
                        <w:bottom w:val="none" w:sz="0" w:space="0" w:color="auto"/>
                        <w:right w:val="none" w:sz="0" w:space="0" w:color="auto"/>
                      </w:divBdr>
                    </w:div>
                  </w:divsChild>
                </w:div>
                <w:div w:id="1720090443">
                  <w:marLeft w:val="0"/>
                  <w:marRight w:val="0"/>
                  <w:marTop w:val="0"/>
                  <w:marBottom w:val="0"/>
                  <w:divBdr>
                    <w:top w:val="none" w:sz="0" w:space="0" w:color="auto"/>
                    <w:left w:val="none" w:sz="0" w:space="0" w:color="auto"/>
                    <w:bottom w:val="none" w:sz="0" w:space="0" w:color="auto"/>
                    <w:right w:val="none" w:sz="0" w:space="0" w:color="auto"/>
                  </w:divBdr>
                  <w:divsChild>
                    <w:div w:id="1288052000">
                      <w:marLeft w:val="0"/>
                      <w:marRight w:val="0"/>
                      <w:marTop w:val="0"/>
                      <w:marBottom w:val="0"/>
                      <w:divBdr>
                        <w:top w:val="none" w:sz="0" w:space="0" w:color="auto"/>
                        <w:left w:val="none" w:sz="0" w:space="0" w:color="auto"/>
                        <w:bottom w:val="none" w:sz="0" w:space="0" w:color="auto"/>
                        <w:right w:val="none" w:sz="0" w:space="0" w:color="auto"/>
                      </w:divBdr>
                    </w:div>
                  </w:divsChild>
                </w:div>
                <w:div w:id="1721976080">
                  <w:marLeft w:val="0"/>
                  <w:marRight w:val="0"/>
                  <w:marTop w:val="0"/>
                  <w:marBottom w:val="0"/>
                  <w:divBdr>
                    <w:top w:val="none" w:sz="0" w:space="0" w:color="auto"/>
                    <w:left w:val="none" w:sz="0" w:space="0" w:color="auto"/>
                    <w:bottom w:val="none" w:sz="0" w:space="0" w:color="auto"/>
                    <w:right w:val="none" w:sz="0" w:space="0" w:color="auto"/>
                  </w:divBdr>
                  <w:divsChild>
                    <w:div w:id="1561941361">
                      <w:marLeft w:val="0"/>
                      <w:marRight w:val="0"/>
                      <w:marTop w:val="0"/>
                      <w:marBottom w:val="0"/>
                      <w:divBdr>
                        <w:top w:val="none" w:sz="0" w:space="0" w:color="auto"/>
                        <w:left w:val="none" w:sz="0" w:space="0" w:color="auto"/>
                        <w:bottom w:val="none" w:sz="0" w:space="0" w:color="auto"/>
                        <w:right w:val="none" w:sz="0" w:space="0" w:color="auto"/>
                      </w:divBdr>
                    </w:div>
                  </w:divsChild>
                </w:div>
                <w:div w:id="1769808259">
                  <w:marLeft w:val="0"/>
                  <w:marRight w:val="0"/>
                  <w:marTop w:val="0"/>
                  <w:marBottom w:val="0"/>
                  <w:divBdr>
                    <w:top w:val="none" w:sz="0" w:space="0" w:color="auto"/>
                    <w:left w:val="none" w:sz="0" w:space="0" w:color="auto"/>
                    <w:bottom w:val="none" w:sz="0" w:space="0" w:color="auto"/>
                    <w:right w:val="none" w:sz="0" w:space="0" w:color="auto"/>
                  </w:divBdr>
                  <w:divsChild>
                    <w:div w:id="1859852509">
                      <w:marLeft w:val="0"/>
                      <w:marRight w:val="0"/>
                      <w:marTop w:val="0"/>
                      <w:marBottom w:val="0"/>
                      <w:divBdr>
                        <w:top w:val="none" w:sz="0" w:space="0" w:color="auto"/>
                        <w:left w:val="none" w:sz="0" w:space="0" w:color="auto"/>
                        <w:bottom w:val="none" w:sz="0" w:space="0" w:color="auto"/>
                        <w:right w:val="none" w:sz="0" w:space="0" w:color="auto"/>
                      </w:divBdr>
                    </w:div>
                  </w:divsChild>
                </w:div>
                <w:div w:id="1814180660">
                  <w:marLeft w:val="0"/>
                  <w:marRight w:val="0"/>
                  <w:marTop w:val="0"/>
                  <w:marBottom w:val="0"/>
                  <w:divBdr>
                    <w:top w:val="none" w:sz="0" w:space="0" w:color="auto"/>
                    <w:left w:val="none" w:sz="0" w:space="0" w:color="auto"/>
                    <w:bottom w:val="none" w:sz="0" w:space="0" w:color="auto"/>
                    <w:right w:val="none" w:sz="0" w:space="0" w:color="auto"/>
                  </w:divBdr>
                  <w:divsChild>
                    <w:div w:id="942617276">
                      <w:marLeft w:val="0"/>
                      <w:marRight w:val="0"/>
                      <w:marTop w:val="0"/>
                      <w:marBottom w:val="0"/>
                      <w:divBdr>
                        <w:top w:val="none" w:sz="0" w:space="0" w:color="auto"/>
                        <w:left w:val="none" w:sz="0" w:space="0" w:color="auto"/>
                        <w:bottom w:val="none" w:sz="0" w:space="0" w:color="auto"/>
                        <w:right w:val="none" w:sz="0" w:space="0" w:color="auto"/>
                      </w:divBdr>
                    </w:div>
                  </w:divsChild>
                </w:div>
                <w:div w:id="1817841902">
                  <w:marLeft w:val="0"/>
                  <w:marRight w:val="0"/>
                  <w:marTop w:val="0"/>
                  <w:marBottom w:val="0"/>
                  <w:divBdr>
                    <w:top w:val="none" w:sz="0" w:space="0" w:color="auto"/>
                    <w:left w:val="none" w:sz="0" w:space="0" w:color="auto"/>
                    <w:bottom w:val="none" w:sz="0" w:space="0" w:color="auto"/>
                    <w:right w:val="none" w:sz="0" w:space="0" w:color="auto"/>
                  </w:divBdr>
                  <w:divsChild>
                    <w:div w:id="1917594720">
                      <w:marLeft w:val="0"/>
                      <w:marRight w:val="0"/>
                      <w:marTop w:val="0"/>
                      <w:marBottom w:val="0"/>
                      <w:divBdr>
                        <w:top w:val="none" w:sz="0" w:space="0" w:color="auto"/>
                        <w:left w:val="none" w:sz="0" w:space="0" w:color="auto"/>
                        <w:bottom w:val="none" w:sz="0" w:space="0" w:color="auto"/>
                        <w:right w:val="none" w:sz="0" w:space="0" w:color="auto"/>
                      </w:divBdr>
                    </w:div>
                  </w:divsChild>
                </w:div>
                <w:div w:id="1817988764">
                  <w:marLeft w:val="0"/>
                  <w:marRight w:val="0"/>
                  <w:marTop w:val="0"/>
                  <w:marBottom w:val="0"/>
                  <w:divBdr>
                    <w:top w:val="none" w:sz="0" w:space="0" w:color="auto"/>
                    <w:left w:val="none" w:sz="0" w:space="0" w:color="auto"/>
                    <w:bottom w:val="none" w:sz="0" w:space="0" w:color="auto"/>
                    <w:right w:val="none" w:sz="0" w:space="0" w:color="auto"/>
                  </w:divBdr>
                  <w:divsChild>
                    <w:div w:id="1980305932">
                      <w:marLeft w:val="0"/>
                      <w:marRight w:val="0"/>
                      <w:marTop w:val="0"/>
                      <w:marBottom w:val="0"/>
                      <w:divBdr>
                        <w:top w:val="none" w:sz="0" w:space="0" w:color="auto"/>
                        <w:left w:val="none" w:sz="0" w:space="0" w:color="auto"/>
                        <w:bottom w:val="none" w:sz="0" w:space="0" w:color="auto"/>
                        <w:right w:val="none" w:sz="0" w:space="0" w:color="auto"/>
                      </w:divBdr>
                    </w:div>
                  </w:divsChild>
                </w:div>
                <w:div w:id="1818262967">
                  <w:marLeft w:val="0"/>
                  <w:marRight w:val="0"/>
                  <w:marTop w:val="0"/>
                  <w:marBottom w:val="0"/>
                  <w:divBdr>
                    <w:top w:val="none" w:sz="0" w:space="0" w:color="auto"/>
                    <w:left w:val="none" w:sz="0" w:space="0" w:color="auto"/>
                    <w:bottom w:val="none" w:sz="0" w:space="0" w:color="auto"/>
                    <w:right w:val="none" w:sz="0" w:space="0" w:color="auto"/>
                  </w:divBdr>
                  <w:divsChild>
                    <w:div w:id="1383289935">
                      <w:marLeft w:val="0"/>
                      <w:marRight w:val="0"/>
                      <w:marTop w:val="0"/>
                      <w:marBottom w:val="0"/>
                      <w:divBdr>
                        <w:top w:val="none" w:sz="0" w:space="0" w:color="auto"/>
                        <w:left w:val="none" w:sz="0" w:space="0" w:color="auto"/>
                        <w:bottom w:val="none" w:sz="0" w:space="0" w:color="auto"/>
                        <w:right w:val="none" w:sz="0" w:space="0" w:color="auto"/>
                      </w:divBdr>
                    </w:div>
                  </w:divsChild>
                </w:div>
                <w:div w:id="1834681683">
                  <w:marLeft w:val="0"/>
                  <w:marRight w:val="0"/>
                  <w:marTop w:val="0"/>
                  <w:marBottom w:val="0"/>
                  <w:divBdr>
                    <w:top w:val="none" w:sz="0" w:space="0" w:color="auto"/>
                    <w:left w:val="none" w:sz="0" w:space="0" w:color="auto"/>
                    <w:bottom w:val="none" w:sz="0" w:space="0" w:color="auto"/>
                    <w:right w:val="none" w:sz="0" w:space="0" w:color="auto"/>
                  </w:divBdr>
                  <w:divsChild>
                    <w:div w:id="1376926814">
                      <w:marLeft w:val="0"/>
                      <w:marRight w:val="0"/>
                      <w:marTop w:val="0"/>
                      <w:marBottom w:val="0"/>
                      <w:divBdr>
                        <w:top w:val="none" w:sz="0" w:space="0" w:color="auto"/>
                        <w:left w:val="none" w:sz="0" w:space="0" w:color="auto"/>
                        <w:bottom w:val="none" w:sz="0" w:space="0" w:color="auto"/>
                        <w:right w:val="none" w:sz="0" w:space="0" w:color="auto"/>
                      </w:divBdr>
                    </w:div>
                  </w:divsChild>
                </w:div>
                <w:div w:id="1879194636">
                  <w:marLeft w:val="0"/>
                  <w:marRight w:val="0"/>
                  <w:marTop w:val="0"/>
                  <w:marBottom w:val="0"/>
                  <w:divBdr>
                    <w:top w:val="none" w:sz="0" w:space="0" w:color="auto"/>
                    <w:left w:val="none" w:sz="0" w:space="0" w:color="auto"/>
                    <w:bottom w:val="none" w:sz="0" w:space="0" w:color="auto"/>
                    <w:right w:val="none" w:sz="0" w:space="0" w:color="auto"/>
                  </w:divBdr>
                  <w:divsChild>
                    <w:div w:id="845905198">
                      <w:marLeft w:val="0"/>
                      <w:marRight w:val="0"/>
                      <w:marTop w:val="0"/>
                      <w:marBottom w:val="0"/>
                      <w:divBdr>
                        <w:top w:val="none" w:sz="0" w:space="0" w:color="auto"/>
                        <w:left w:val="none" w:sz="0" w:space="0" w:color="auto"/>
                        <w:bottom w:val="none" w:sz="0" w:space="0" w:color="auto"/>
                        <w:right w:val="none" w:sz="0" w:space="0" w:color="auto"/>
                      </w:divBdr>
                    </w:div>
                  </w:divsChild>
                </w:div>
                <w:div w:id="1893073557">
                  <w:marLeft w:val="0"/>
                  <w:marRight w:val="0"/>
                  <w:marTop w:val="0"/>
                  <w:marBottom w:val="0"/>
                  <w:divBdr>
                    <w:top w:val="none" w:sz="0" w:space="0" w:color="auto"/>
                    <w:left w:val="none" w:sz="0" w:space="0" w:color="auto"/>
                    <w:bottom w:val="none" w:sz="0" w:space="0" w:color="auto"/>
                    <w:right w:val="none" w:sz="0" w:space="0" w:color="auto"/>
                  </w:divBdr>
                  <w:divsChild>
                    <w:div w:id="321274671">
                      <w:marLeft w:val="0"/>
                      <w:marRight w:val="0"/>
                      <w:marTop w:val="0"/>
                      <w:marBottom w:val="0"/>
                      <w:divBdr>
                        <w:top w:val="none" w:sz="0" w:space="0" w:color="auto"/>
                        <w:left w:val="none" w:sz="0" w:space="0" w:color="auto"/>
                        <w:bottom w:val="none" w:sz="0" w:space="0" w:color="auto"/>
                        <w:right w:val="none" w:sz="0" w:space="0" w:color="auto"/>
                      </w:divBdr>
                    </w:div>
                  </w:divsChild>
                </w:div>
                <w:div w:id="1899170114">
                  <w:marLeft w:val="0"/>
                  <w:marRight w:val="0"/>
                  <w:marTop w:val="0"/>
                  <w:marBottom w:val="0"/>
                  <w:divBdr>
                    <w:top w:val="none" w:sz="0" w:space="0" w:color="auto"/>
                    <w:left w:val="none" w:sz="0" w:space="0" w:color="auto"/>
                    <w:bottom w:val="none" w:sz="0" w:space="0" w:color="auto"/>
                    <w:right w:val="none" w:sz="0" w:space="0" w:color="auto"/>
                  </w:divBdr>
                  <w:divsChild>
                    <w:div w:id="1284464169">
                      <w:marLeft w:val="0"/>
                      <w:marRight w:val="0"/>
                      <w:marTop w:val="0"/>
                      <w:marBottom w:val="0"/>
                      <w:divBdr>
                        <w:top w:val="none" w:sz="0" w:space="0" w:color="auto"/>
                        <w:left w:val="none" w:sz="0" w:space="0" w:color="auto"/>
                        <w:bottom w:val="none" w:sz="0" w:space="0" w:color="auto"/>
                        <w:right w:val="none" w:sz="0" w:space="0" w:color="auto"/>
                      </w:divBdr>
                    </w:div>
                  </w:divsChild>
                </w:div>
                <w:div w:id="1936396656">
                  <w:marLeft w:val="0"/>
                  <w:marRight w:val="0"/>
                  <w:marTop w:val="0"/>
                  <w:marBottom w:val="0"/>
                  <w:divBdr>
                    <w:top w:val="none" w:sz="0" w:space="0" w:color="auto"/>
                    <w:left w:val="none" w:sz="0" w:space="0" w:color="auto"/>
                    <w:bottom w:val="none" w:sz="0" w:space="0" w:color="auto"/>
                    <w:right w:val="none" w:sz="0" w:space="0" w:color="auto"/>
                  </w:divBdr>
                  <w:divsChild>
                    <w:div w:id="1503012359">
                      <w:marLeft w:val="0"/>
                      <w:marRight w:val="0"/>
                      <w:marTop w:val="0"/>
                      <w:marBottom w:val="0"/>
                      <w:divBdr>
                        <w:top w:val="none" w:sz="0" w:space="0" w:color="auto"/>
                        <w:left w:val="none" w:sz="0" w:space="0" w:color="auto"/>
                        <w:bottom w:val="none" w:sz="0" w:space="0" w:color="auto"/>
                        <w:right w:val="none" w:sz="0" w:space="0" w:color="auto"/>
                      </w:divBdr>
                    </w:div>
                  </w:divsChild>
                </w:div>
                <w:div w:id="1941989051">
                  <w:marLeft w:val="0"/>
                  <w:marRight w:val="0"/>
                  <w:marTop w:val="0"/>
                  <w:marBottom w:val="0"/>
                  <w:divBdr>
                    <w:top w:val="none" w:sz="0" w:space="0" w:color="auto"/>
                    <w:left w:val="none" w:sz="0" w:space="0" w:color="auto"/>
                    <w:bottom w:val="none" w:sz="0" w:space="0" w:color="auto"/>
                    <w:right w:val="none" w:sz="0" w:space="0" w:color="auto"/>
                  </w:divBdr>
                  <w:divsChild>
                    <w:div w:id="102381698">
                      <w:marLeft w:val="0"/>
                      <w:marRight w:val="0"/>
                      <w:marTop w:val="0"/>
                      <w:marBottom w:val="0"/>
                      <w:divBdr>
                        <w:top w:val="none" w:sz="0" w:space="0" w:color="auto"/>
                        <w:left w:val="none" w:sz="0" w:space="0" w:color="auto"/>
                        <w:bottom w:val="none" w:sz="0" w:space="0" w:color="auto"/>
                        <w:right w:val="none" w:sz="0" w:space="0" w:color="auto"/>
                      </w:divBdr>
                    </w:div>
                  </w:divsChild>
                </w:div>
                <w:div w:id="2030837104">
                  <w:marLeft w:val="0"/>
                  <w:marRight w:val="0"/>
                  <w:marTop w:val="0"/>
                  <w:marBottom w:val="0"/>
                  <w:divBdr>
                    <w:top w:val="none" w:sz="0" w:space="0" w:color="auto"/>
                    <w:left w:val="none" w:sz="0" w:space="0" w:color="auto"/>
                    <w:bottom w:val="none" w:sz="0" w:space="0" w:color="auto"/>
                    <w:right w:val="none" w:sz="0" w:space="0" w:color="auto"/>
                  </w:divBdr>
                  <w:divsChild>
                    <w:div w:id="246885302">
                      <w:marLeft w:val="0"/>
                      <w:marRight w:val="0"/>
                      <w:marTop w:val="0"/>
                      <w:marBottom w:val="0"/>
                      <w:divBdr>
                        <w:top w:val="none" w:sz="0" w:space="0" w:color="auto"/>
                        <w:left w:val="none" w:sz="0" w:space="0" w:color="auto"/>
                        <w:bottom w:val="none" w:sz="0" w:space="0" w:color="auto"/>
                        <w:right w:val="none" w:sz="0" w:space="0" w:color="auto"/>
                      </w:divBdr>
                    </w:div>
                  </w:divsChild>
                </w:div>
                <w:div w:id="2057923899">
                  <w:marLeft w:val="0"/>
                  <w:marRight w:val="0"/>
                  <w:marTop w:val="0"/>
                  <w:marBottom w:val="0"/>
                  <w:divBdr>
                    <w:top w:val="none" w:sz="0" w:space="0" w:color="auto"/>
                    <w:left w:val="none" w:sz="0" w:space="0" w:color="auto"/>
                    <w:bottom w:val="none" w:sz="0" w:space="0" w:color="auto"/>
                    <w:right w:val="none" w:sz="0" w:space="0" w:color="auto"/>
                  </w:divBdr>
                  <w:divsChild>
                    <w:div w:id="144661600">
                      <w:marLeft w:val="0"/>
                      <w:marRight w:val="0"/>
                      <w:marTop w:val="0"/>
                      <w:marBottom w:val="0"/>
                      <w:divBdr>
                        <w:top w:val="none" w:sz="0" w:space="0" w:color="auto"/>
                        <w:left w:val="none" w:sz="0" w:space="0" w:color="auto"/>
                        <w:bottom w:val="none" w:sz="0" w:space="0" w:color="auto"/>
                        <w:right w:val="none" w:sz="0" w:space="0" w:color="auto"/>
                      </w:divBdr>
                    </w:div>
                  </w:divsChild>
                </w:div>
                <w:div w:id="2082556350">
                  <w:marLeft w:val="0"/>
                  <w:marRight w:val="0"/>
                  <w:marTop w:val="0"/>
                  <w:marBottom w:val="0"/>
                  <w:divBdr>
                    <w:top w:val="none" w:sz="0" w:space="0" w:color="auto"/>
                    <w:left w:val="none" w:sz="0" w:space="0" w:color="auto"/>
                    <w:bottom w:val="none" w:sz="0" w:space="0" w:color="auto"/>
                    <w:right w:val="none" w:sz="0" w:space="0" w:color="auto"/>
                  </w:divBdr>
                  <w:divsChild>
                    <w:div w:id="522088716">
                      <w:marLeft w:val="0"/>
                      <w:marRight w:val="0"/>
                      <w:marTop w:val="0"/>
                      <w:marBottom w:val="0"/>
                      <w:divBdr>
                        <w:top w:val="none" w:sz="0" w:space="0" w:color="auto"/>
                        <w:left w:val="none" w:sz="0" w:space="0" w:color="auto"/>
                        <w:bottom w:val="none" w:sz="0" w:space="0" w:color="auto"/>
                        <w:right w:val="none" w:sz="0" w:space="0" w:color="auto"/>
                      </w:divBdr>
                    </w:div>
                  </w:divsChild>
                </w:div>
                <w:div w:id="2085686253">
                  <w:marLeft w:val="0"/>
                  <w:marRight w:val="0"/>
                  <w:marTop w:val="0"/>
                  <w:marBottom w:val="0"/>
                  <w:divBdr>
                    <w:top w:val="none" w:sz="0" w:space="0" w:color="auto"/>
                    <w:left w:val="none" w:sz="0" w:space="0" w:color="auto"/>
                    <w:bottom w:val="none" w:sz="0" w:space="0" w:color="auto"/>
                    <w:right w:val="none" w:sz="0" w:space="0" w:color="auto"/>
                  </w:divBdr>
                  <w:divsChild>
                    <w:div w:id="18686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5446">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7550875">
      <w:bodyDiv w:val="1"/>
      <w:marLeft w:val="0"/>
      <w:marRight w:val="0"/>
      <w:marTop w:val="0"/>
      <w:marBottom w:val="0"/>
      <w:divBdr>
        <w:top w:val="none" w:sz="0" w:space="0" w:color="auto"/>
        <w:left w:val="none" w:sz="0" w:space="0" w:color="auto"/>
        <w:bottom w:val="none" w:sz="0" w:space="0" w:color="auto"/>
        <w:right w:val="none" w:sz="0" w:space="0" w:color="auto"/>
      </w:divBdr>
    </w:div>
    <w:div w:id="184250603">
      <w:bodyDiv w:val="1"/>
      <w:marLeft w:val="0"/>
      <w:marRight w:val="0"/>
      <w:marTop w:val="0"/>
      <w:marBottom w:val="0"/>
      <w:divBdr>
        <w:top w:val="none" w:sz="0" w:space="0" w:color="auto"/>
        <w:left w:val="none" w:sz="0" w:space="0" w:color="auto"/>
        <w:bottom w:val="none" w:sz="0" w:space="0" w:color="auto"/>
        <w:right w:val="none" w:sz="0" w:space="0" w:color="auto"/>
      </w:divBdr>
    </w:div>
    <w:div w:id="27152388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7834651">
      <w:bodyDiv w:val="1"/>
      <w:marLeft w:val="0"/>
      <w:marRight w:val="0"/>
      <w:marTop w:val="0"/>
      <w:marBottom w:val="0"/>
      <w:divBdr>
        <w:top w:val="none" w:sz="0" w:space="0" w:color="auto"/>
        <w:left w:val="none" w:sz="0" w:space="0" w:color="auto"/>
        <w:bottom w:val="none" w:sz="0" w:space="0" w:color="auto"/>
        <w:right w:val="none" w:sz="0" w:space="0" w:color="auto"/>
      </w:divBdr>
    </w:div>
    <w:div w:id="367343281">
      <w:bodyDiv w:val="1"/>
      <w:marLeft w:val="0"/>
      <w:marRight w:val="0"/>
      <w:marTop w:val="0"/>
      <w:marBottom w:val="0"/>
      <w:divBdr>
        <w:top w:val="none" w:sz="0" w:space="0" w:color="auto"/>
        <w:left w:val="none" w:sz="0" w:space="0" w:color="auto"/>
        <w:bottom w:val="none" w:sz="0" w:space="0" w:color="auto"/>
        <w:right w:val="none" w:sz="0" w:space="0" w:color="auto"/>
      </w:divBdr>
    </w:div>
    <w:div w:id="435829542">
      <w:bodyDiv w:val="1"/>
      <w:marLeft w:val="0"/>
      <w:marRight w:val="0"/>
      <w:marTop w:val="0"/>
      <w:marBottom w:val="0"/>
      <w:divBdr>
        <w:top w:val="none" w:sz="0" w:space="0" w:color="auto"/>
        <w:left w:val="none" w:sz="0" w:space="0" w:color="auto"/>
        <w:bottom w:val="none" w:sz="0" w:space="0" w:color="auto"/>
        <w:right w:val="none" w:sz="0" w:space="0" w:color="auto"/>
      </w:divBdr>
    </w:div>
    <w:div w:id="83068319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9679079">
      <w:bodyDiv w:val="1"/>
      <w:marLeft w:val="0"/>
      <w:marRight w:val="0"/>
      <w:marTop w:val="0"/>
      <w:marBottom w:val="0"/>
      <w:divBdr>
        <w:top w:val="none" w:sz="0" w:space="0" w:color="auto"/>
        <w:left w:val="none" w:sz="0" w:space="0" w:color="auto"/>
        <w:bottom w:val="none" w:sz="0" w:space="0" w:color="auto"/>
        <w:right w:val="none" w:sz="0" w:space="0" w:color="auto"/>
      </w:divBdr>
    </w:div>
    <w:div w:id="969941876">
      <w:bodyDiv w:val="1"/>
      <w:marLeft w:val="0"/>
      <w:marRight w:val="0"/>
      <w:marTop w:val="0"/>
      <w:marBottom w:val="0"/>
      <w:divBdr>
        <w:top w:val="none" w:sz="0" w:space="0" w:color="auto"/>
        <w:left w:val="none" w:sz="0" w:space="0" w:color="auto"/>
        <w:bottom w:val="none" w:sz="0" w:space="0" w:color="auto"/>
        <w:right w:val="none" w:sz="0" w:space="0" w:color="auto"/>
      </w:divBdr>
    </w:div>
    <w:div w:id="970748511">
      <w:bodyDiv w:val="1"/>
      <w:marLeft w:val="0"/>
      <w:marRight w:val="0"/>
      <w:marTop w:val="0"/>
      <w:marBottom w:val="0"/>
      <w:divBdr>
        <w:top w:val="none" w:sz="0" w:space="0" w:color="auto"/>
        <w:left w:val="none" w:sz="0" w:space="0" w:color="auto"/>
        <w:bottom w:val="none" w:sz="0" w:space="0" w:color="auto"/>
        <w:right w:val="none" w:sz="0" w:space="0" w:color="auto"/>
      </w:divBdr>
    </w:div>
    <w:div w:id="99865648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9829043">
      <w:bodyDiv w:val="1"/>
      <w:marLeft w:val="0"/>
      <w:marRight w:val="0"/>
      <w:marTop w:val="0"/>
      <w:marBottom w:val="0"/>
      <w:divBdr>
        <w:top w:val="none" w:sz="0" w:space="0" w:color="auto"/>
        <w:left w:val="none" w:sz="0" w:space="0" w:color="auto"/>
        <w:bottom w:val="none" w:sz="0" w:space="0" w:color="auto"/>
        <w:right w:val="none" w:sz="0" w:space="0" w:color="auto"/>
      </w:divBdr>
    </w:div>
    <w:div w:id="1356538350">
      <w:bodyDiv w:val="1"/>
      <w:marLeft w:val="0"/>
      <w:marRight w:val="0"/>
      <w:marTop w:val="0"/>
      <w:marBottom w:val="0"/>
      <w:divBdr>
        <w:top w:val="none" w:sz="0" w:space="0" w:color="auto"/>
        <w:left w:val="none" w:sz="0" w:space="0" w:color="auto"/>
        <w:bottom w:val="none" w:sz="0" w:space="0" w:color="auto"/>
        <w:right w:val="none" w:sz="0" w:space="0" w:color="auto"/>
      </w:divBdr>
      <w:divsChild>
        <w:div w:id="520435376">
          <w:marLeft w:val="0"/>
          <w:marRight w:val="0"/>
          <w:marTop w:val="0"/>
          <w:marBottom w:val="0"/>
          <w:divBdr>
            <w:top w:val="none" w:sz="0" w:space="0" w:color="auto"/>
            <w:left w:val="none" w:sz="0" w:space="0" w:color="auto"/>
            <w:bottom w:val="none" w:sz="0" w:space="0" w:color="auto"/>
            <w:right w:val="none" w:sz="0" w:space="0" w:color="auto"/>
          </w:divBdr>
        </w:div>
        <w:div w:id="1092051843">
          <w:marLeft w:val="0"/>
          <w:marRight w:val="0"/>
          <w:marTop w:val="0"/>
          <w:marBottom w:val="0"/>
          <w:divBdr>
            <w:top w:val="none" w:sz="0" w:space="0" w:color="auto"/>
            <w:left w:val="none" w:sz="0" w:space="0" w:color="auto"/>
            <w:bottom w:val="none" w:sz="0" w:space="0" w:color="auto"/>
            <w:right w:val="none" w:sz="0" w:space="0" w:color="auto"/>
          </w:divBdr>
        </w:div>
        <w:div w:id="1190752082">
          <w:marLeft w:val="0"/>
          <w:marRight w:val="0"/>
          <w:marTop w:val="0"/>
          <w:marBottom w:val="0"/>
          <w:divBdr>
            <w:top w:val="none" w:sz="0" w:space="0" w:color="auto"/>
            <w:left w:val="none" w:sz="0" w:space="0" w:color="auto"/>
            <w:bottom w:val="none" w:sz="0" w:space="0" w:color="auto"/>
            <w:right w:val="none" w:sz="0" w:space="0" w:color="auto"/>
          </w:divBdr>
          <w:divsChild>
            <w:div w:id="748767052">
              <w:marLeft w:val="-75"/>
              <w:marRight w:val="0"/>
              <w:marTop w:val="30"/>
              <w:marBottom w:val="30"/>
              <w:divBdr>
                <w:top w:val="none" w:sz="0" w:space="0" w:color="auto"/>
                <w:left w:val="none" w:sz="0" w:space="0" w:color="auto"/>
                <w:bottom w:val="none" w:sz="0" w:space="0" w:color="auto"/>
                <w:right w:val="none" w:sz="0" w:space="0" w:color="auto"/>
              </w:divBdr>
              <w:divsChild>
                <w:div w:id="3753806">
                  <w:marLeft w:val="0"/>
                  <w:marRight w:val="0"/>
                  <w:marTop w:val="0"/>
                  <w:marBottom w:val="0"/>
                  <w:divBdr>
                    <w:top w:val="none" w:sz="0" w:space="0" w:color="auto"/>
                    <w:left w:val="none" w:sz="0" w:space="0" w:color="auto"/>
                    <w:bottom w:val="none" w:sz="0" w:space="0" w:color="auto"/>
                    <w:right w:val="none" w:sz="0" w:space="0" w:color="auto"/>
                  </w:divBdr>
                  <w:divsChild>
                    <w:div w:id="1501195135">
                      <w:marLeft w:val="0"/>
                      <w:marRight w:val="0"/>
                      <w:marTop w:val="0"/>
                      <w:marBottom w:val="0"/>
                      <w:divBdr>
                        <w:top w:val="none" w:sz="0" w:space="0" w:color="auto"/>
                        <w:left w:val="none" w:sz="0" w:space="0" w:color="auto"/>
                        <w:bottom w:val="none" w:sz="0" w:space="0" w:color="auto"/>
                        <w:right w:val="none" w:sz="0" w:space="0" w:color="auto"/>
                      </w:divBdr>
                    </w:div>
                  </w:divsChild>
                </w:div>
                <w:div w:id="30959658">
                  <w:marLeft w:val="0"/>
                  <w:marRight w:val="0"/>
                  <w:marTop w:val="0"/>
                  <w:marBottom w:val="0"/>
                  <w:divBdr>
                    <w:top w:val="none" w:sz="0" w:space="0" w:color="auto"/>
                    <w:left w:val="none" w:sz="0" w:space="0" w:color="auto"/>
                    <w:bottom w:val="none" w:sz="0" w:space="0" w:color="auto"/>
                    <w:right w:val="none" w:sz="0" w:space="0" w:color="auto"/>
                  </w:divBdr>
                  <w:divsChild>
                    <w:div w:id="1634941409">
                      <w:marLeft w:val="0"/>
                      <w:marRight w:val="0"/>
                      <w:marTop w:val="0"/>
                      <w:marBottom w:val="0"/>
                      <w:divBdr>
                        <w:top w:val="none" w:sz="0" w:space="0" w:color="auto"/>
                        <w:left w:val="none" w:sz="0" w:space="0" w:color="auto"/>
                        <w:bottom w:val="none" w:sz="0" w:space="0" w:color="auto"/>
                        <w:right w:val="none" w:sz="0" w:space="0" w:color="auto"/>
                      </w:divBdr>
                    </w:div>
                  </w:divsChild>
                </w:div>
                <w:div w:id="70663850">
                  <w:marLeft w:val="0"/>
                  <w:marRight w:val="0"/>
                  <w:marTop w:val="0"/>
                  <w:marBottom w:val="0"/>
                  <w:divBdr>
                    <w:top w:val="none" w:sz="0" w:space="0" w:color="auto"/>
                    <w:left w:val="none" w:sz="0" w:space="0" w:color="auto"/>
                    <w:bottom w:val="none" w:sz="0" w:space="0" w:color="auto"/>
                    <w:right w:val="none" w:sz="0" w:space="0" w:color="auto"/>
                  </w:divBdr>
                  <w:divsChild>
                    <w:div w:id="81873275">
                      <w:marLeft w:val="0"/>
                      <w:marRight w:val="0"/>
                      <w:marTop w:val="0"/>
                      <w:marBottom w:val="0"/>
                      <w:divBdr>
                        <w:top w:val="none" w:sz="0" w:space="0" w:color="auto"/>
                        <w:left w:val="none" w:sz="0" w:space="0" w:color="auto"/>
                        <w:bottom w:val="none" w:sz="0" w:space="0" w:color="auto"/>
                        <w:right w:val="none" w:sz="0" w:space="0" w:color="auto"/>
                      </w:divBdr>
                    </w:div>
                  </w:divsChild>
                </w:div>
                <w:div w:id="73628683">
                  <w:marLeft w:val="0"/>
                  <w:marRight w:val="0"/>
                  <w:marTop w:val="0"/>
                  <w:marBottom w:val="0"/>
                  <w:divBdr>
                    <w:top w:val="none" w:sz="0" w:space="0" w:color="auto"/>
                    <w:left w:val="none" w:sz="0" w:space="0" w:color="auto"/>
                    <w:bottom w:val="none" w:sz="0" w:space="0" w:color="auto"/>
                    <w:right w:val="none" w:sz="0" w:space="0" w:color="auto"/>
                  </w:divBdr>
                  <w:divsChild>
                    <w:div w:id="1528643558">
                      <w:marLeft w:val="0"/>
                      <w:marRight w:val="0"/>
                      <w:marTop w:val="0"/>
                      <w:marBottom w:val="0"/>
                      <w:divBdr>
                        <w:top w:val="none" w:sz="0" w:space="0" w:color="auto"/>
                        <w:left w:val="none" w:sz="0" w:space="0" w:color="auto"/>
                        <w:bottom w:val="none" w:sz="0" w:space="0" w:color="auto"/>
                        <w:right w:val="none" w:sz="0" w:space="0" w:color="auto"/>
                      </w:divBdr>
                    </w:div>
                  </w:divsChild>
                </w:div>
                <w:div w:id="77287759">
                  <w:marLeft w:val="0"/>
                  <w:marRight w:val="0"/>
                  <w:marTop w:val="0"/>
                  <w:marBottom w:val="0"/>
                  <w:divBdr>
                    <w:top w:val="none" w:sz="0" w:space="0" w:color="auto"/>
                    <w:left w:val="none" w:sz="0" w:space="0" w:color="auto"/>
                    <w:bottom w:val="none" w:sz="0" w:space="0" w:color="auto"/>
                    <w:right w:val="none" w:sz="0" w:space="0" w:color="auto"/>
                  </w:divBdr>
                  <w:divsChild>
                    <w:div w:id="1712876969">
                      <w:marLeft w:val="0"/>
                      <w:marRight w:val="0"/>
                      <w:marTop w:val="0"/>
                      <w:marBottom w:val="0"/>
                      <w:divBdr>
                        <w:top w:val="none" w:sz="0" w:space="0" w:color="auto"/>
                        <w:left w:val="none" w:sz="0" w:space="0" w:color="auto"/>
                        <w:bottom w:val="none" w:sz="0" w:space="0" w:color="auto"/>
                        <w:right w:val="none" w:sz="0" w:space="0" w:color="auto"/>
                      </w:divBdr>
                    </w:div>
                  </w:divsChild>
                </w:div>
                <w:div w:id="89278537">
                  <w:marLeft w:val="0"/>
                  <w:marRight w:val="0"/>
                  <w:marTop w:val="0"/>
                  <w:marBottom w:val="0"/>
                  <w:divBdr>
                    <w:top w:val="none" w:sz="0" w:space="0" w:color="auto"/>
                    <w:left w:val="none" w:sz="0" w:space="0" w:color="auto"/>
                    <w:bottom w:val="none" w:sz="0" w:space="0" w:color="auto"/>
                    <w:right w:val="none" w:sz="0" w:space="0" w:color="auto"/>
                  </w:divBdr>
                  <w:divsChild>
                    <w:div w:id="880094468">
                      <w:marLeft w:val="0"/>
                      <w:marRight w:val="0"/>
                      <w:marTop w:val="0"/>
                      <w:marBottom w:val="0"/>
                      <w:divBdr>
                        <w:top w:val="none" w:sz="0" w:space="0" w:color="auto"/>
                        <w:left w:val="none" w:sz="0" w:space="0" w:color="auto"/>
                        <w:bottom w:val="none" w:sz="0" w:space="0" w:color="auto"/>
                        <w:right w:val="none" w:sz="0" w:space="0" w:color="auto"/>
                      </w:divBdr>
                    </w:div>
                  </w:divsChild>
                </w:div>
                <w:div w:id="108209165">
                  <w:marLeft w:val="0"/>
                  <w:marRight w:val="0"/>
                  <w:marTop w:val="0"/>
                  <w:marBottom w:val="0"/>
                  <w:divBdr>
                    <w:top w:val="none" w:sz="0" w:space="0" w:color="auto"/>
                    <w:left w:val="none" w:sz="0" w:space="0" w:color="auto"/>
                    <w:bottom w:val="none" w:sz="0" w:space="0" w:color="auto"/>
                    <w:right w:val="none" w:sz="0" w:space="0" w:color="auto"/>
                  </w:divBdr>
                  <w:divsChild>
                    <w:div w:id="1681276565">
                      <w:marLeft w:val="0"/>
                      <w:marRight w:val="0"/>
                      <w:marTop w:val="0"/>
                      <w:marBottom w:val="0"/>
                      <w:divBdr>
                        <w:top w:val="none" w:sz="0" w:space="0" w:color="auto"/>
                        <w:left w:val="none" w:sz="0" w:space="0" w:color="auto"/>
                        <w:bottom w:val="none" w:sz="0" w:space="0" w:color="auto"/>
                        <w:right w:val="none" w:sz="0" w:space="0" w:color="auto"/>
                      </w:divBdr>
                    </w:div>
                  </w:divsChild>
                </w:div>
                <w:div w:id="109202847">
                  <w:marLeft w:val="0"/>
                  <w:marRight w:val="0"/>
                  <w:marTop w:val="0"/>
                  <w:marBottom w:val="0"/>
                  <w:divBdr>
                    <w:top w:val="none" w:sz="0" w:space="0" w:color="auto"/>
                    <w:left w:val="none" w:sz="0" w:space="0" w:color="auto"/>
                    <w:bottom w:val="none" w:sz="0" w:space="0" w:color="auto"/>
                    <w:right w:val="none" w:sz="0" w:space="0" w:color="auto"/>
                  </w:divBdr>
                  <w:divsChild>
                    <w:div w:id="610674064">
                      <w:marLeft w:val="0"/>
                      <w:marRight w:val="0"/>
                      <w:marTop w:val="0"/>
                      <w:marBottom w:val="0"/>
                      <w:divBdr>
                        <w:top w:val="none" w:sz="0" w:space="0" w:color="auto"/>
                        <w:left w:val="none" w:sz="0" w:space="0" w:color="auto"/>
                        <w:bottom w:val="none" w:sz="0" w:space="0" w:color="auto"/>
                        <w:right w:val="none" w:sz="0" w:space="0" w:color="auto"/>
                      </w:divBdr>
                    </w:div>
                  </w:divsChild>
                </w:div>
                <w:div w:id="110825059">
                  <w:marLeft w:val="0"/>
                  <w:marRight w:val="0"/>
                  <w:marTop w:val="0"/>
                  <w:marBottom w:val="0"/>
                  <w:divBdr>
                    <w:top w:val="none" w:sz="0" w:space="0" w:color="auto"/>
                    <w:left w:val="none" w:sz="0" w:space="0" w:color="auto"/>
                    <w:bottom w:val="none" w:sz="0" w:space="0" w:color="auto"/>
                    <w:right w:val="none" w:sz="0" w:space="0" w:color="auto"/>
                  </w:divBdr>
                  <w:divsChild>
                    <w:div w:id="1714308761">
                      <w:marLeft w:val="0"/>
                      <w:marRight w:val="0"/>
                      <w:marTop w:val="0"/>
                      <w:marBottom w:val="0"/>
                      <w:divBdr>
                        <w:top w:val="none" w:sz="0" w:space="0" w:color="auto"/>
                        <w:left w:val="none" w:sz="0" w:space="0" w:color="auto"/>
                        <w:bottom w:val="none" w:sz="0" w:space="0" w:color="auto"/>
                        <w:right w:val="none" w:sz="0" w:space="0" w:color="auto"/>
                      </w:divBdr>
                    </w:div>
                  </w:divsChild>
                </w:div>
                <w:div w:id="113712634">
                  <w:marLeft w:val="0"/>
                  <w:marRight w:val="0"/>
                  <w:marTop w:val="0"/>
                  <w:marBottom w:val="0"/>
                  <w:divBdr>
                    <w:top w:val="none" w:sz="0" w:space="0" w:color="auto"/>
                    <w:left w:val="none" w:sz="0" w:space="0" w:color="auto"/>
                    <w:bottom w:val="none" w:sz="0" w:space="0" w:color="auto"/>
                    <w:right w:val="none" w:sz="0" w:space="0" w:color="auto"/>
                  </w:divBdr>
                  <w:divsChild>
                    <w:div w:id="1654944993">
                      <w:marLeft w:val="0"/>
                      <w:marRight w:val="0"/>
                      <w:marTop w:val="0"/>
                      <w:marBottom w:val="0"/>
                      <w:divBdr>
                        <w:top w:val="none" w:sz="0" w:space="0" w:color="auto"/>
                        <w:left w:val="none" w:sz="0" w:space="0" w:color="auto"/>
                        <w:bottom w:val="none" w:sz="0" w:space="0" w:color="auto"/>
                        <w:right w:val="none" w:sz="0" w:space="0" w:color="auto"/>
                      </w:divBdr>
                    </w:div>
                  </w:divsChild>
                </w:div>
                <w:div w:id="125466385">
                  <w:marLeft w:val="0"/>
                  <w:marRight w:val="0"/>
                  <w:marTop w:val="0"/>
                  <w:marBottom w:val="0"/>
                  <w:divBdr>
                    <w:top w:val="none" w:sz="0" w:space="0" w:color="auto"/>
                    <w:left w:val="none" w:sz="0" w:space="0" w:color="auto"/>
                    <w:bottom w:val="none" w:sz="0" w:space="0" w:color="auto"/>
                    <w:right w:val="none" w:sz="0" w:space="0" w:color="auto"/>
                  </w:divBdr>
                  <w:divsChild>
                    <w:div w:id="473521032">
                      <w:marLeft w:val="0"/>
                      <w:marRight w:val="0"/>
                      <w:marTop w:val="0"/>
                      <w:marBottom w:val="0"/>
                      <w:divBdr>
                        <w:top w:val="none" w:sz="0" w:space="0" w:color="auto"/>
                        <w:left w:val="none" w:sz="0" w:space="0" w:color="auto"/>
                        <w:bottom w:val="none" w:sz="0" w:space="0" w:color="auto"/>
                        <w:right w:val="none" w:sz="0" w:space="0" w:color="auto"/>
                      </w:divBdr>
                    </w:div>
                  </w:divsChild>
                </w:div>
                <w:div w:id="141044599">
                  <w:marLeft w:val="0"/>
                  <w:marRight w:val="0"/>
                  <w:marTop w:val="0"/>
                  <w:marBottom w:val="0"/>
                  <w:divBdr>
                    <w:top w:val="none" w:sz="0" w:space="0" w:color="auto"/>
                    <w:left w:val="none" w:sz="0" w:space="0" w:color="auto"/>
                    <w:bottom w:val="none" w:sz="0" w:space="0" w:color="auto"/>
                    <w:right w:val="none" w:sz="0" w:space="0" w:color="auto"/>
                  </w:divBdr>
                  <w:divsChild>
                    <w:div w:id="1875924324">
                      <w:marLeft w:val="0"/>
                      <w:marRight w:val="0"/>
                      <w:marTop w:val="0"/>
                      <w:marBottom w:val="0"/>
                      <w:divBdr>
                        <w:top w:val="none" w:sz="0" w:space="0" w:color="auto"/>
                        <w:left w:val="none" w:sz="0" w:space="0" w:color="auto"/>
                        <w:bottom w:val="none" w:sz="0" w:space="0" w:color="auto"/>
                        <w:right w:val="none" w:sz="0" w:space="0" w:color="auto"/>
                      </w:divBdr>
                    </w:div>
                  </w:divsChild>
                </w:div>
                <w:div w:id="247663503">
                  <w:marLeft w:val="0"/>
                  <w:marRight w:val="0"/>
                  <w:marTop w:val="0"/>
                  <w:marBottom w:val="0"/>
                  <w:divBdr>
                    <w:top w:val="none" w:sz="0" w:space="0" w:color="auto"/>
                    <w:left w:val="none" w:sz="0" w:space="0" w:color="auto"/>
                    <w:bottom w:val="none" w:sz="0" w:space="0" w:color="auto"/>
                    <w:right w:val="none" w:sz="0" w:space="0" w:color="auto"/>
                  </w:divBdr>
                  <w:divsChild>
                    <w:div w:id="1635745331">
                      <w:marLeft w:val="0"/>
                      <w:marRight w:val="0"/>
                      <w:marTop w:val="0"/>
                      <w:marBottom w:val="0"/>
                      <w:divBdr>
                        <w:top w:val="none" w:sz="0" w:space="0" w:color="auto"/>
                        <w:left w:val="none" w:sz="0" w:space="0" w:color="auto"/>
                        <w:bottom w:val="none" w:sz="0" w:space="0" w:color="auto"/>
                        <w:right w:val="none" w:sz="0" w:space="0" w:color="auto"/>
                      </w:divBdr>
                    </w:div>
                  </w:divsChild>
                </w:div>
                <w:div w:id="255404695">
                  <w:marLeft w:val="0"/>
                  <w:marRight w:val="0"/>
                  <w:marTop w:val="0"/>
                  <w:marBottom w:val="0"/>
                  <w:divBdr>
                    <w:top w:val="none" w:sz="0" w:space="0" w:color="auto"/>
                    <w:left w:val="none" w:sz="0" w:space="0" w:color="auto"/>
                    <w:bottom w:val="none" w:sz="0" w:space="0" w:color="auto"/>
                    <w:right w:val="none" w:sz="0" w:space="0" w:color="auto"/>
                  </w:divBdr>
                  <w:divsChild>
                    <w:div w:id="1005716460">
                      <w:marLeft w:val="0"/>
                      <w:marRight w:val="0"/>
                      <w:marTop w:val="0"/>
                      <w:marBottom w:val="0"/>
                      <w:divBdr>
                        <w:top w:val="none" w:sz="0" w:space="0" w:color="auto"/>
                        <w:left w:val="none" w:sz="0" w:space="0" w:color="auto"/>
                        <w:bottom w:val="none" w:sz="0" w:space="0" w:color="auto"/>
                        <w:right w:val="none" w:sz="0" w:space="0" w:color="auto"/>
                      </w:divBdr>
                    </w:div>
                  </w:divsChild>
                </w:div>
                <w:div w:id="263849783">
                  <w:marLeft w:val="0"/>
                  <w:marRight w:val="0"/>
                  <w:marTop w:val="0"/>
                  <w:marBottom w:val="0"/>
                  <w:divBdr>
                    <w:top w:val="none" w:sz="0" w:space="0" w:color="auto"/>
                    <w:left w:val="none" w:sz="0" w:space="0" w:color="auto"/>
                    <w:bottom w:val="none" w:sz="0" w:space="0" w:color="auto"/>
                    <w:right w:val="none" w:sz="0" w:space="0" w:color="auto"/>
                  </w:divBdr>
                  <w:divsChild>
                    <w:div w:id="1074741730">
                      <w:marLeft w:val="0"/>
                      <w:marRight w:val="0"/>
                      <w:marTop w:val="0"/>
                      <w:marBottom w:val="0"/>
                      <w:divBdr>
                        <w:top w:val="none" w:sz="0" w:space="0" w:color="auto"/>
                        <w:left w:val="none" w:sz="0" w:space="0" w:color="auto"/>
                        <w:bottom w:val="none" w:sz="0" w:space="0" w:color="auto"/>
                        <w:right w:val="none" w:sz="0" w:space="0" w:color="auto"/>
                      </w:divBdr>
                    </w:div>
                  </w:divsChild>
                </w:div>
                <w:div w:id="275212612">
                  <w:marLeft w:val="0"/>
                  <w:marRight w:val="0"/>
                  <w:marTop w:val="0"/>
                  <w:marBottom w:val="0"/>
                  <w:divBdr>
                    <w:top w:val="none" w:sz="0" w:space="0" w:color="auto"/>
                    <w:left w:val="none" w:sz="0" w:space="0" w:color="auto"/>
                    <w:bottom w:val="none" w:sz="0" w:space="0" w:color="auto"/>
                    <w:right w:val="none" w:sz="0" w:space="0" w:color="auto"/>
                  </w:divBdr>
                  <w:divsChild>
                    <w:div w:id="1796563758">
                      <w:marLeft w:val="0"/>
                      <w:marRight w:val="0"/>
                      <w:marTop w:val="0"/>
                      <w:marBottom w:val="0"/>
                      <w:divBdr>
                        <w:top w:val="none" w:sz="0" w:space="0" w:color="auto"/>
                        <w:left w:val="none" w:sz="0" w:space="0" w:color="auto"/>
                        <w:bottom w:val="none" w:sz="0" w:space="0" w:color="auto"/>
                        <w:right w:val="none" w:sz="0" w:space="0" w:color="auto"/>
                      </w:divBdr>
                    </w:div>
                  </w:divsChild>
                </w:div>
                <w:div w:id="299113733">
                  <w:marLeft w:val="0"/>
                  <w:marRight w:val="0"/>
                  <w:marTop w:val="0"/>
                  <w:marBottom w:val="0"/>
                  <w:divBdr>
                    <w:top w:val="none" w:sz="0" w:space="0" w:color="auto"/>
                    <w:left w:val="none" w:sz="0" w:space="0" w:color="auto"/>
                    <w:bottom w:val="none" w:sz="0" w:space="0" w:color="auto"/>
                    <w:right w:val="none" w:sz="0" w:space="0" w:color="auto"/>
                  </w:divBdr>
                  <w:divsChild>
                    <w:div w:id="1465344494">
                      <w:marLeft w:val="0"/>
                      <w:marRight w:val="0"/>
                      <w:marTop w:val="0"/>
                      <w:marBottom w:val="0"/>
                      <w:divBdr>
                        <w:top w:val="none" w:sz="0" w:space="0" w:color="auto"/>
                        <w:left w:val="none" w:sz="0" w:space="0" w:color="auto"/>
                        <w:bottom w:val="none" w:sz="0" w:space="0" w:color="auto"/>
                        <w:right w:val="none" w:sz="0" w:space="0" w:color="auto"/>
                      </w:divBdr>
                    </w:div>
                  </w:divsChild>
                </w:div>
                <w:div w:id="316225389">
                  <w:marLeft w:val="0"/>
                  <w:marRight w:val="0"/>
                  <w:marTop w:val="0"/>
                  <w:marBottom w:val="0"/>
                  <w:divBdr>
                    <w:top w:val="none" w:sz="0" w:space="0" w:color="auto"/>
                    <w:left w:val="none" w:sz="0" w:space="0" w:color="auto"/>
                    <w:bottom w:val="none" w:sz="0" w:space="0" w:color="auto"/>
                    <w:right w:val="none" w:sz="0" w:space="0" w:color="auto"/>
                  </w:divBdr>
                  <w:divsChild>
                    <w:div w:id="679508104">
                      <w:marLeft w:val="0"/>
                      <w:marRight w:val="0"/>
                      <w:marTop w:val="0"/>
                      <w:marBottom w:val="0"/>
                      <w:divBdr>
                        <w:top w:val="none" w:sz="0" w:space="0" w:color="auto"/>
                        <w:left w:val="none" w:sz="0" w:space="0" w:color="auto"/>
                        <w:bottom w:val="none" w:sz="0" w:space="0" w:color="auto"/>
                        <w:right w:val="none" w:sz="0" w:space="0" w:color="auto"/>
                      </w:divBdr>
                    </w:div>
                  </w:divsChild>
                </w:div>
                <w:div w:id="344014637">
                  <w:marLeft w:val="0"/>
                  <w:marRight w:val="0"/>
                  <w:marTop w:val="0"/>
                  <w:marBottom w:val="0"/>
                  <w:divBdr>
                    <w:top w:val="none" w:sz="0" w:space="0" w:color="auto"/>
                    <w:left w:val="none" w:sz="0" w:space="0" w:color="auto"/>
                    <w:bottom w:val="none" w:sz="0" w:space="0" w:color="auto"/>
                    <w:right w:val="none" w:sz="0" w:space="0" w:color="auto"/>
                  </w:divBdr>
                  <w:divsChild>
                    <w:div w:id="1525825027">
                      <w:marLeft w:val="0"/>
                      <w:marRight w:val="0"/>
                      <w:marTop w:val="0"/>
                      <w:marBottom w:val="0"/>
                      <w:divBdr>
                        <w:top w:val="none" w:sz="0" w:space="0" w:color="auto"/>
                        <w:left w:val="none" w:sz="0" w:space="0" w:color="auto"/>
                        <w:bottom w:val="none" w:sz="0" w:space="0" w:color="auto"/>
                        <w:right w:val="none" w:sz="0" w:space="0" w:color="auto"/>
                      </w:divBdr>
                    </w:div>
                  </w:divsChild>
                </w:div>
                <w:div w:id="369260645">
                  <w:marLeft w:val="0"/>
                  <w:marRight w:val="0"/>
                  <w:marTop w:val="0"/>
                  <w:marBottom w:val="0"/>
                  <w:divBdr>
                    <w:top w:val="none" w:sz="0" w:space="0" w:color="auto"/>
                    <w:left w:val="none" w:sz="0" w:space="0" w:color="auto"/>
                    <w:bottom w:val="none" w:sz="0" w:space="0" w:color="auto"/>
                    <w:right w:val="none" w:sz="0" w:space="0" w:color="auto"/>
                  </w:divBdr>
                  <w:divsChild>
                    <w:div w:id="1914731049">
                      <w:marLeft w:val="0"/>
                      <w:marRight w:val="0"/>
                      <w:marTop w:val="0"/>
                      <w:marBottom w:val="0"/>
                      <w:divBdr>
                        <w:top w:val="none" w:sz="0" w:space="0" w:color="auto"/>
                        <w:left w:val="none" w:sz="0" w:space="0" w:color="auto"/>
                        <w:bottom w:val="none" w:sz="0" w:space="0" w:color="auto"/>
                        <w:right w:val="none" w:sz="0" w:space="0" w:color="auto"/>
                      </w:divBdr>
                    </w:div>
                  </w:divsChild>
                </w:div>
                <w:div w:id="445319835">
                  <w:marLeft w:val="0"/>
                  <w:marRight w:val="0"/>
                  <w:marTop w:val="0"/>
                  <w:marBottom w:val="0"/>
                  <w:divBdr>
                    <w:top w:val="none" w:sz="0" w:space="0" w:color="auto"/>
                    <w:left w:val="none" w:sz="0" w:space="0" w:color="auto"/>
                    <w:bottom w:val="none" w:sz="0" w:space="0" w:color="auto"/>
                    <w:right w:val="none" w:sz="0" w:space="0" w:color="auto"/>
                  </w:divBdr>
                  <w:divsChild>
                    <w:div w:id="567769888">
                      <w:marLeft w:val="0"/>
                      <w:marRight w:val="0"/>
                      <w:marTop w:val="0"/>
                      <w:marBottom w:val="0"/>
                      <w:divBdr>
                        <w:top w:val="none" w:sz="0" w:space="0" w:color="auto"/>
                        <w:left w:val="none" w:sz="0" w:space="0" w:color="auto"/>
                        <w:bottom w:val="none" w:sz="0" w:space="0" w:color="auto"/>
                        <w:right w:val="none" w:sz="0" w:space="0" w:color="auto"/>
                      </w:divBdr>
                    </w:div>
                  </w:divsChild>
                </w:div>
                <w:div w:id="451636550">
                  <w:marLeft w:val="0"/>
                  <w:marRight w:val="0"/>
                  <w:marTop w:val="0"/>
                  <w:marBottom w:val="0"/>
                  <w:divBdr>
                    <w:top w:val="none" w:sz="0" w:space="0" w:color="auto"/>
                    <w:left w:val="none" w:sz="0" w:space="0" w:color="auto"/>
                    <w:bottom w:val="none" w:sz="0" w:space="0" w:color="auto"/>
                    <w:right w:val="none" w:sz="0" w:space="0" w:color="auto"/>
                  </w:divBdr>
                  <w:divsChild>
                    <w:div w:id="397215261">
                      <w:marLeft w:val="0"/>
                      <w:marRight w:val="0"/>
                      <w:marTop w:val="0"/>
                      <w:marBottom w:val="0"/>
                      <w:divBdr>
                        <w:top w:val="none" w:sz="0" w:space="0" w:color="auto"/>
                        <w:left w:val="none" w:sz="0" w:space="0" w:color="auto"/>
                        <w:bottom w:val="none" w:sz="0" w:space="0" w:color="auto"/>
                        <w:right w:val="none" w:sz="0" w:space="0" w:color="auto"/>
                      </w:divBdr>
                    </w:div>
                  </w:divsChild>
                </w:div>
                <w:div w:id="506555737">
                  <w:marLeft w:val="0"/>
                  <w:marRight w:val="0"/>
                  <w:marTop w:val="0"/>
                  <w:marBottom w:val="0"/>
                  <w:divBdr>
                    <w:top w:val="none" w:sz="0" w:space="0" w:color="auto"/>
                    <w:left w:val="none" w:sz="0" w:space="0" w:color="auto"/>
                    <w:bottom w:val="none" w:sz="0" w:space="0" w:color="auto"/>
                    <w:right w:val="none" w:sz="0" w:space="0" w:color="auto"/>
                  </w:divBdr>
                  <w:divsChild>
                    <w:div w:id="1699234081">
                      <w:marLeft w:val="0"/>
                      <w:marRight w:val="0"/>
                      <w:marTop w:val="0"/>
                      <w:marBottom w:val="0"/>
                      <w:divBdr>
                        <w:top w:val="none" w:sz="0" w:space="0" w:color="auto"/>
                        <w:left w:val="none" w:sz="0" w:space="0" w:color="auto"/>
                        <w:bottom w:val="none" w:sz="0" w:space="0" w:color="auto"/>
                        <w:right w:val="none" w:sz="0" w:space="0" w:color="auto"/>
                      </w:divBdr>
                    </w:div>
                  </w:divsChild>
                </w:div>
                <w:div w:id="536547827">
                  <w:marLeft w:val="0"/>
                  <w:marRight w:val="0"/>
                  <w:marTop w:val="0"/>
                  <w:marBottom w:val="0"/>
                  <w:divBdr>
                    <w:top w:val="none" w:sz="0" w:space="0" w:color="auto"/>
                    <w:left w:val="none" w:sz="0" w:space="0" w:color="auto"/>
                    <w:bottom w:val="none" w:sz="0" w:space="0" w:color="auto"/>
                    <w:right w:val="none" w:sz="0" w:space="0" w:color="auto"/>
                  </w:divBdr>
                  <w:divsChild>
                    <w:div w:id="718283632">
                      <w:marLeft w:val="0"/>
                      <w:marRight w:val="0"/>
                      <w:marTop w:val="0"/>
                      <w:marBottom w:val="0"/>
                      <w:divBdr>
                        <w:top w:val="none" w:sz="0" w:space="0" w:color="auto"/>
                        <w:left w:val="none" w:sz="0" w:space="0" w:color="auto"/>
                        <w:bottom w:val="none" w:sz="0" w:space="0" w:color="auto"/>
                        <w:right w:val="none" w:sz="0" w:space="0" w:color="auto"/>
                      </w:divBdr>
                    </w:div>
                  </w:divsChild>
                </w:div>
                <w:div w:id="551968953">
                  <w:marLeft w:val="0"/>
                  <w:marRight w:val="0"/>
                  <w:marTop w:val="0"/>
                  <w:marBottom w:val="0"/>
                  <w:divBdr>
                    <w:top w:val="none" w:sz="0" w:space="0" w:color="auto"/>
                    <w:left w:val="none" w:sz="0" w:space="0" w:color="auto"/>
                    <w:bottom w:val="none" w:sz="0" w:space="0" w:color="auto"/>
                    <w:right w:val="none" w:sz="0" w:space="0" w:color="auto"/>
                  </w:divBdr>
                  <w:divsChild>
                    <w:div w:id="1883781795">
                      <w:marLeft w:val="0"/>
                      <w:marRight w:val="0"/>
                      <w:marTop w:val="0"/>
                      <w:marBottom w:val="0"/>
                      <w:divBdr>
                        <w:top w:val="none" w:sz="0" w:space="0" w:color="auto"/>
                        <w:left w:val="none" w:sz="0" w:space="0" w:color="auto"/>
                        <w:bottom w:val="none" w:sz="0" w:space="0" w:color="auto"/>
                        <w:right w:val="none" w:sz="0" w:space="0" w:color="auto"/>
                      </w:divBdr>
                    </w:div>
                  </w:divsChild>
                </w:div>
                <w:div w:id="562523633">
                  <w:marLeft w:val="0"/>
                  <w:marRight w:val="0"/>
                  <w:marTop w:val="0"/>
                  <w:marBottom w:val="0"/>
                  <w:divBdr>
                    <w:top w:val="none" w:sz="0" w:space="0" w:color="auto"/>
                    <w:left w:val="none" w:sz="0" w:space="0" w:color="auto"/>
                    <w:bottom w:val="none" w:sz="0" w:space="0" w:color="auto"/>
                    <w:right w:val="none" w:sz="0" w:space="0" w:color="auto"/>
                  </w:divBdr>
                  <w:divsChild>
                    <w:div w:id="1249576721">
                      <w:marLeft w:val="0"/>
                      <w:marRight w:val="0"/>
                      <w:marTop w:val="0"/>
                      <w:marBottom w:val="0"/>
                      <w:divBdr>
                        <w:top w:val="none" w:sz="0" w:space="0" w:color="auto"/>
                        <w:left w:val="none" w:sz="0" w:space="0" w:color="auto"/>
                        <w:bottom w:val="none" w:sz="0" w:space="0" w:color="auto"/>
                        <w:right w:val="none" w:sz="0" w:space="0" w:color="auto"/>
                      </w:divBdr>
                    </w:div>
                  </w:divsChild>
                </w:div>
                <w:div w:id="574507959">
                  <w:marLeft w:val="0"/>
                  <w:marRight w:val="0"/>
                  <w:marTop w:val="0"/>
                  <w:marBottom w:val="0"/>
                  <w:divBdr>
                    <w:top w:val="none" w:sz="0" w:space="0" w:color="auto"/>
                    <w:left w:val="none" w:sz="0" w:space="0" w:color="auto"/>
                    <w:bottom w:val="none" w:sz="0" w:space="0" w:color="auto"/>
                    <w:right w:val="none" w:sz="0" w:space="0" w:color="auto"/>
                  </w:divBdr>
                  <w:divsChild>
                    <w:div w:id="1205949597">
                      <w:marLeft w:val="0"/>
                      <w:marRight w:val="0"/>
                      <w:marTop w:val="0"/>
                      <w:marBottom w:val="0"/>
                      <w:divBdr>
                        <w:top w:val="none" w:sz="0" w:space="0" w:color="auto"/>
                        <w:left w:val="none" w:sz="0" w:space="0" w:color="auto"/>
                        <w:bottom w:val="none" w:sz="0" w:space="0" w:color="auto"/>
                        <w:right w:val="none" w:sz="0" w:space="0" w:color="auto"/>
                      </w:divBdr>
                    </w:div>
                  </w:divsChild>
                </w:div>
                <w:div w:id="581262822">
                  <w:marLeft w:val="0"/>
                  <w:marRight w:val="0"/>
                  <w:marTop w:val="0"/>
                  <w:marBottom w:val="0"/>
                  <w:divBdr>
                    <w:top w:val="none" w:sz="0" w:space="0" w:color="auto"/>
                    <w:left w:val="none" w:sz="0" w:space="0" w:color="auto"/>
                    <w:bottom w:val="none" w:sz="0" w:space="0" w:color="auto"/>
                    <w:right w:val="none" w:sz="0" w:space="0" w:color="auto"/>
                  </w:divBdr>
                  <w:divsChild>
                    <w:div w:id="282198270">
                      <w:marLeft w:val="0"/>
                      <w:marRight w:val="0"/>
                      <w:marTop w:val="0"/>
                      <w:marBottom w:val="0"/>
                      <w:divBdr>
                        <w:top w:val="none" w:sz="0" w:space="0" w:color="auto"/>
                        <w:left w:val="none" w:sz="0" w:space="0" w:color="auto"/>
                        <w:bottom w:val="none" w:sz="0" w:space="0" w:color="auto"/>
                        <w:right w:val="none" w:sz="0" w:space="0" w:color="auto"/>
                      </w:divBdr>
                    </w:div>
                  </w:divsChild>
                </w:div>
                <w:div w:id="613948616">
                  <w:marLeft w:val="0"/>
                  <w:marRight w:val="0"/>
                  <w:marTop w:val="0"/>
                  <w:marBottom w:val="0"/>
                  <w:divBdr>
                    <w:top w:val="none" w:sz="0" w:space="0" w:color="auto"/>
                    <w:left w:val="none" w:sz="0" w:space="0" w:color="auto"/>
                    <w:bottom w:val="none" w:sz="0" w:space="0" w:color="auto"/>
                    <w:right w:val="none" w:sz="0" w:space="0" w:color="auto"/>
                  </w:divBdr>
                  <w:divsChild>
                    <w:div w:id="1640381382">
                      <w:marLeft w:val="0"/>
                      <w:marRight w:val="0"/>
                      <w:marTop w:val="0"/>
                      <w:marBottom w:val="0"/>
                      <w:divBdr>
                        <w:top w:val="none" w:sz="0" w:space="0" w:color="auto"/>
                        <w:left w:val="none" w:sz="0" w:space="0" w:color="auto"/>
                        <w:bottom w:val="none" w:sz="0" w:space="0" w:color="auto"/>
                        <w:right w:val="none" w:sz="0" w:space="0" w:color="auto"/>
                      </w:divBdr>
                    </w:div>
                  </w:divsChild>
                </w:div>
                <w:div w:id="629290822">
                  <w:marLeft w:val="0"/>
                  <w:marRight w:val="0"/>
                  <w:marTop w:val="0"/>
                  <w:marBottom w:val="0"/>
                  <w:divBdr>
                    <w:top w:val="none" w:sz="0" w:space="0" w:color="auto"/>
                    <w:left w:val="none" w:sz="0" w:space="0" w:color="auto"/>
                    <w:bottom w:val="none" w:sz="0" w:space="0" w:color="auto"/>
                    <w:right w:val="none" w:sz="0" w:space="0" w:color="auto"/>
                  </w:divBdr>
                  <w:divsChild>
                    <w:div w:id="1039280786">
                      <w:marLeft w:val="0"/>
                      <w:marRight w:val="0"/>
                      <w:marTop w:val="0"/>
                      <w:marBottom w:val="0"/>
                      <w:divBdr>
                        <w:top w:val="none" w:sz="0" w:space="0" w:color="auto"/>
                        <w:left w:val="none" w:sz="0" w:space="0" w:color="auto"/>
                        <w:bottom w:val="none" w:sz="0" w:space="0" w:color="auto"/>
                        <w:right w:val="none" w:sz="0" w:space="0" w:color="auto"/>
                      </w:divBdr>
                    </w:div>
                  </w:divsChild>
                </w:div>
                <w:div w:id="643239501">
                  <w:marLeft w:val="0"/>
                  <w:marRight w:val="0"/>
                  <w:marTop w:val="0"/>
                  <w:marBottom w:val="0"/>
                  <w:divBdr>
                    <w:top w:val="none" w:sz="0" w:space="0" w:color="auto"/>
                    <w:left w:val="none" w:sz="0" w:space="0" w:color="auto"/>
                    <w:bottom w:val="none" w:sz="0" w:space="0" w:color="auto"/>
                    <w:right w:val="none" w:sz="0" w:space="0" w:color="auto"/>
                  </w:divBdr>
                  <w:divsChild>
                    <w:div w:id="1814716507">
                      <w:marLeft w:val="0"/>
                      <w:marRight w:val="0"/>
                      <w:marTop w:val="0"/>
                      <w:marBottom w:val="0"/>
                      <w:divBdr>
                        <w:top w:val="none" w:sz="0" w:space="0" w:color="auto"/>
                        <w:left w:val="none" w:sz="0" w:space="0" w:color="auto"/>
                        <w:bottom w:val="none" w:sz="0" w:space="0" w:color="auto"/>
                        <w:right w:val="none" w:sz="0" w:space="0" w:color="auto"/>
                      </w:divBdr>
                    </w:div>
                  </w:divsChild>
                </w:div>
                <w:div w:id="657466630">
                  <w:marLeft w:val="0"/>
                  <w:marRight w:val="0"/>
                  <w:marTop w:val="0"/>
                  <w:marBottom w:val="0"/>
                  <w:divBdr>
                    <w:top w:val="none" w:sz="0" w:space="0" w:color="auto"/>
                    <w:left w:val="none" w:sz="0" w:space="0" w:color="auto"/>
                    <w:bottom w:val="none" w:sz="0" w:space="0" w:color="auto"/>
                    <w:right w:val="none" w:sz="0" w:space="0" w:color="auto"/>
                  </w:divBdr>
                  <w:divsChild>
                    <w:div w:id="1470319742">
                      <w:marLeft w:val="0"/>
                      <w:marRight w:val="0"/>
                      <w:marTop w:val="0"/>
                      <w:marBottom w:val="0"/>
                      <w:divBdr>
                        <w:top w:val="none" w:sz="0" w:space="0" w:color="auto"/>
                        <w:left w:val="none" w:sz="0" w:space="0" w:color="auto"/>
                        <w:bottom w:val="none" w:sz="0" w:space="0" w:color="auto"/>
                        <w:right w:val="none" w:sz="0" w:space="0" w:color="auto"/>
                      </w:divBdr>
                    </w:div>
                  </w:divsChild>
                </w:div>
                <w:div w:id="711148258">
                  <w:marLeft w:val="0"/>
                  <w:marRight w:val="0"/>
                  <w:marTop w:val="0"/>
                  <w:marBottom w:val="0"/>
                  <w:divBdr>
                    <w:top w:val="none" w:sz="0" w:space="0" w:color="auto"/>
                    <w:left w:val="none" w:sz="0" w:space="0" w:color="auto"/>
                    <w:bottom w:val="none" w:sz="0" w:space="0" w:color="auto"/>
                    <w:right w:val="none" w:sz="0" w:space="0" w:color="auto"/>
                  </w:divBdr>
                  <w:divsChild>
                    <w:div w:id="1568223503">
                      <w:marLeft w:val="0"/>
                      <w:marRight w:val="0"/>
                      <w:marTop w:val="0"/>
                      <w:marBottom w:val="0"/>
                      <w:divBdr>
                        <w:top w:val="none" w:sz="0" w:space="0" w:color="auto"/>
                        <w:left w:val="none" w:sz="0" w:space="0" w:color="auto"/>
                        <w:bottom w:val="none" w:sz="0" w:space="0" w:color="auto"/>
                        <w:right w:val="none" w:sz="0" w:space="0" w:color="auto"/>
                      </w:divBdr>
                    </w:div>
                  </w:divsChild>
                </w:div>
                <w:div w:id="751925679">
                  <w:marLeft w:val="0"/>
                  <w:marRight w:val="0"/>
                  <w:marTop w:val="0"/>
                  <w:marBottom w:val="0"/>
                  <w:divBdr>
                    <w:top w:val="none" w:sz="0" w:space="0" w:color="auto"/>
                    <w:left w:val="none" w:sz="0" w:space="0" w:color="auto"/>
                    <w:bottom w:val="none" w:sz="0" w:space="0" w:color="auto"/>
                    <w:right w:val="none" w:sz="0" w:space="0" w:color="auto"/>
                  </w:divBdr>
                  <w:divsChild>
                    <w:div w:id="640765078">
                      <w:marLeft w:val="0"/>
                      <w:marRight w:val="0"/>
                      <w:marTop w:val="0"/>
                      <w:marBottom w:val="0"/>
                      <w:divBdr>
                        <w:top w:val="none" w:sz="0" w:space="0" w:color="auto"/>
                        <w:left w:val="none" w:sz="0" w:space="0" w:color="auto"/>
                        <w:bottom w:val="none" w:sz="0" w:space="0" w:color="auto"/>
                        <w:right w:val="none" w:sz="0" w:space="0" w:color="auto"/>
                      </w:divBdr>
                    </w:div>
                  </w:divsChild>
                </w:div>
                <w:div w:id="776485587">
                  <w:marLeft w:val="0"/>
                  <w:marRight w:val="0"/>
                  <w:marTop w:val="0"/>
                  <w:marBottom w:val="0"/>
                  <w:divBdr>
                    <w:top w:val="none" w:sz="0" w:space="0" w:color="auto"/>
                    <w:left w:val="none" w:sz="0" w:space="0" w:color="auto"/>
                    <w:bottom w:val="none" w:sz="0" w:space="0" w:color="auto"/>
                    <w:right w:val="none" w:sz="0" w:space="0" w:color="auto"/>
                  </w:divBdr>
                  <w:divsChild>
                    <w:div w:id="1142311996">
                      <w:marLeft w:val="0"/>
                      <w:marRight w:val="0"/>
                      <w:marTop w:val="0"/>
                      <w:marBottom w:val="0"/>
                      <w:divBdr>
                        <w:top w:val="none" w:sz="0" w:space="0" w:color="auto"/>
                        <w:left w:val="none" w:sz="0" w:space="0" w:color="auto"/>
                        <w:bottom w:val="none" w:sz="0" w:space="0" w:color="auto"/>
                        <w:right w:val="none" w:sz="0" w:space="0" w:color="auto"/>
                      </w:divBdr>
                    </w:div>
                  </w:divsChild>
                </w:div>
                <w:div w:id="778378897">
                  <w:marLeft w:val="0"/>
                  <w:marRight w:val="0"/>
                  <w:marTop w:val="0"/>
                  <w:marBottom w:val="0"/>
                  <w:divBdr>
                    <w:top w:val="none" w:sz="0" w:space="0" w:color="auto"/>
                    <w:left w:val="none" w:sz="0" w:space="0" w:color="auto"/>
                    <w:bottom w:val="none" w:sz="0" w:space="0" w:color="auto"/>
                    <w:right w:val="none" w:sz="0" w:space="0" w:color="auto"/>
                  </w:divBdr>
                  <w:divsChild>
                    <w:div w:id="1973749565">
                      <w:marLeft w:val="0"/>
                      <w:marRight w:val="0"/>
                      <w:marTop w:val="0"/>
                      <w:marBottom w:val="0"/>
                      <w:divBdr>
                        <w:top w:val="none" w:sz="0" w:space="0" w:color="auto"/>
                        <w:left w:val="none" w:sz="0" w:space="0" w:color="auto"/>
                        <w:bottom w:val="none" w:sz="0" w:space="0" w:color="auto"/>
                        <w:right w:val="none" w:sz="0" w:space="0" w:color="auto"/>
                      </w:divBdr>
                    </w:div>
                  </w:divsChild>
                </w:div>
                <w:div w:id="781538999">
                  <w:marLeft w:val="0"/>
                  <w:marRight w:val="0"/>
                  <w:marTop w:val="0"/>
                  <w:marBottom w:val="0"/>
                  <w:divBdr>
                    <w:top w:val="none" w:sz="0" w:space="0" w:color="auto"/>
                    <w:left w:val="none" w:sz="0" w:space="0" w:color="auto"/>
                    <w:bottom w:val="none" w:sz="0" w:space="0" w:color="auto"/>
                    <w:right w:val="none" w:sz="0" w:space="0" w:color="auto"/>
                  </w:divBdr>
                  <w:divsChild>
                    <w:div w:id="241914787">
                      <w:marLeft w:val="0"/>
                      <w:marRight w:val="0"/>
                      <w:marTop w:val="0"/>
                      <w:marBottom w:val="0"/>
                      <w:divBdr>
                        <w:top w:val="none" w:sz="0" w:space="0" w:color="auto"/>
                        <w:left w:val="none" w:sz="0" w:space="0" w:color="auto"/>
                        <w:bottom w:val="none" w:sz="0" w:space="0" w:color="auto"/>
                        <w:right w:val="none" w:sz="0" w:space="0" w:color="auto"/>
                      </w:divBdr>
                    </w:div>
                  </w:divsChild>
                </w:div>
                <w:div w:id="821776024">
                  <w:marLeft w:val="0"/>
                  <w:marRight w:val="0"/>
                  <w:marTop w:val="0"/>
                  <w:marBottom w:val="0"/>
                  <w:divBdr>
                    <w:top w:val="none" w:sz="0" w:space="0" w:color="auto"/>
                    <w:left w:val="none" w:sz="0" w:space="0" w:color="auto"/>
                    <w:bottom w:val="none" w:sz="0" w:space="0" w:color="auto"/>
                    <w:right w:val="none" w:sz="0" w:space="0" w:color="auto"/>
                  </w:divBdr>
                  <w:divsChild>
                    <w:div w:id="1586957524">
                      <w:marLeft w:val="0"/>
                      <w:marRight w:val="0"/>
                      <w:marTop w:val="0"/>
                      <w:marBottom w:val="0"/>
                      <w:divBdr>
                        <w:top w:val="none" w:sz="0" w:space="0" w:color="auto"/>
                        <w:left w:val="none" w:sz="0" w:space="0" w:color="auto"/>
                        <w:bottom w:val="none" w:sz="0" w:space="0" w:color="auto"/>
                        <w:right w:val="none" w:sz="0" w:space="0" w:color="auto"/>
                      </w:divBdr>
                    </w:div>
                  </w:divsChild>
                </w:div>
                <w:div w:id="925990716">
                  <w:marLeft w:val="0"/>
                  <w:marRight w:val="0"/>
                  <w:marTop w:val="0"/>
                  <w:marBottom w:val="0"/>
                  <w:divBdr>
                    <w:top w:val="none" w:sz="0" w:space="0" w:color="auto"/>
                    <w:left w:val="none" w:sz="0" w:space="0" w:color="auto"/>
                    <w:bottom w:val="none" w:sz="0" w:space="0" w:color="auto"/>
                    <w:right w:val="none" w:sz="0" w:space="0" w:color="auto"/>
                  </w:divBdr>
                  <w:divsChild>
                    <w:div w:id="421611887">
                      <w:marLeft w:val="0"/>
                      <w:marRight w:val="0"/>
                      <w:marTop w:val="0"/>
                      <w:marBottom w:val="0"/>
                      <w:divBdr>
                        <w:top w:val="none" w:sz="0" w:space="0" w:color="auto"/>
                        <w:left w:val="none" w:sz="0" w:space="0" w:color="auto"/>
                        <w:bottom w:val="none" w:sz="0" w:space="0" w:color="auto"/>
                        <w:right w:val="none" w:sz="0" w:space="0" w:color="auto"/>
                      </w:divBdr>
                    </w:div>
                  </w:divsChild>
                </w:div>
                <w:div w:id="941954188">
                  <w:marLeft w:val="0"/>
                  <w:marRight w:val="0"/>
                  <w:marTop w:val="0"/>
                  <w:marBottom w:val="0"/>
                  <w:divBdr>
                    <w:top w:val="none" w:sz="0" w:space="0" w:color="auto"/>
                    <w:left w:val="none" w:sz="0" w:space="0" w:color="auto"/>
                    <w:bottom w:val="none" w:sz="0" w:space="0" w:color="auto"/>
                    <w:right w:val="none" w:sz="0" w:space="0" w:color="auto"/>
                  </w:divBdr>
                  <w:divsChild>
                    <w:div w:id="1878931404">
                      <w:marLeft w:val="0"/>
                      <w:marRight w:val="0"/>
                      <w:marTop w:val="0"/>
                      <w:marBottom w:val="0"/>
                      <w:divBdr>
                        <w:top w:val="none" w:sz="0" w:space="0" w:color="auto"/>
                        <w:left w:val="none" w:sz="0" w:space="0" w:color="auto"/>
                        <w:bottom w:val="none" w:sz="0" w:space="0" w:color="auto"/>
                        <w:right w:val="none" w:sz="0" w:space="0" w:color="auto"/>
                      </w:divBdr>
                    </w:div>
                  </w:divsChild>
                </w:div>
                <w:div w:id="951324290">
                  <w:marLeft w:val="0"/>
                  <w:marRight w:val="0"/>
                  <w:marTop w:val="0"/>
                  <w:marBottom w:val="0"/>
                  <w:divBdr>
                    <w:top w:val="none" w:sz="0" w:space="0" w:color="auto"/>
                    <w:left w:val="none" w:sz="0" w:space="0" w:color="auto"/>
                    <w:bottom w:val="none" w:sz="0" w:space="0" w:color="auto"/>
                    <w:right w:val="none" w:sz="0" w:space="0" w:color="auto"/>
                  </w:divBdr>
                  <w:divsChild>
                    <w:div w:id="2136558565">
                      <w:marLeft w:val="0"/>
                      <w:marRight w:val="0"/>
                      <w:marTop w:val="0"/>
                      <w:marBottom w:val="0"/>
                      <w:divBdr>
                        <w:top w:val="none" w:sz="0" w:space="0" w:color="auto"/>
                        <w:left w:val="none" w:sz="0" w:space="0" w:color="auto"/>
                        <w:bottom w:val="none" w:sz="0" w:space="0" w:color="auto"/>
                        <w:right w:val="none" w:sz="0" w:space="0" w:color="auto"/>
                      </w:divBdr>
                    </w:div>
                  </w:divsChild>
                </w:div>
                <w:div w:id="951401488">
                  <w:marLeft w:val="0"/>
                  <w:marRight w:val="0"/>
                  <w:marTop w:val="0"/>
                  <w:marBottom w:val="0"/>
                  <w:divBdr>
                    <w:top w:val="none" w:sz="0" w:space="0" w:color="auto"/>
                    <w:left w:val="none" w:sz="0" w:space="0" w:color="auto"/>
                    <w:bottom w:val="none" w:sz="0" w:space="0" w:color="auto"/>
                    <w:right w:val="none" w:sz="0" w:space="0" w:color="auto"/>
                  </w:divBdr>
                  <w:divsChild>
                    <w:div w:id="1011104620">
                      <w:marLeft w:val="0"/>
                      <w:marRight w:val="0"/>
                      <w:marTop w:val="0"/>
                      <w:marBottom w:val="0"/>
                      <w:divBdr>
                        <w:top w:val="none" w:sz="0" w:space="0" w:color="auto"/>
                        <w:left w:val="none" w:sz="0" w:space="0" w:color="auto"/>
                        <w:bottom w:val="none" w:sz="0" w:space="0" w:color="auto"/>
                        <w:right w:val="none" w:sz="0" w:space="0" w:color="auto"/>
                      </w:divBdr>
                    </w:div>
                  </w:divsChild>
                </w:div>
                <w:div w:id="971791681">
                  <w:marLeft w:val="0"/>
                  <w:marRight w:val="0"/>
                  <w:marTop w:val="0"/>
                  <w:marBottom w:val="0"/>
                  <w:divBdr>
                    <w:top w:val="none" w:sz="0" w:space="0" w:color="auto"/>
                    <w:left w:val="none" w:sz="0" w:space="0" w:color="auto"/>
                    <w:bottom w:val="none" w:sz="0" w:space="0" w:color="auto"/>
                    <w:right w:val="none" w:sz="0" w:space="0" w:color="auto"/>
                  </w:divBdr>
                  <w:divsChild>
                    <w:div w:id="1637640050">
                      <w:marLeft w:val="0"/>
                      <w:marRight w:val="0"/>
                      <w:marTop w:val="0"/>
                      <w:marBottom w:val="0"/>
                      <w:divBdr>
                        <w:top w:val="none" w:sz="0" w:space="0" w:color="auto"/>
                        <w:left w:val="none" w:sz="0" w:space="0" w:color="auto"/>
                        <w:bottom w:val="none" w:sz="0" w:space="0" w:color="auto"/>
                        <w:right w:val="none" w:sz="0" w:space="0" w:color="auto"/>
                      </w:divBdr>
                    </w:div>
                  </w:divsChild>
                </w:div>
                <w:div w:id="1010448327">
                  <w:marLeft w:val="0"/>
                  <w:marRight w:val="0"/>
                  <w:marTop w:val="0"/>
                  <w:marBottom w:val="0"/>
                  <w:divBdr>
                    <w:top w:val="none" w:sz="0" w:space="0" w:color="auto"/>
                    <w:left w:val="none" w:sz="0" w:space="0" w:color="auto"/>
                    <w:bottom w:val="none" w:sz="0" w:space="0" w:color="auto"/>
                    <w:right w:val="none" w:sz="0" w:space="0" w:color="auto"/>
                  </w:divBdr>
                  <w:divsChild>
                    <w:div w:id="1914898067">
                      <w:marLeft w:val="0"/>
                      <w:marRight w:val="0"/>
                      <w:marTop w:val="0"/>
                      <w:marBottom w:val="0"/>
                      <w:divBdr>
                        <w:top w:val="none" w:sz="0" w:space="0" w:color="auto"/>
                        <w:left w:val="none" w:sz="0" w:space="0" w:color="auto"/>
                        <w:bottom w:val="none" w:sz="0" w:space="0" w:color="auto"/>
                        <w:right w:val="none" w:sz="0" w:space="0" w:color="auto"/>
                      </w:divBdr>
                    </w:div>
                  </w:divsChild>
                </w:div>
                <w:div w:id="1019428335">
                  <w:marLeft w:val="0"/>
                  <w:marRight w:val="0"/>
                  <w:marTop w:val="0"/>
                  <w:marBottom w:val="0"/>
                  <w:divBdr>
                    <w:top w:val="none" w:sz="0" w:space="0" w:color="auto"/>
                    <w:left w:val="none" w:sz="0" w:space="0" w:color="auto"/>
                    <w:bottom w:val="none" w:sz="0" w:space="0" w:color="auto"/>
                    <w:right w:val="none" w:sz="0" w:space="0" w:color="auto"/>
                  </w:divBdr>
                  <w:divsChild>
                    <w:div w:id="1326980013">
                      <w:marLeft w:val="0"/>
                      <w:marRight w:val="0"/>
                      <w:marTop w:val="0"/>
                      <w:marBottom w:val="0"/>
                      <w:divBdr>
                        <w:top w:val="none" w:sz="0" w:space="0" w:color="auto"/>
                        <w:left w:val="none" w:sz="0" w:space="0" w:color="auto"/>
                        <w:bottom w:val="none" w:sz="0" w:space="0" w:color="auto"/>
                        <w:right w:val="none" w:sz="0" w:space="0" w:color="auto"/>
                      </w:divBdr>
                    </w:div>
                  </w:divsChild>
                </w:div>
                <w:div w:id="1029137002">
                  <w:marLeft w:val="0"/>
                  <w:marRight w:val="0"/>
                  <w:marTop w:val="0"/>
                  <w:marBottom w:val="0"/>
                  <w:divBdr>
                    <w:top w:val="none" w:sz="0" w:space="0" w:color="auto"/>
                    <w:left w:val="none" w:sz="0" w:space="0" w:color="auto"/>
                    <w:bottom w:val="none" w:sz="0" w:space="0" w:color="auto"/>
                    <w:right w:val="none" w:sz="0" w:space="0" w:color="auto"/>
                  </w:divBdr>
                  <w:divsChild>
                    <w:div w:id="1068458676">
                      <w:marLeft w:val="0"/>
                      <w:marRight w:val="0"/>
                      <w:marTop w:val="0"/>
                      <w:marBottom w:val="0"/>
                      <w:divBdr>
                        <w:top w:val="none" w:sz="0" w:space="0" w:color="auto"/>
                        <w:left w:val="none" w:sz="0" w:space="0" w:color="auto"/>
                        <w:bottom w:val="none" w:sz="0" w:space="0" w:color="auto"/>
                        <w:right w:val="none" w:sz="0" w:space="0" w:color="auto"/>
                      </w:divBdr>
                    </w:div>
                  </w:divsChild>
                </w:div>
                <w:div w:id="1040324333">
                  <w:marLeft w:val="0"/>
                  <w:marRight w:val="0"/>
                  <w:marTop w:val="0"/>
                  <w:marBottom w:val="0"/>
                  <w:divBdr>
                    <w:top w:val="none" w:sz="0" w:space="0" w:color="auto"/>
                    <w:left w:val="none" w:sz="0" w:space="0" w:color="auto"/>
                    <w:bottom w:val="none" w:sz="0" w:space="0" w:color="auto"/>
                    <w:right w:val="none" w:sz="0" w:space="0" w:color="auto"/>
                  </w:divBdr>
                  <w:divsChild>
                    <w:div w:id="1105034934">
                      <w:marLeft w:val="0"/>
                      <w:marRight w:val="0"/>
                      <w:marTop w:val="0"/>
                      <w:marBottom w:val="0"/>
                      <w:divBdr>
                        <w:top w:val="none" w:sz="0" w:space="0" w:color="auto"/>
                        <w:left w:val="none" w:sz="0" w:space="0" w:color="auto"/>
                        <w:bottom w:val="none" w:sz="0" w:space="0" w:color="auto"/>
                        <w:right w:val="none" w:sz="0" w:space="0" w:color="auto"/>
                      </w:divBdr>
                    </w:div>
                  </w:divsChild>
                </w:div>
                <w:div w:id="1078404176">
                  <w:marLeft w:val="0"/>
                  <w:marRight w:val="0"/>
                  <w:marTop w:val="0"/>
                  <w:marBottom w:val="0"/>
                  <w:divBdr>
                    <w:top w:val="none" w:sz="0" w:space="0" w:color="auto"/>
                    <w:left w:val="none" w:sz="0" w:space="0" w:color="auto"/>
                    <w:bottom w:val="none" w:sz="0" w:space="0" w:color="auto"/>
                    <w:right w:val="none" w:sz="0" w:space="0" w:color="auto"/>
                  </w:divBdr>
                  <w:divsChild>
                    <w:div w:id="1694765275">
                      <w:marLeft w:val="0"/>
                      <w:marRight w:val="0"/>
                      <w:marTop w:val="0"/>
                      <w:marBottom w:val="0"/>
                      <w:divBdr>
                        <w:top w:val="none" w:sz="0" w:space="0" w:color="auto"/>
                        <w:left w:val="none" w:sz="0" w:space="0" w:color="auto"/>
                        <w:bottom w:val="none" w:sz="0" w:space="0" w:color="auto"/>
                        <w:right w:val="none" w:sz="0" w:space="0" w:color="auto"/>
                      </w:divBdr>
                    </w:div>
                  </w:divsChild>
                </w:div>
                <w:div w:id="1080641304">
                  <w:marLeft w:val="0"/>
                  <w:marRight w:val="0"/>
                  <w:marTop w:val="0"/>
                  <w:marBottom w:val="0"/>
                  <w:divBdr>
                    <w:top w:val="none" w:sz="0" w:space="0" w:color="auto"/>
                    <w:left w:val="none" w:sz="0" w:space="0" w:color="auto"/>
                    <w:bottom w:val="none" w:sz="0" w:space="0" w:color="auto"/>
                    <w:right w:val="none" w:sz="0" w:space="0" w:color="auto"/>
                  </w:divBdr>
                  <w:divsChild>
                    <w:div w:id="1418017477">
                      <w:marLeft w:val="0"/>
                      <w:marRight w:val="0"/>
                      <w:marTop w:val="0"/>
                      <w:marBottom w:val="0"/>
                      <w:divBdr>
                        <w:top w:val="none" w:sz="0" w:space="0" w:color="auto"/>
                        <w:left w:val="none" w:sz="0" w:space="0" w:color="auto"/>
                        <w:bottom w:val="none" w:sz="0" w:space="0" w:color="auto"/>
                        <w:right w:val="none" w:sz="0" w:space="0" w:color="auto"/>
                      </w:divBdr>
                    </w:div>
                  </w:divsChild>
                </w:div>
                <w:div w:id="1105996879">
                  <w:marLeft w:val="0"/>
                  <w:marRight w:val="0"/>
                  <w:marTop w:val="0"/>
                  <w:marBottom w:val="0"/>
                  <w:divBdr>
                    <w:top w:val="none" w:sz="0" w:space="0" w:color="auto"/>
                    <w:left w:val="none" w:sz="0" w:space="0" w:color="auto"/>
                    <w:bottom w:val="none" w:sz="0" w:space="0" w:color="auto"/>
                    <w:right w:val="none" w:sz="0" w:space="0" w:color="auto"/>
                  </w:divBdr>
                  <w:divsChild>
                    <w:div w:id="1518690950">
                      <w:marLeft w:val="0"/>
                      <w:marRight w:val="0"/>
                      <w:marTop w:val="0"/>
                      <w:marBottom w:val="0"/>
                      <w:divBdr>
                        <w:top w:val="none" w:sz="0" w:space="0" w:color="auto"/>
                        <w:left w:val="none" w:sz="0" w:space="0" w:color="auto"/>
                        <w:bottom w:val="none" w:sz="0" w:space="0" w:color="auto"/>
                        <w:right w:val="none" w:sz="0" w:space="0" w:color="auto"/>
                      </w:divBdr>
                    </w:div>
                  </w:divsChild>
                </w:div>
                <w:div w:id="1198663360">
                  <w:marLeft w:val="0"/>
                  <w:marRight w:val="0"/>
                  <w:marTop w:val="0"/>
                  <w:marBottom w:val="0"/>
                  <w:divBdr>
                    <w:top w:val="none" w:sz="0" w:space="0" w:color="auto"/>
                    <w:left w:val="none" w:sz="0" w:space="0" w:color="auto"/>
                    <w:bottom w:val="none" w:sz="0" w:space="0" w:color="auto"/>
                    <w:right w:val="none" w:sz="0" w:space="0" w:color="auto"/>
                  </w:divBdr>
                  <w:divsChild>
                    <w:div w:id="719138070">
                      <w:marLeft w:val="0"/>
                      <w:marRight w:val="0"/>
                      <w:marTop w:val="0"/>
                      <w:marBottom w:val="0"/>
                      <w:divBdr>
                        <w:top w:val="none" w:sz="0" w:space="0" w:color="auto"/>
                        <w:left w:val="none" w:sz="0" w:space="0" w:color="auto"/>
                        <w:bottom w:val="none" w:sz="0" w:space="0" w:color="auto"/>
                        <w:right w:val="none" w:sz="0" w:space="0" w:color="auto"/>
                      </w:divBdr>
                    </w:div>
                  </w:divsChild>
                </w:div>
                <w:div w:id="1206062818">
                  <w:marLeft w:val="0"/>
                  <w:marRight w:val="0"/>
                  <w:marTop w:val="0"/>
                  <w:marBottom w:val="0"/>
                  <w:divBdr>
                    <w:top w:val="none" w:sz="0" w:space="0" w:color="auto"/>
                    <w:left w:val="none" w:sz="0" w:space="0" w:color="auto"/>
                    <w:bottom w:val="none" w:sz="0" w:space="0" w:color="auto"/>
                    <w:right w:val="none" w:sz="0" w:space="0" w:color="auto"/>
                  </w:divBdr>
                  <w:divsChild>
                    <w:div w:id="367531034">
                      <w:marLeft w:val="0"/>
                      <w:marRight w:val="0"/>
                      <w:marTop w:val="0"/>
                      <w:marBottom w:val="0"/>
                      <w:divBdr>
                        <w:top w:val="none" w:sz="0" w:space="0" w:color="auto"/>
                        <w:left w:val="none" w:sz="0" w:space="0" w:color="auto"/>
                        <w:bottom w:val="none" w:sz="0" w:space="0" w:color="auto"/>
                        <w:right w:val="none" w:sz="0" w:space="0" w:color="auto"/>
                      </w:divBdr>
                    </w:div>
                  </w:divsChild>
                </w:div>
                <w:div w:id="1241602360">
                  <w:marLeft w:val="0"/>
                  <w:marRight w:val="0"/>
                  <w:marTop w:val="0"/>
                  <w:marBottom w:val="0"/>
                  <w:divBdr>
                    <w:top w:val="none" w:sz="0" w:space="0" w:color="auto"/>
                    <w:left w:val="none" w:sz="0" w:space="0" w:color="auto"/>
                    <w:bottom w:val="none" w:sz="0" w:space="0" w:color="auto"/>
                    <w:right w:val="none" w:sz="0" w:space="0" w:color="auto"/>
                  </w:divBdr>
                  <w:divsChild>
                    <w:div w:id="1419911853">
                      <w:marLeft w:val="0"/>
                      <w:marRight w:val="0"/>
                      <w:marTop w:val="0"/>
                      <w:marBottom w:val="0"/>
                      <w:divBdr>
                        <w:top w:val="none" w:sz="0" w:space="0" w:color="auto"/>
                        <w:left w:val="none" w:sz="0" w:space="0" w:color="auto"/>
                        <w:bottom w:val="none" w:sz="0" w:space="0" w:color="auto"/>
                        <w:right w:val="none" w:sz="0" w:space="0" w:color="auto"/>
                      </w:divBdr>
                    </w:div>
                  </w:divsChild>
                </w:div>
                <w:div w:id="1252085044">
                  <w:marLeft w:val="0"/>
                  <w:marRight w:val="0"/>
                  <w:marTop w:val="0"/>
                  <w:marBottom w:val="0"/>
                  <w:divBdr>
                    <w:top w:val="none" w:sz="0" w:space="0" w:color="auto"/>
                    <w:left w:val="none" w:sz="0" w:space="0" w:color="auto"/>
                    <w:bottom w:val="none" w:sz="0" w:space="0" w:color="auto"/>
                    <w:right w:val="none" w:sz="0" w:space="0" w:color="auto"/>
                  </w:divBdr>
                  <w:divsChild>
                    <w:div w:id="885995312">
                      <w:marLeft w:val="0"/>
                      <w:marRight w:val="0"/>
                      <w:marTop w:val="0"/>
                      <w:marBottom w:val="0"/>
                      <w:divBdr>
                        <w:top w:val="none" w:sz="0" w:space="0" w:color="auto"/>
                        <w:left w:val="none" w:sz="0" w:space="0" w:color="auto"/>
                        <w:bottom w:val="none" w:sz="0" w:space="0" w:color="auto"/>
                        <w:right w:val="none" w:sz="0" w:space="0" w:color="auto"/>
                      </w:divBdr>
                    </w:div>
                  </w:divsChild>
                </w:div>
                <w:div w:id="1256793213">
                  <w:marLeft w:val="0"/>
                  <w:marRight w:val="0"/>
                  <w:marTop w:val="0"/>
                  <w:marBottom w:val="0"/>
                  <w:divBdr>
                    <w:top w:val="none" w:sz="0" w:space="0" w:color="auto"/>
                    <w:left w:val="none" w:sz="0" w:space="0" w:color="auto"/>
                    <w:bottom w:val="none" w:sz="0" w:space="0" w:color="auto"/>
                    <w:right w:val="none" w:sz="0" w:space="0" w:color="auto"/>
                  </w:divBdr>
                  <w:divsChild>
                    <w:div w:id="314335698">
                      <w:marLeft w:val="0"/>
                      <w:marRight w:val="0"/>
                      <w:marTop w:val="0"/>
                      <w:marBottom w:val="0"/>
                      <w:divBdr>
                        <w:top w:val="none" w:sz="0" w:space="0" w:color="auto"/>
                        <w:left w:val="none" w:sz="0" w:space="0" w:color="auto"/>
                        <w:bottom w:val="none" w:sz="0" w:space="0" w:color="auto"/>
                        <w:right w:val="none" w:sz="0" w:space="0" w:color="auto"/>
                      </w:divBdr>
                    </w:div>
                  </w:divsChild>
                </w:div>
                <w:div w:id="1306933423">
                  <w:marLeft w:val="0"/>
                  <w:marRight w:val="0"/>
                  <w:marTop w:val="0"/>
                  <w:marBottom w:val="0"/>
                  <w:divBdr>
                    <w:top w:val="none" w:sz="0" w:space="0" w:color="auto"/>
                    <w:left w:val="none" w:sz="0" w:space="0" w:color="auto"/>
                    <w:bottom w:val="none" w:sz="0" w:space="0" w:color="auto"/>
                    <w:right w:val="none" w:sz="0" w:space="0" w:color="auto"/>
                  </w:divBdr>
                  <w:divsChild>
                    <w:div w:id="39478972">
                      <w:marLeft w:val="0"/>
                      <w:marRight w:val="0"/>
                      <w:marTop w:val="0"/>
                      <w:marBottom w:val="0"/>
                      <w:divBdr>
                        <w:top w:val="none" w:sz="0" w:space="0" w:color="auto"/>
                        <w:left w:val="none" w:sz="0" w:space="0" w:color="auto"/>
                        <w:bottom w:val="none" w:sz="0" w:space="0" w:color="auto"/>
                        <w:right w:val="none" w:sz="0" w:space="0" w:color="auto"/>
                      </w:divBdr>
                    </w:div>
                  </w:divsChild>
                </w:div>
                <w:div w:id="1326589121">
                  <w:marLeft w:val="0"/>
                  <w:marRight w:val="0"/>
                  <w:marTop w:val="0"/>
                  <w:marBottom w:val="0"/>
                  <w:divBdr>
                    <w:top w:val="none" w:sz="0" w:space="0" w:color="auto"/>
                    <w:left w:val="none" w:sz="0" w:space="0" w:color="auto"/>
                    <w:bottom w:val="none" w:sz="0" w:space="0" w:color="auto"/>
                    <w:right w:val="none" w:sz="0" w:space="0" w:color="auto"/>
                  </w:divBdr>
                  <w:divsChild>
                    <w:div w:id="10037797">
                      <w:marLeft w:val="0"/>
                      <w:marRight w:val="0"/>
                      <w:marTop w:val="0"/>
                      <w:marBottom w:val="0"/>
                      <w:divBdr>
                        <w:top w:val="none" w:sz="0" w:space="0" w:color="auto"/>
                        <w:left w:val="none" w:sz="0" w:space="0" w:color="auto"/>
                        <w:bottom w:val="none" w:sz="0" w:space="0" w:color="auto"/>
                        <w:right w:val="none" w:sz="0" w:space="0" w:color="auto"/>
                      </w:divBdr>
                    </w:div>
                  </w:divsChild>
                </w:div>
                <w:div w:id="1333333877">
                  <w:marLeft w:val="0"/>
                  <w:marRight w:val="0"/>
                  <w:marTop w:val="0"/>
                  <w:marBottom w:val="0"/>
                  <w:divBdr>
                    <w:top w:val="none" w:sz="0" w:space="0" w:color="auto"/>
                    <w:left w:val="none" w:sz="0" w:space="0" w:color="auto"/>
                    <w:bottom w:val="none" w:sz="0" w:space="0" w:color="auto"/>
                    <w:right w:val="none" w:sz="0" w:space="0" w:color="auto"/>
                  </w:divBdr>
                  <w:divsChild>
                    <w:div w:id="1070424303">
                      <w:marLeft w:val="0"/>
                      <w:marRight w:val="0"/>
                      <w:marTop w:val="0"/>
                      <w:marBottom w:val="0"/>
                      <w:divBdr>
                        <w:top w:val="none" w:sz="0" w:space="0" w:color="auto"/>
                        <w:left w:val="none" w:sz="0" w:space="0" w:color="auto"/>
                        <w:bottom w:val="none" w:sz="0" w:space="0" w:color="auto"/>
                        <w:right w:val="none" w:sz="0" w:space="0" w:color="auto"/>
                      </w:divBdr>
                    </w:div>
                  </w:divsChild>
                </w:div>
                <w:div w:id="1335063885">
                  <w:marLeft w:val="0"/>
                  <w:marRight w:val="0"/>
                  <w:marTop w:val="0"/>
                  <w:marBottom w:val="0"/>
                  <w:divBdr>
                    <w:top w:val="none" w:sz="0" w:space="0" w:color="auto"/>
                    <w:left w:val="none" w:sz="0" w:space="0" w:color="auto"/>
                    <w:bottom w:val="none" w:sz="0" w:space="0" w:color="auto"/>
                    <w:right w:val="none" w:sz="0" w:space="0" w:color="auto"/>
                  </w:divBdr>
                  <w:divsChild>
                    <w:div w:id="174462893">
                      <w:marLeft w:val="0"/>
                      <w:marRight w:val="0"/>
                      <w:marTop w:val="0"/>
                      <w:marBottom w:val="0"/>
                      <w:divBdr>
                        <w:top w:val="none" w:sz="0" w:space="0" w:color="auto"/>
                        <w:left w:val="none" w:sz="0" w:space="0" w:color="auto"/>
                        <w:bottom w:val="none" w:sz="0" w:space="0" w:color="auto"/>
                        <w:right w:val="none" w:sz="0" w:space="0" w:color="auto"/>
                      </w:divBdr>
                    </w:div>
                  </w:divsChild>
                </w:div>
                <w:div w:id="1388796751">
                  <w:marLeft w:val="0"/>
                  <w:marRight w:val="0"/>
                  <w:marTop w:val="0"/>
                  <w:marBottom w:val="0"/>
                  <w:divBdr>
                    <w:top w:val="none" w:sz="0" w:space="0" w:color="auto"/>
                    <w:left w:val="none" w:sz="0" w:space="0" w:color="auto"/>
                    <w:bottom w:val="none" w:sz="0" w:space="0" w:color="auto"/>
                    <w:right w:val="none" w:sz="0" w:space="0" w:color="auto"/>
                  </w:divBdr>
                  <w:divsChild>
                    <w:div w:id="283197697">
                      <w:marLeft w:val="0"/>
                      <w:marRight w:val="0"/>
                      <w:marTop w:val="0"/>
                      <w:marBottom w:val="0"/>
                      <w:divBdr>
                        <w:top w:val="none" w:sz="0" w:space="0" w:color="auto"/>
                        <w:left w:val="none" w:sz="0" w:space="0" w:color="auto"/>
                        <w:bottom w:val="none" w:sz="0" w:space="0" w:color="auto"/>
                        <w:right w:val="none" w:sz="0" w:space="0" w:color="auto"/>
                      </w:divBdr>
                    </w:div>
                  </w:divsChild>
                </w:div>
                <w:div w:id="1447846683">
                  <w:marLeft w:val="0"/>
                  <w:marRight w:val="0"/>
                  <w:marTop w:val="0"/>
                  <w:marBottom w:val="0"/>
                  <w:divBdr>
                    <w:top w:val="none" w:sz="0" w:space="0" w:color="auto"/>
                    <w:left w:val="none" w:sz="0" w:space="0" w:color="auto"/>
                    <w:bottom w:val="none" w:sz="0" w:space="0" w:color="auto"/>
                    <w:right w:val="none" w:sz="0" w:space="0" w:color="auto"/>
                  </w:divBdr>
                  <w:divsChild>
                    <w:div w:id="1557547232">
                      <w:marLeft w:val="0"/>
                      <w:marRight w:val="0"/>
                      <w:marTop w:val="0"/>
                      <w:marBottom w:val="0"/>
                      <w:divBdr>
                        <w:top w:val="none" w:sz="0" w:space="0" w:color="auto"/>
                        <w:left w:val="none" w:sz="0" w:space="0" w:color="auto"/>
                        <w:bottom w:val="none" w:sz="0" w:space="0" w:color="auto"/>
                        <w:right w:val="none" w:sz="0" w:space="0" w:color="auto"/>
                      </w:divBdr>
                    </w:div>
                  </w:divsChild>
                </w:div>
                <w:div w:id="1451775773">
                  <w:marLeft w:val="0"/>
                  <w:marRight w:val="0"/>
                  <w:marTop w:val="0"/>
                  <w:marBottom w:val="0"/>
                  <w:divBdr>
                    <w:top w:val="none" w:sz="0" w:space="0" w:color="auto"/>
                    <w:left w:val="none" w:sz="0" w:space="0" w:color="auto"/>
                    <w:bottom w:val="none" w:sz="0" w:space="0" w:color="auto"/>
                    <w:right w:val="none" w:sz="0" w:space="0" w:color="auto"/>
                  </w:divBdr>
                  <w:divsChild>
                    <w:div w:id="1828403420">
                      <w:marLeft w:val="0"/>
                      <w:marRight w:val="0"/>
                      <w:marTop w:val="0"/>
                      <w:marBottom w:val="0"/>
                      <w:divBdr>
                        <w:top w:val="none" w:sz="0" w:space="0" w:color="auto"/>
                        <w:left w:val="none" w:sz="0" w:space="0" w:color="auto"/>
                        <w:bottom w:val="none" w:sz="0" w:space="0" w:color="auto"/>
                        <w:right w:val="none" w:sz="0" w:space="0" w:color="auto"/>
                      </w:divBdr>
                    </w:div>
                  </w:divsChild>
                </w:div>
                <w:div w:id="1484811468">
                  <w:marLeft w:val="0"/>
                  <w:marRight w:val="0"/>
                  <w:marTop w:val="0"/>
                  <w:marBottom w:val="0"/>
                  <w:divBdr>
                    <w:top w:val="none" w:sz="0" w:space="0" w:color="auto"/>
                    <w:left w:val="none" w:sz="0" w:space="0" w:color="auto"/>
                    <w:bottom w:val="none" w:sz="0" w:space="0" w:color="auto"/>
                    <w:right w:val="none" w:sz="0" w:space="0" w:color="auto"/>
                  </w:divBdr>
                  <w:divsChild>
                    <w:div w:id="266541744">
                      <w:marLeft w:val="0"/>
                      <w:marRight w:val="0"/>
                      <w:marTop w:val="0"/>
                      <w:marBottom w:val="0"/>
                      <w:divBdr>
                        <w:top w:val="none" w:sz="0" w:space="0" w:color="auto"/>
                        <w:left w:val="none" w:sz="0" w:space="0" w:color="auto"/>
                        <w:bottom w:val="none" w:sz="0" w:space="0" w:color="auto"/>
                        <w:right w:val="none" w:sz="0" w:space="0" w:color="auto"/>
                      </w:divBdr>
                    </w:div>
                  </w:divsChild>
                </w:div>
                <w:div w:id="1540389152">
                  <w:marLeft w:val="0"/>
                  <w:marRight w:val="0"/>
                  <w:marTop w:val="0"/>
                  <w:marBottom w:val="0"/>
                  <w:divBdr>
                    <w:top w:val="none" w:sz="0" w:space="0" w:color="auto"/>
                    <w:left w:val="none" w:sz="0" w:space="0" w:color="auto"/>
                    <w:bottom w:val="none" w:sz="0" w:space="0" w:color="auto"/>
                    <w:right w:val="none" w:sz="0" w:space="0" w:color="auto"/>
                  </w:divBdr>
                  <w:divsChild>
                    <w:div w:id="163059973">
                      <w:marLeft w:val="0"/>
                      <w:marRight w:val="0"/>
                      <w:marTop w:val="0"/>
                      <w:marBottom w:val="0"/>
                      <w:divBdr>
                        <w:top w:val="none" w:sz="0" w:space="0" w:color="auto"/>
                        <w:left w:val="none" w:sz="0" w:space="0" w:color="auto"/>
                        <w:bottom w:val="none" w:sz="0" w:space="0" w:color="auto"/>
                        <w:right w:val="none" w:sz="0" w:space="0" w:color="auto"/>
                      </w:divBdr>
                    </w:div>
                  </w:divsChild>
                </w:div>
                <w:div w:id="1564213546">
                  <w:marLeft w:val="0"/>
                  <w:marRight w:val="0"/>
                  <w:marTop w:val="0"/>
                  <w:marBottom w:val="0"/>
                  <w:divBdr>
                    <w:top w:val="none" w:sz="0" w:space="0" w:color="auto"/>
                    <w:left w:val="none" w:sz="0" w:space="0" w:color="auto"/>
                    <w:bottom w:val="none" w:sz="0" w:space="0" w:color="auto"/>
                    <w:right w:val="none" w:sz="0" w:space="0" w:color="auto"/>
                  </w:divBdr>
                  <w:divsChild>
                    <w:div w:id="1684937669">
                      <w:marLeft w:val="0"/>
                      <w:marRight w:val="0"/>
                      <w:marTop w:val="0"/>
                      <w:marBottom w:val="0"/>
                      <w:divBdr>
                        <w:top w:val="none" w:sz="0" w:space="0" w:color="auto"/>
                        <w:left w:val="none" w:sz="0" w:space="0" w:color="auto"/>
                        <w:bottom w:val="none" w:sz="0" w:space="0" w:color="auto"/>
                        <w:right w:val="none" w:sz="0" w:space="0" w:color="auto"/>
                      </w:divBdr>
                    </w:div>
                  </w:divsChild>
                </w:div>
                <w:div w:id="1564945777">
                  <w:marLeft w:val="0"/>
                  <w:marRight w:val="0"/>
                  <w:marTop w:val="0"/>
                  <w:marBottom w:val="0"/>
                  <w:divBdr>
                    <w:top w:val="none" w:sz="0" w:space="0" w:color="auto"/>
                    <w:left w:val="none" w:sz="0" w:space="0" w:color="auto"/>
                    <w:bottom w:val="none" w:sz="0" w:space="0" w:color="auto"/>
                    <w:right w:val="none" w:sz="0" w:space="0" w:color="auto"/>
                  </w:divBdr>
                  <w:divsChild>
                    <w:div w:id="1901165712">
                      <w:marLeft w:val="0"/>
                      <w:marRight w:val="0"/>
                      <w:marTop w:val="0"/>
                      <w:marBottom w:val="0"/>
                      <w:divBdr>
                        <w:top w:val="none" w:sz="0" w:space="0" w:color="auto"/>
                        <w:left w:val="none" w:sz="0" w:space="0" w:color="auto"/>
                        <w:bottom w:val="none" w:sz="0" w:space="0" w:color="auto"/>
                        <w:right w:val="none" w:sz="0" w:space="0" w:color="auto"/>
                      </w:divBdr>
                    </w:div>
                  </w:divsChild>
                </w:div>
                <w:div w:id="1570191750">
                  <w:marLeft w:val="0"/>
                  <w:marRight w:val="0"/>
                  <w:marTop w:val="0"/>
                  <w:marBottom w:val="0"/>
                  <w:divBdr>
                    <w:top w:val="none" w:sz="0" w:space="0" w:color="auto"/>
                    <w:left w:val="none" w:sz="0" w:space="0" w:color="auto"/>
                    <w:bottom w:val="none" w:sz="0" w:space="0" w:color="auto"/>
                    <w:right w:val="none" w:sz="0" w:space="0" w:color="auto"/>
                  </w:divBdr>
                  <w:divsChild>
                    <w:div w:id="317850189">
                      <w:marLeft w:val="0"/>
                      <w:marRight w:val="0"/>
                      <w:marTop w:val="0"/>
                      <w:marBottom w:val="0"/>
                      <w:divBdr>
                        <w:top w:val="none" w:sz="0" w:space="0" w:color="auto"/>
                        <w:left w:val="none" w:sz="0" w:space="0" w:color="auto"/>
                        <w:bottom w:val="none" w:sz="0" w:space="0" w:color="auto"/>
                        <w:right w:val="none" w:sz="0" w:space="0" w:color="auto"/>
                      </w:divBdr>
                    </w:div>
                  </w:divsChild>
                </w:div>
                <w:div w:id="1588609778">
                  <w:marLeft w:val="0"/>
                  <w:marRight w:val="0"/>
                  <w:marTop w:val="0"/>
                  <w:marBottom w:val="0"/>
                  <w:divBdr>
                    <w:top w:val="none" w:sz="0" w:space="0" w:color="auto"/>
                    <w:left w:val="none" w:sz="0" w:space="0" w:color="auto"/>
                    <w:bottom w:val="none" w:sz="0" w:space="0" w:color="auto"/>
                    <w:right w:val="none" w:sz="0" w:space="0" w:color="auto"/>
                  </w:divBdr>
                  <w:divsChild>
                    <w:div w:id="1799227281">
                      <w:marLeft w:val="0"/>
                      <w:marRight w:val="0"/>
                      <w:marTop w:val="0"/>
                      <w:marBottom w:val="0"/>
                      <w:divBdr>
                        <w:top w:val="none" w:sz="0" w:space="0" w:color="auto"/>
                        <w:left w:val="none" w:sz="0" w:space="0" w:color="auto"/>
                        <w:bottom w:val="none" w:sz="0" w:space="0" w:color="auto"/>
                        <w:right w:val="none" w:sz="0" w:space="0" w:color="auto"/>
                      </w:divBdr>
                    </w:div>
                  </w:divsChild>
                </w:div>
                <w:div w:id="1621183561">
                  <w:marLeft w:val="0"/>
                  <w:marRight w:val="0"/>
                  <w:marTop w:val="0"/>
                  <w:marBottom w:val="0"/>
                  <w:divBdr>
                    <w:top w:val="none" w:sz="0" w:space="0" w:color="auto"/>
                    <w:left w:val="none" w:sz="0" w:space="0" w:color="auto"/>
                    <w:bottom w:val="none" w:sz="0" w:space="0" w:color="auto"/>
                    <w:right w:val="none" w:sz="0" w:space="0" w:color="auto"/>
                  </w:divBdr>
                  <w:divsChild>
                    <w:div w:id="1954702008">
                      <w:marLeft w:val="0"/>
                      <w:marRight w:val="0"/>
                      <w:marTop w:val="0"/>
                      <w:marBottom w:val="0"/>
                      <w:divBdr>
                        <w:top w:val="none" w:sz="0" w:space="0" w:color="auto"/>
                        <w:left w:val="none" w:sz="0" w:space="0" w:color="auto"/>
                        <w:bottom w:val="none" w:sz="0" w:space="0" w:color="auto"/>
                        <w:right w:val="none" w:sz="0" w:space="0" w:color="auto"/>
                      </w:divBdr>
                    </w:div>
                  </w:divsChild>
                </w:div>
                <w:div w:id="1649675538">
                  <w:marLeft w:val="0"/>
                  <w:marRight w:val="0"/>
                  <w:marTop w:val="0"/>
                  <w:marBottom w:val="0"/>
                  <w:divBdr>
                    <w:top w:val="none" w:sz="0" w:space="0" w:color="auto"/>
                    <w:left w:val="none" w:sz="0" w:space="0" w:color="auto"/>
                    <w:bottom w:val="none" w:sz="0" w:space="0" w:color="auto"/>
                    <w:right w:val="none" w:sz="0" w:space="0" w:color="auto"/>
                  </w:divBdr>
                  <w:divsChild>
                    <w:div w:id="866796411">
                      <w:marLeft w:val="0"/>
                      <w:marRight w:val="0"/>
                      <w:marTop w:val="0"/>
                      <w:marBottom w:val="0"/>
                      <w:divBdr>
                        <w:top w:val="none" w:sz="0" w:space="0" w:color="auto"/>
                        <w:left w:val="none" w:sz="0" w:space="0" w:color="auto"/>
                        <w:bottom w:val="none" w:sz="0" w:space="0" w:color="auto"/>
                        <w:right w:val="none" w:sz="0" w:space="0" w:color="auto"/>
                      </w:divBdr>
                    </w:div>
                  </w:divsChild>
                </w:div>
                <w:div w:id="1690789671">
                  <w:marLeft w:val="0"/>
                  <w:marRight w:val="0"/>
                  <w:marTop w:val="0"/>
                  <w:marBottom w:val="0"/>
                  <w:divBdr>
                    <w:top w:val="none" w:sz="0" w:space="0" w:color="auto"/>
                    <w:left w:val="none" w:sz="0" w:space="0" w:color="auto"/>
                    <w:bottom w:val="none" w:sz="0" w:space="0" w:color="auto"/>
                    <w:right w:val="none" w:sz="0" w:space="0" w:color="auto"/>
                  </w:divBdr>
                  <w:divsChild>
                    <w:div w:id="748578586">
                      <w:marLeft w:val="0"/>
                      <w:marRight w:val="0"/>
                      <w:marTop w:val="0"/>
                      <w:marBottom w:val="0"/>
                      <w:divBdr>
                        <w:top w:val="none" w:sz="0" w:space="0" w:color="auto"/>
                        <w:left w:val="none" w:sz="0" w:space="0" w:color="auto"/>
                        <w:bottom w:val="none" w:sz="0" w:space="0" w:color="auto"/>
                        <w:right w:val="none" w:sz="0" w:space="0" w:color="auto"/>
                      </w:divBdr>
                    </w:div>
                  </w:divsChild>
                </w:div>
                <w:div w:id="1713532519">
                  <w:marLeft w:val="0"/>
                  <w:marRight w:val="0"/>
                  <w:marTop w:val="0"/>
                  <w:marBottom w:val="0"/>
                  <w:divBdr>
                    <w:top w:val="none" w:sz="0" w:space="0" w:color="auto"/>
                    <w:left w:val="none" w:sz="0" w:space="0" w:color="auto"/>
                    <w:bottom w:val="none" w:sz="0" w:space="0" w:color="auto"/>
                    <w:right w:val="none" w:sz="0" w:space="0" w:color="auto"/>
                  </w:divBdr>
                  <w:divsChild>
                    <w:div w:id="412749404">
                      <w:marLeft w:val="0"/>
                      <w:marRight w:val="0"/>
                      <w:marTop w:val="0"/>
                      <w:marBottom w:val="0"/>
                      <w:divBdr>
                        <w:top w:val="none" w:sz="0" w:space="0" w:color="auto"/>
                        <w:left w:val="none" w:sz="0" w:space="0" w:color="auto"/>
                        <w:bottom w:val="none" w:sz="0" w:space="0" w:color="auto"/>
                        <w:right w:val="none" w:sz="0" w:space="0" w:color="auto"/>
                      </w:divBdr>
                    </w:div>
                  </w:divsChild>
                </w:div>
                <w:div w:id="1743284664">
                  <w:marLeft w:val="0"/>
                  <w:marRight w:val="0"/>
                  <w:marTop w:val="0"/>
                  <w:marBottom w:val="0"/>
                  <w:divBdr>
                    <w:top w:val="none" w:sz="0" w:space="0" w:color="auto"/>
                    <w:left w:val="none" w:sz="0" w:space="0" w:color="auto"/>
                    <w:bottom w:val="none" w:sz="0" w:space="0" w:color="auto"/>
                    <w:right w:val="none" w:sz="0" w:space="0" w:color="auto"/>
                  </w:divBdr>
                  <w:divsChild>
                    <w:div w:id="1738361230">
                      <w:marLeft w:val="0"/>
                      <w:marRight w:val="0"/>
                      <w:marTop w:val="0"/>
                      <w:marBottom w:val="0"/>
                      <w:divBdr>
                        <w:top w:val="none" w:sz="0" w:space="0" w:color="auto"/>
                        <w:left w:val="none" w:sz="0" w:space="0" w:color="auto"/>
                        <w:bottom w:val="none" w:sz="0" w:space="0" w:color="auto"/>
                        <w:right w:val="none" w:sz="0" w:space="0" w:color="auto"/>
                      </w:divBdr>
                    </w:div>
                  </w:divsChild>
                </w:div>
                <w:div w:id="1748571213">
                  <w:marLeft w:val="0"/>
                  <w:marRight w:val="0"/>
                  <w:marTop w:val="0"/>
                  <w:marBottom w:val="0"/>
                  <w:divBdr>
                    <w:top w:val="none" w:sz="0" w:space="0" w:color="auto"/>
                    <w:left w:val="none" w:sz="0" w:space="0" w:color="auto"/>
                    <w:bottom w:val="none" w:sz="0" w:space="0" w:color="auto"/>
                    <w:right w:val="none" w:sz="0" w:space="0" w:color="auto"/>
                  </w:divBdr>
                  <w:divsChild>
                    <w:div w:id="173302747">
                      <w:marLeft w:val="0"/>
                      <w:marRight w:val="0"/>
                      <w:marTop w:val="0"/>
                      <w:marBottom w:val="0"/>
                      <w:divBdr>
                        <w:top w:val="none" w:sz="0" w:space="0" w:color="auto"/>
                        <w:left w:val="none" w:sz="0" w:space="0" w:color="auto"/>
                        <w:bottom w:val="none" w:sz="0" w:space="0" w:color="auto"/>
                        <w:right w:val="none" w:sz="0" w:space="0" w:color="auto"/>
                      </w:divBdr>
                    </w:div>
                  </w:divsChild>
                </w:div>
                <w:div w:id="1749382490">
                  <w:marLeft w:val="0"/>
                  <w:marRight w:val="0"/>
                  <w:marTop w:val="0"/>
                  <w:marBottom w:val="0"/>
                  <w:divBdr>
                    <w:top w:val="none" w:sz="0" w:space="0" w:color="auto"/>
                    <w:left w:val="none" w:sz="0" w:space="0" w:color="auto"/>
                    <w:bottom w:val="none" w:sz="0" w:space="0" w:color="auto"/>
                    <w:right w:val="none" w:sz="0" w:space="0" w:color="auto"/>
                  </w:divBdr>
                  <w:divsChild>
                    <w:div w:id="2065985877">
                      <w:marLeft w:val="0"/>
                      <w:marRight w:val="0"/>
                      <w:marTop w:val="0"/>
                      <w:marBottom w:val="0"/>
                      <w:divBdr>
                        <w:top w:val="none" w:sz="0" w:space="0" w:color="auto"/>
                        <w:left w:val="none" w:sz="0" w:space="0" w:color="auto"/>
                        <w:bottom w:val="none" w:sz="0" w:space="0" w:color="auto"/>
                        <w:right w:val="none" w:sz="0" w:space="0" w:color="auto"/>
                      </w:divBdr>
                    </w:div>
                  </w:divsChild>
                </w:div>
                <w:div w:id="1753508972">
                  <w:marLeft w:val="0"/>
                  <w:marRight w:val="0"/>
                  <w:marTop w:val="0"/>
                  <w:marBottom w:val="0"/>
                  <w:divBdr>
                    <w:top w:val="none" w:sz="0" w:space="0" w:color="auto"/>
                    <w:left w:val="none" w:sz="0" w:space="0" w:color="auto"/>
                    <w:bottom w:val="none" w:sz="0" w:space="0" w:color="auto"/>
                    <w:right w:val="none" w:sz="0" w:space="0" w:color="auto"/>
                  </w:divBdr>
                  <w:divsChild>
                    <w:div w:id="1512526219">
                      <w:marLeft w:val="0"/>
                      <w:marRight w:val="0"/>
                      <w:marTop w:val="0"/>
                      <w:marBottom w:val="0"/>
                      <w:divBdr>
                        <w:top w:val="none" w:sz="0" w:space="0" w:color="auto"/>
                        <w:left w:val="none" w:sz="0" w:space="0" w:color="auto"/>
                        <w:bottom w:val="none" w:sz="0" w:space="0" w:color="auto"/>
                        <w:right w:val="none" w:sz="0" w:space="0" w:color="auto"/>
                      </w:divBdr>
                    </w:div>
                  </w:divsChild>
                </w:div>
                <w:div w:id="1754743720">
                  <w:marLeft w:val="0"/>
                  <w:marRight w:val="0"/>
                  <w:marTop w:val="0"/>
                  <w:marBottom w:val="0"/>
                  <w:divBdr>
                    <w:top w:val="none" w:sz="0" w:space="0" w:color="auto"/>
                    <w:left w:val="none" w:sz="0" w:space="0" w:color="auto"/>
                    <w:bottom w:val="none" w:sz="0" w:space="0" w:color="auto"/>
                    <w:right w:val="none" w:sz="0" w:space="0" w:color="auto"/>
                  </w:divBdr>
                  <w:divsChild>
                    <w:div w:id="602416500">
                      <w:marLeft w:val="0"/>
                      <w:marRight w:val="0"/>
                      <w:marTop w:val="0"/>
                      <w:marBottom w:val="0"/>
                      <w:divBdr>
                        <w:top w:val="none" w:sz="0" w:space="0" w:color="auto"/>
                        <w:left w:val="none" w:sz="0" w:space="0" w:color="auto"/>
                        <w:bottom w:val="none" w:sz="0" w:space="0" w:color="auto"/>
                        <w:right w:val="none" w:sz="0" w:space="0" w:color="auto"/>
                      </w:divBdr>
                    </w:div>
                  </w:divsChild>
                </w:div>
                <w:div w:id="1765109524">
                  <w:marLeft w:val="0"/>
                  <w:marRight w:val="0"/>
                  <w:marTop w:val="0"/>
                  <w:marBottom w:val="0"/>
                  <w:divBdr>
                    <w:top w:val="none" w:sz="0" w:space="0" w:color="auto"/>
                    <w:left w:val="none" w:sz="0" w:space="0" w:color="auto"/>
                    <w:bottom w:val="none" w:sz="0" w:space="0" w:color="auto"/>
                    <w:right w:val="none" w:sz="0" w:space="0" w:color="auto"/>
                  </w:divBdr>
                  <w:divsChild>
                    <w:div w:id="1660309606">
                      <w:marLeft w:val="0"/>
                      <w:marRight w:val="0"/>
                      <w:marTop w:val="0"/>
                      <w:marBottom w:val="0"/>
                      <w:divBdr>
                        <w:top w:val="none" w:sz="0" w:space="0" w:color="auto"/>
                        <w:left w:val="none" w:sz="0" w:space="0" w:color="auto"/>
                        <w:bottom w:val="none" w:sz="0" w:space="0" w:color="auto"/>
                        <w:right w:val="none" w:sz="0" w:space="0" w:color="auto"/>
                      </w:divBdr>
                    </w:div>
                  </w:divsChild>
                </w:div>
                <w:div w:id="1766225324">
                  <w:marLeft w:val="0"/>
                  <w:marRight w:val="0"/>
                  <w:marTop w:val="0"/>
                  <w:marBottom w:val="0"/>
                  <w:divBdr>
                    <w:top w:val="none" w:sz="0" w:space="0" w:color="auto"/>
                    <w:left w:val="none" w:sz="0" w:space="0" w:color="auto"/>
                    <w:bottom w:val="none" w:sz="0" w:space="0" w:color="auto"/>
                    <w:right w:val="none" w:sz="0" w:space="0" w:color="auto"/>
                  </w:divBdr>
                  <w:divsChild>
                    <w:div w:id="632757843">
                      <w:marLeft w:val="0"/>
                      <w:marRight w:val="0"/>
                      <w:marTop w:val="0"/>
                      <w:marBottom w:val="0"/>
                      <w:divBdr>
                        <w:top w:val="none" w:sz="0" w:space="0" w:color="auto"/>
                        <w:left w:val="none" w:sz="0" w:space="0" w:color="auto"/>
                        <w:bottom w:val="none" w:sz="0" w:space="0" w:color="auto"/>
                        <w:right w:val="none" w:sz="0" w:space="0" w:color="auto"/>
                      </w:divBdr>
                    </w:div>
                  </w:divsChild>
                </w:div>
                <w:div w:id="1821850863">
                  <w:marLeft w:val="0"/>
                  <w:marRight w:val="0"/>
                  <w:marTop w:val="0"/>
                  <w:marBottom w:val="0"/>
                  <w:divBdr>
                    <w:top w:val="none" w:sz="0" w:space="0" w:color="auto"/>
                    <w:left w:val="none" w:sz="0" w:space="0" w:color="auto"/>
                    <w:bottom w:val="none" w:sz="0" w:space="0" w:color="auto"/>
                    <w:right w:val="none" w:sz="0" w:space="0" w:color="auto"/>
                  </w:divBdr>
                  <w:divsChild>
                    <w:div w:id="417797821">
                      <w:marLeft w:val="0"/>
                      <w:marRight w:val="0"/>
                      <w:marTop w:val="0"/>
                      <w:marBottom w:val="0"/>
                      <w:divBdr>
                        <w:top w:val="none" w:sz="0" w:space="0" w:color="auto"/>
                        <w:left w:val="none" w:sz="0" w:space="0" w:color="auto"/>
                        <w:bottom w:val="none" w:sz="0" w:space="0" w:color="auto"/>
                        <w:right w:val="none" w:sz="0" w:space="0" w:color="auto"/>
                      </w:divBdr>
                    </w:div>
                  </w:divsChild>
                </w:div>
                <w:div w:id="1846088151">
                  <w:marLeft w:val="0"/>
                  <w:marRight w:val="0"/>
                  <w:marTop w:val="0"/>
                  <w:marBottom w:val="0"/>
                  <w:divBdr>
                    <w:top w:val="none" w:sz="0" w:space="0" w:color="auto"/>
                    <w:left w:val="none" w:sz="0" w:space="0" w:color="auto"/>
                    <w:bottom w:val="none" w:sz="0" w:space="0" w:color="auto"/>
                    <w:right w:val="none" w:sz="0" w:space="0" w:color="auto"/>
                  </w:divBdr>
                  <w:divsChild>
                    <w:div w:id="1445420308">
                      <w:marLeft w:val="0"/>
                      <w:marRight w:val="0"/>
                      <w:marTop w:val="0"/>
                      <w:marBottom w:val="0"/>
                      <w:divBdr>
                        <w:top w:val="none" w:sz="0" w:space="0" w:color="auto"/>
                        <w:left w:val="none" w:sz="0" w:space="0" w:color="auto"/>
                        <w:bottom w:val="none" w:sz="0" w:space="0" w:color="auto"/>
                        <w:right w:val="none" w:sz="0" w:space="0" w:color="auto"/>
                      </w:divBdr>
                    </w:div>
                  </w:divsChild>
                </w:div>
                <w:div w:id="1886136797">
                  <w:marLeft w:val="0"/>
                  <w:marRight w:val="0"/>
                  <w:marTop w:val="0"/>
                  <w:marBottom w:val="0"/>
                  <w:divBdr>
                    <w:top w:val="none" w:sz="0" w:space="0" w:color="auto"/>
                    <w:left w:val="none" w:sz="0" w:space="0" w:color="auto"/>
                    <w:bottom w:val="none" w:sz="0" w:space="0" w:color="auto"/>
                    <w:right w:val="none" w:sz="0" w:space="0" w:color="auto"/>
                  </w:divBdr>
                  <w:divsChild>
                    <w:div w:id="493644180">
                      <w:marLeft w:val="0"/>
                      <w:marRight w:val="0"/>
                      <w:marTop w:val="0"/>
                      <w:marBottom w:val="0"/>
                      <w:divBdr>
                        <w:top w:val="none" w:sz="0" w:space="0" w:color="auto"/>
                        <w:left w:val="none" w:sz="0" w:space="0" w:color="auto"/>
                        <w:bottom w:val="none" w:sz="0" w:space="0" w:color="auto"/>
                        <w:right w:val="none" w:sz="0" w:space="0" w:color="auto"/>
                      </w:divBdr>
                    </w:div>
                  </w:divsChild>
                </w:div>
                <w:div w:id="1917275531">
                  <w:marLeft w:val="0"/>
                  <w:marRight w:val="0"/>
                  <w:marTop w:val="0"/>
                  <w:marBottom w:val="0"/>
                  <w:divBdr>
                    <w:top w:val="none" w:sz="0" w:space="0" w:color="auto"/>
                    <w:left w:val="none" w:sz="0" w:space="0" w:color="auto"/>
                    <w:bottom w:val="none" w:sz="0" w:space="0" w:color="auto"/>
                    <w:right w:val="none" w:sz="0" w:space="0" w:color="auto"/>
                  </w:divBdr>
                  <w:divsChild>
                    <w:div w:id="2098744315">
                      <w:marLeft w:val="0"/>
                      <w:marRight w:val="0"/>
                      <w:marTop w:val="0"/>
                      <w:marBottom w:val="0"/>
                      <w:divBdr>
                        <w:top w:val="none" w:sz="0" w:space="0" w:color="auto"/>
                        <w:left w:val="none" w:sz="0" w:space="0" w:color="auto"/>
                        <w:bottom w:val="none" w:sz="0" w:space="0" w:color="auto"/>
                        <w:right w:val="none" w:sz="0" w:space="0" w:color="auto"/>
                      </w:divBdr>
                    </w:div>
                  </w:divsChild>
                </w:div>
                <w:div w:id="1949120689">
                  <w:marLeft w:val="0"/>
                  <w:marRight w:val="0"/>
                  <w:marTop w:val="0"/>
                  <w:marBottom w:val="0"/>
                  <w:divBdr>
                    <w:top w:val="none" w:sz="0" w:space="0" w:color="auto"/>
                    <w:left w:val="none" w:sz="0" w:space="0" w:color="auto"/>
                    <w:bottom w:val="none" w:sz="0" w:space="0" w:color="auto"/>
                    <w:right w:val="none" w:sz="0" w:space="0" w:color="auto"/>
                  </w:divBdr>
                  <w:divsChild>
                    <w:div w:id="74936077">
                      <w:marLeft w:val="0"/>
                      <w:marRight w:val="0"/>
                      <w:marTop w:val="0"/>
                      <w:marBottom w:val="0"/>
                      <w:divBdr>
                        <w:top w:val="none" w:sz="0" w:space="0" w:color="auto"/>
                        <w:left w:val="none" w:sz="0" w:space="0" w:color="auto"/>
                        <w:bottom w:val="none" w:sz="0" w:space="0" w:color="auto"/>
                        <w:right w:val="none" w:sz="0" w:space="0" w:color="auto"/>
                      </w:divBdr>
                    </w:div>
                  </w:divsChild>
                </w:div>
                <w:div w:id="1991515334">
                  <w:marLeft w:val="0"/>
                  <w:marRight w:val="0"/>
                  <w:marTop w:val="0"/>
                  <w:marBottom w:val="0"/>
                  <w:divBdr>
                    <w:top w:val="none" w:sz="0" w:space="0" w:color="auto"/>
                    <w:left w:val="none" w:sz="0" w:space="0" w:color="auto"/>
                    <w:bottom w:val="none" w:sz="0" w:space="0" w:color="auto"/>
                    <w:right w:val="none" w:sz="0" w:space="0" w:color="auto"/>
                  </w:divBdr>
                  <w:divsChild>
                    <w:div w:id="349111566">
                      <w:marLeft w:val="0"/>
                      <w:marRight w:val="0"/>
                      <w:marTop w:val="0"/>
                      <w:marBottom w:val="0"/>
                      <w:divBdr>
                        <w:top w:val="none" w:sz="0" w:space="0" w:color="auto"/>
                        <w:left w:val="none" w:sz="0" w:space="0" w:color="auto"/>
                        <w:bottom w:val="none" w:sz="0" w:space="0" w:color="auto"/>
                        <w:right w:val="none" w:sz="0" w:space="0" w:color="auto"/>
                      </w:divBdr>
                    </w:div>
                  </w:divsChild>
                </w:div>
                <w:div w:id="2017539497">
                  <w:marLeft w:val="0"/>
                  <w:marRight w:val="0"/>
                  <w:marTop w:val="0"/>
                  <w:marBottom w:val="0"/>
                  <w:divBdr>
                    <w:top w:val="none" w:sz="0" w:space="0" w:color="auto"/>
                    <w:left w:val="none" w:sz="0" w:space="0" w:color="auto"/>
                    <w:bottom w:val="none" w:sz="0" w:space="0" w:color="auto"/>
                    <w:right w:val="none" w:sz="0" w:space="0" w:color="auto"/>
                  </w:divBdr>
                  <w:divsChild>
                    <w:div w:id="1714233776">
                      <w:marLeft w:val="0"/>
                      <w:marRight w:val="0"/>
                      <w:marTop w:val="0"/>
                      <w:marBottom w:val="0"/>
                      <w:divBdr>
                        <w:top w:val="none" w:sz="0" w:space="0" w:color="auto"/>
                        <w:left w:val="none" w:sz="0" w:space="0" w:color="auto"/>
                        <w:bottom w:val="none" w:sz="0" w:space="0" w:color="auto"/>
                        <w:right w:val="none" w:sz="0" w:space="0" w:color="auto"/>
                      </w:divBdr>
                    </w:div>
                  </w:divsChild>
                </w:div>
                <w:div w:id="2051831120">
                  <w:marLeft w:val="0"/>
                  <w:marRight w:val="0"/>
                  <w:marTop w:val="0"/>
                  <w:marBottom w:val="0"/>
                  <w:divBdr>
                    <w:top w:val="none" w:sz="0" w:space="0" w:color="auto"/>
                    <w:left w:val="none" w:sz="0" w:space="0" w:color="auto"/>
                    <w:bottom w:val="none" w:sz="0" w:space="0" w:color="auto"/>
                    <w:right w:val="none" w:sz="0" w:space="0" w:color="auto"/>
                  </w:divBdr>
                  <w:divsChild>
                    <w:div w:id="1503667009">
                      <w:marLeft w:val="0"/>
                      <w:marRight w:val="0"/>
                      <w:marTop w:val="0"/>
                      <w:marBottom w:val="0"/>
                      <w:divBdr>
                        <w:top w:val="none" w:sz="0" w:space="0" w:color="auto"/>
                        <w:left w:val="none" w:sz="0" w:space="0" w:color="auto"/>
                        <w:bottom w:val="none" w:sz="0" w:space="0" w:color="auto"/>
                        <w:right w:val="none" w:sz="0" w:space="0" w:color="auto"/>
                      </w:divBdr>
                    </w:div>
                  </w:divsChild>
                </w:div>
                <w:div w:id="2064520949">
                  <w:marLeft w:val="0"/>
                  <w:marRight w:val="0"/>
                  <w:marTop w:val="0"/>
                  <w:marBottom w:val="0"/>
                  <w:divBdr>
                    <w:top w:val="none" w:sz="0" w:space="0" w:color="auto"/>
                    <w:left w:val="none" w:sz="0" w:space="0" w:color="auto"/>
                    <w:bottom w:val="none" w:sz="0" w:space="0" w:color="auto"/>
                    <w:right w:val="none" w:sz="0" w:space="0" w:color="auto"/>
                  </w:divBdr>
                  <w:divsChild>
                    <w:div w:id="1273323083">
                      <w:marLeft w:val="0"/>
                      <w:marRight w:val="0"/>
                      <w:marTop w:val="0"/>
                      <w:marBottom w:val="0"/>
                      <w:divBdr>
                        <w:top w:val="none" w:sz="0" w:space="0" w:color="auto"/>
                        <w:left w:val="none" w:sz="0" w:space="0" w:color="auto"/>
                        <w:bottom w:val="none" w:sz="0" w:space="0" w:color="auto"/>
                        <w:right w:val="none" w:sz="0" w:space="0" w:color="auto"/>
                      </w:divBdr>
                    </w:div>
                  </w:divsChild>
                </w:div>
                <w:div w:id="2082562244">
                  <w:marLeft w:val="0"/>
                  <w:marRight w:val="0"/>
                  <w:marTop w:val="0"/>
                  <w:marBottom w:val="0"/>
                  <w:divBdr>
                    <w:top w:val="none" w:sz="0" w:space="0" w:color="auto"/>
                    <w:left w:val="none" w:sz="0" w:space="0" w:color="auto"/>
                    <w:bottom w:val="none" w:sz="0" w:space="0" w:color="auto"/>
                    <w:right w:val="none" w:sz="0" w:space="0" w:color="auto"/>
                  </w:divBdr>
                  <w:divsChild>
                    <w:div w:id="1298755909">
                      <w:marLeft w:val="0"/>
                      <w:marRight w:val="0"/>
                      <w:marTop w:val="0"/>
                      <w:marBottom w:val="0"/>
                      <w:divBdr>
                        <w:top w:val="none" w:sz="0" w:space="0" w:color="auto"/>
                        <w:left w:val="none" w:sz="0" w:space="0" w:color="auto"/>
                        <w:bottom w:val="none" w:sz="0" w:space="0" w:color="auto"/>
                        <w:right w:val="none" w:sz="0" w:space="0" w:color="auto"/>
                      </w:divBdr>
                    </w:div>
                  </w:divsChild>
                </w:div>
                <w:div w:id="2117749796">
                  <w:marLeft w:val="0"/>
                  <w:marRight w:val="0"/>
                  <w:marTop w:val="0"/>
                  <w:marBottom w:val="0"/>
                  <w:divBdr>
                    <w:top w:val="none" w:sz="0" w:space="0" w:color="auto"/>
                    <w:left w:val="none" w:sz="0" w:space="0" w:color="auto"/>
                    <w:bottom w:val="none" w:sz="0" w:space="0" w:color="auto"/>
                    <w:right w:val="none" w:sz="0" w:space="0" w:color="auto"/>
                  </w:divBdr>
                  <w:divsChild>
                    <w:div w:id="10905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7020">
      <w:bodyDiv w:val="1"/>
      <w:marLeft w:val="0"/>
      <w:marRight w:val="0"/>
      <w:marTop w:val="0"/>
      <w:marBottom w:val="0"/>
      <w:divBdr>
        <w:top w:val="none" w:sz="0" w:space="0" w:color="auto"/>
        <w:left w:val="none" w:sz="0" w:space="0" w:color="auto"/>
        <w:bottom w:val="none" w:sz="0" w:space="0" w:color="auto"/>
        <w:right w:val="none" w:sz="0" w:space="0" w:color="auto"/>
      </w:divBdr>
      <w:divsChild>
        <w:div w:id="212930941">
          <w:marLeft w:val="0"/>
          <w:marRight w:val="0"/>
          <w:marTop w:val="0"/>
          <w:marBottom w:val="0"/>
          <w:divBdr>
            <w:top w:val="none" w:sz="0" w:space="0" w:color="auto"/>
            <w:left w:val="none" w:sz="0" w:space="0" w:color="auto"/>
            <w:bottom w:val="none" w:sz="0" w:space="0" w:color="auto"/>
            <w:right w:val="none" w:sz="0" w:space="0" w:color="auto"/>
          </w:divBdr>
        </w:div>
        <w:div w:id="693045047">
          <w:marLeft w:val="0"/>
          <w:marRight w:val="0"/>
          <w:marTop w:val="0"/>
          <w:marBottom w:val="0"/>
          <w:divBdr>
            <w:top w:val="none" w:sz="0" w:space="0" w:color="auto"/>
            <w:left w:val="none" w:sz="0" w:space="0" w:color="auto"/>
            <w:bottom w:val="none" w:sz="0" w:space="0" w:color="auto"/>
            <w:right w:val="none" w:sz="0" w:space="0" w:color="auto"/>
          </w:divBdr>
          <w:divsChild>
            <w:div w:id="1584873691">
              <w:marLeft w:val="-75"/>
              <w:marRight w:val="0"/>
              <w:marTop w:val="30"/>
              <w:marBottom w:val="30"/>
              <w:divBdr>
                <w:top w:val="none" w:sz="0" w:space="0" w:color="auto"/>
                <w:left w:val="none" w:sz="0" w:space="0" w:color="auto"/>
                <w:bottom w:val="none" w:sz="0" w:space="0" w:color="auto"/>
                <w:right w:val="none" w:sz="0" w:space="0" w:color="auto"/>
              </w:divBdr>
              <w:divsChild>
                <w:div w:id="25452383">
                  <w:marLeft w:val="0"/>
                  <w:marRight w:val="0"/>
                  <w:marTop w:val="0"/>
                  <w:marBottom w:val="0"/>
                  <w:divBdr>
                    <w:top w:val="none" w:sz="0" w:space="0" w:color="auto"/>
                    <w:left w:val="none" w:sz="0" w:space="0" w:color="auto"/>
                    <w:bottom w:val="none" w:sz="0" w:space="0" w:color="auto"/>
                    <w:right w:val="none" w:sz="0" w:space="0" w:color="auto"/>
                  </w:divBdr>
                  <w:divsChild>
                    <w:div w:id="1548377401">
                      <w:marLeft w:val="0"/>
                      <w:marRight w:val="0"/>
                      <w:marTop w:val="0"/>
                      <w:marBottom w:val="0"/>
                      <w:divBdr>
                        <w:top w:val="none" w:sz="0" w:space="0" w:color="auto"/>
                        <w:left w:val="none" w:sz="0" w:space="0" w:color="auto"/>
                        <w:bottom w:val="none" w:sz="0" w:space="0" w:color="auto"/>
                        <w:right w:val="none" w:sz="0" w:space="0" w:color="auto"/>
                      </w:divBdr>
                    </w:div>
                  </w:divsChild>
                </w:div>
                <w:div w:id="58015548">
                  <w:marLeft w:val="0"/>
                  <w:marRight w:val="0"/>
                  <w:marTop w:val="0"/>
                  <w:marBottom w:val="0"/>
                  <w:divBdr>
                    <w:top w:val="none" w:sz="0" w:space="0" w:color="auto"/>
                    <w:left w:val="none" w:sz="0" w:space="0" w:color="auto"/>
                    <w:bottom w:val="none" w:sz="0" w:space="0" w:color="auto"/>
                    <w:right w:val="none" w:sz="0" w:space="0" w:color="auto"/>
                  </w:divBdr>
                  <w:divsChild>
                    <w:div w:id="2098744622">
                      <w:marLeft w:val="0"/>
                      <w:marRight w:val="0"/>
                      <w:marTop w:val="0"/>
                      <w:marBottom w:val="0"/>
                      <w:divBdr>
                        <w:top w:val="none" w:sz="0" w:space="0" w:color="auto"/>
                        <w:left w:val="none" w:sz="0" w:space="0" w:color="auto"/>
                        <w:bottom w:val="none" w:sz="0" w:space="0" w:color="auto"/>
                        <w:right w:val="none" w:sz="0" w:space="0" w:color="auto"/>
                      </w:divBdr>
                    </w:div>
                  </w:divsChild>
                </w:div>
                <w:div w:id="61567499">
                  <w:marLeft w:val="0"/>
                  <w:marRight w:val="0"/>
                  <w:marTop w:val="0"/>
                  <w:marBottom w:val="0"/>
                  <w:divBdr>
                    <w:top w:val="none" w:sz="0" w:space="0" w:color="auto"/>
                    <w:left w:val="none" w:sz="0" w:space="0" w:color="auto"/>
                    <w:bottom w:val="none" w:sz="0" w:space="0" w:color="auto"/>
                    <w:right w:val="none" w:sz="0" w:space="0" w:color="auto"/>
                  </w:divBdr>
                  <w:divsChild>
                    <w:div w:id="918253029">
                      <w:marLeft w:val="0"/>
                      <w:marRight w:val="0"/>
                      <w:marTop w:val="0"/>
                      <w:marBottom w:val="0"/>
                      <w:divBdr>
                        <w:top w:val="none" w:sz="0" w:space="0" w:color="auto"/>
                        <w:left w:val="none" w:sz="0" w:space="0" w:color="auto"/>
                        <w:bottom w:val="none" w:sz="0" w:space="0" w:color="auto"/>
                        <w:right w:val="none" w:sz="0" w:space="0" w:color="auto"/>
                      </w:divBdr>
                    </w:div>
                  </w:divsChild>
                </w:div>
                <w:div w:id="82261454">
                  <w:marLeft w:val="0"/>
                  <w:marRight w:val="0"/>
                  <w:marTop w:val="0"/>
                  <w:marBottom w:val="0"/>
                  <w:divBdr>
                    <w:top w:val="none" w:sz="0" w:space="0" w:color="auto"/>
                    <w:left w:val="none" w:sz="0" w:space="0" w:color="auto"/>
                    <w:bottom w:val="none" w:sz="0" w:space="0" w:color="auto"/>
                    <w:right w:val="none" w:sz="0" w:space="0" w:color="auto"/>
                  </w:divBdr>
                  <w:divsChild>
                    <w:div w:id="1796833089">
                      <w:marLeft w:val="0"/>
                      <w:marRight w:val="0"/>
                      <w:marTop w:val="0"/>
                      <w:marBottom w:val="0"/>
                      <w:divBdr>
                        <w:top w:val="none" w:sz="0" w:space="0" w:color="auto"/>
                        <w:left w:val="none" w:sz="0" w:space="0" w:color="auto"/>
                        <w:bottom w:val="none" w:sz="0" w:space="0" w:color="auto"/>
                        <w:right w:val="none" w:sz="0" w:space="0" w:color="auto"/>
                      </w:divBdr>
                    </w:div>
                  </w:divsChild>
                </w:div>
                <w:div w:id="101270248">
                  <w:marLeft w:val="0"/>
                  <w:marRight w:val="0"/>
                  <w:marTop w:val="0"/>
                  <w:marBottom w:val="0"/>
                  <w:divBdr>
                    <w:top w:val="none" w:sz="0" w:space="0" w:color="auto"/>
                    <w:left w:val="none" w:sz="0" w:space="0" w:color="auto"/>
                    <w:bottom w:val="none" w:sz="0" w:space="0" w:color="auto"/>
                    <w:right w:val="none" w:sz="0" w:space="0" w:color="auto"/>
                  </w:divBdr>
                  <w:divsChild>
                    <w:div w:id="250554738">
                      <w:marLeft w:val="0"/>
                      <w:marRight w:val="0"/>
                      <w:marTop w:val="0"/>
                      <w:marBottom w:val="0"/>
                      <w:divBdr>
                        <w:top w:val="none" w:sz="0" w:space="0" w:color="auto"/>
                        <w:left w:val="none" w:sz="0" w:space="0" w:color="auto"/>
                        <w:bottom w:val="none" w:sz="0" w:space="0" w:color="auto"/>
                        <w:right w:val="none" w:sz="0" w:space="0" w:color="auto"/>
                      </w:divBdr>
                    </w:div>
                  </w:divsChild>
                </w:div>
                <w:div w:id="101612214">
                  <w:marLeft w:val="0"/>
                  <w:marRight w:val="0"/>
                  <w:marTop w:val="0"/>
                  <w:marBottom w:val="0"/>
                  <w:divBdr>
                    <w:top w:val="none" w:sz="0" w:space="0" w:color="auto"/>
                    <w:left w:val="none" w:sz="0" w:space="0" w:color="auto"/>
                    <w:bottom w:val="none" w:sz="0" w:space="0" w:color="auto"/>
                    <w:right w:val="none" w:sz="0" w:space="0" w:color="auto"/>
                  </w:divBdr>
                  <w:divsChild>
                    <w:div w:id="457649172">
                      <w:marLeft w:val="0"/>
                      <w:marRight w:val="0"/>
                      <w:marTop w:val="0"/>
                      <w:marBottom w:val="0"/>
                      <w:divBdr>
                        <w:top w:val="none" w:sz="0" w:space="0" w:color="auto"/>
                        <w:left w:val="none" w:sz="0" w:space="0" w:color="auto"/>
                        <w:bottom w:val="none" w:sz="0" w:space="0" w:color="auto"/>
                        <w:right w:val="none" w:sz="0" w:space="0" w:color="auto"/>
                      </w:divBdr>
                    </w:div>
                  </w:divsChild>
                </w:div>
                <w:div w:id="114569467">
                  <w:marLeft w:val="0"/>
                  <w:marRight w:val="0"/>
                  <w:marTop w:val="0"/>
                  <w:marBottom w:val="0"/>
                  <w:divBdr>
                    <w:top w:val="none" w:sz="0" w:space="0" w:color="auto"/>
                    <w:left w:val="none" w:sz="0" w:space="0" w:color="auto"/>
                    <w:bottom w:val="none" w:sz="0" w:space="0" w:color="auto"/>
                    <w:right w:val="none" w:sz="0" w:space="0" w:color="auto"/>
                  </w:divBdr>
                  <w:divsChild>
                    <w:div w:id="442309527">
                      <w:marLeft w:val="0"/>
                      <w:marRight w:val="0"/>
                      <w:marTop w:val="0"/>
                      <w:marBottom w:val="0"/>
                      <w:divBdr>
                        <w:top w:val="none" w:sz="0" w:space="0" w:color="auto"/>
                        <w:left w:val="none" w:sz="0" w:space="0" w:color="auto"/>
                        <w:bottom w:val="none" w:sz="0" w:space="0" w:color="auto"/>
                        <w:right w:val="none" w:sz="0" w:space="0" w:color="auto"/>
                      </w:divBdr>
                    </w:div>
                  </w:divsChild>
                </w:div>
                <w:div w:id="115681589">
                  <w:marLeft w:val="0"/>
                  <w:marRight w:val="0"/>
                  <w:marTop w:val="0"/>
                  <w:marBottom w:val="0"/>
                  <w:divBdr>
                    <w:top w:val="none" w:sz="0" w:space="0" w:color="auto"/>
                    <w:left w:val="none" w:sz="0" w:space="0" w:color="auto"/>
                    <w:bottom w:val="none" w:sz="0" w:space="0" w:color="auto"/>
                    <w:right w:val="none" w:sz="0" w:space="0" w:color="auto"/>
                  </w:divBdr>
                  <w:divsChild>
                    <w:div w:id="1041319871">
                      <w:marLeft w:val="0"/>
                      <w:marRight w:val="0"/>
                      <w:marTop w:val="0"/>
                      <w:marBottom w:val="0"/>
                      <w:divBdr>
                        <w:top w:val="none" w:sz="0" w:space="0" w:color="auto"/>
                        <w:left w:val="none" w:sz="0" w:space="0" w:color="auto"/>
                        <w:bottom w:val="none" w:sz="0" w:space="0" w:color="auto"/>
                        <w:right w:val="none" w:sz="0" w:space="0" w:color="auto"/>
                      </w:divBdr>
                    </w:div>
                  </w:divsChild>
                </w:div>
                <w:div w:id="173033926">
                  <w:marLeft w:val="0"/>
                  <w:marRight w:val="0"/>
                  <w:marTop w:val="0"/>
                  <w:marBottom w:val="0"/>
                  <w:divBdr>
                    <w:top w:val="none" w:sz="0" w:space="0" w:color="auto"/>
                    <w:left w:val="none" w:sz="0" w:space="0" w:color="auto"/>
                    <w:bottom w:val="none" w:sz="0" w:space="0" w:color="auto"/>
                    <w:right w:val="none" w:sz="0" w:space="0" w:color="auto"/>
                  </w:divBdr>
                  <w:divsChild>
                    <w:div w:id="187063823">
                      <w:marLeft w:val="0"/>
                      <w:marRight w:val="0"/>
                      <w:marTop w:val="0"/>
                      <w:marBottom w:val="0"/>
                      <w:divBdr>
                        <w:top w:val="none" w:sz="0" w:space="0" w:color="auto"/>
                        <w:left w:val="none" w:sz="0" w:space="0" w:color="auto"/>
                        <w:bottom w:val="none" w:sz="0" w:space="0" w:color="auto"/>
                        <w:right w:val="none" w:sz="0" w:space="0" w:color="auto"/>
                      </w:divBdr>
                    </w:div>
                  </w:divsChild>
                </w:div>
                <w:div w:id="210967940">
                  <w:marLeft w:val="0"/>
                  <w:marRight w:val="0"/>
                  <w:marTop w:val="0"/>
                  <w:marBottom w:val="0"/>
                  <w:divBdr>
                    <w:top w:val="none" w:sz="0" w:space="0" w:color="auto"/>
                    <w:left w:val="none" w:sz="0" w:space="0" w:color="auto"/>
                    <w:bottom w:val="none" w:sz="0" w:space="0" w:color="auto"/>
                    <w:right w:val="none" w:sz="0" w:space="0" w:color="auto"/>
                  </w:divBdr>
                  <w:divsChild>
                    <w:div w:id="770466309">
                      <w:marLeft w:val="0"/>
                      <w:marRight w:val="0"/>
                      <w:marTop w:val="0"/>
                      <w:marBottom w:val="0"/>
                      <w:divBdr>
                        <w:top w:val="none" w:sz="0" w:space="0" w:color="auto"/>
                        <w:left w:val="none" w:sz="0" w:space="0" w:color="auto"/>
                        <w:bottom w:val="none" w:sz="0" w:space="0" w:color="auto"/>
                        <w:right w:val="none" w:sz="0" w:space="0" w:color="auto"/>
                      </w:divBdr>
                    </w:div>
                  </w:divsChild>
                </w:div>
                <w:div w:id="222450725">
                  <w:marLeft w:val="0"/>
                  <w:marRight w:val="0"/>
                  <w:marTop w:val="0"/>
                  <w:marBottom w:val="0"/>
                  <w:divBdr>
                    <w:top w:val="none" w:sz="0" w:space="0" w:color="auto"/>
                    <w:left w:val="none" w:sz="0" w:space="0" w:color="auto"/>
                    <w:bottom w:val="none" w:sz="0" w:space="0" w:color="auto"/>
                    <w:right w:val="none" w:sz="0" w:space="0" w:color="auto"/>
                  </w:divBdr>
                  <w:divsChild>
                    <w:div w:id="113447450">
                      <w:marLeft w:val="0"/>
                      <w:marRight w:val="0"/>
                      <w:marTop w:val="0"/>
                      <w:marBottom w:val="0"/>
                      <w:divBdr>
                        <w:top w:val="none" w:sz="0" w:space="0" w:color="auto"/>
                        <w:left w:val="none" w:sz="0" w:space="0" w:color="auto"/>
                        <w:bottom w:val="none" w:sz="0" w:space="0" w:color="auto"/>
                        <w:right w:val="none" w:sz="0" w:space="0" w:color="auto"/>
                      </w:divBdr>
                    </w:div>
                  </w:divsChild>
                </w:div>
                <w:div w:id="256865227">
                  <w:marLeft w:val="0"/>
                  <w:marRight w:val="0"/>
                  <w:marTop w:val="0"/>
                  <w:marBottom w:val="0"/>
                  <w:divBdr>
                    <w:top w:val="none" w:sz="0" w:space="0" w:color="auto"/>
                    <w:left w:val="none" w:sz="0" w:space="0" w:color="auto"/>
                    <w:bottom w:val="none" w:sz="0" w:space="0" w:color="auto"/>
                    <w:right w:val="none" w:sz="0" w:space="0" w:color="auto"/>
                  </w:divBdr>
                  <w:divsChild>
                    <w:div w:id="993141719">
                      <w:marLeft w:val="0"/>
                      <w:marRight w:val="0"/>
                      <w:marTop w:val="0"/>
                      <w:marBottom w:val="0"/>
                      <w:divBdr>
                        <w:top w:val="none" w:sz="0" w:space="0" w:color="auto"/>
                        <w:left w:val="none" w:sz="0" w:space="0" w:color="auto"/>
                        <w:bottom w:val="none" w:sz="0" w:space="0" w:color="auto"/>
                        <w:right w:val="none" w:sz="0" w:space="0" w:color="auto"/>
                      </w:divBdr>
                    </w:div>
                  </w:divsChild>
                </w:div>
                <w:div w:id="270745026">
                  <w:marLeft w:val="0"/>
                  <w:marRight w:val="0"/>
                  <w:marTop w:val="0"/>
                  <w:marBottom w:val="0"/>
                  <w:divBdr>
                    <w:top w:val="none" w:sz="0" w:space="0" w:color="auto"/>
                    <w:left w:val="none" w:sz="0" w:space="0" w:color="auto"/>
                    <w:bottom w:val="none" w:sz="0" w:space="0" w:color="auto"/>
                    <w:right w:val="none" w:sz="0" w:space="0" w:color="auto"/>
                  </w:divBdr>
                  <w:divsChild>
                    <w:div w:id="398594179">
                      <w:marLeft w:val="0"/>
                      <w:marRight w:val="0"/>
                      <w:marTop w:val="0"/>
                      <w:marBottom w:val="0"/>
                      <w:divBdr>
                        <w:top w:val="none" w:sz="0" w:space="0" w:color="auto"/>
                        <w:left w:val="none" w:sz="0" w:space="0" w:color="auto"/>
                        <w:bottom w:val="none" w:sz="0" w:space="0" w:color="auto"/>
                        <w:right w:val="none" w:sz="0" w:space="0" w:color="auto"/>
                      </w:divBdr>
                    </w:div>
                  </w:divsChild>
                </w:div>
                <w:div w:id="305404124">
                  <w:marLeft w:val="0"/>
                  <w:marRight w:val="0"/>
                  <w:marTop w:val="0"/>
                  <w:marBottom w:val="0"/>
                  <w:divBdr>
                    <w:top w:val="none" w:sz="0" w:space="0" w:color="auto"/>
                    <w:left w:val="none" w:sz="0" w:space="0" w:color="auto"/>
                    <w:bottom w:val="none" w:sz="0" w:space="0" w:color="auto"/>
                    <w:right w:val="none" w:sz="0" w:space="0" w:color="auto"/>
                  </w:divBdr>
                  <w:divsChild>
                    <w:div w:id="1780031938">
                      <w:marLeft w:val="0"/>
                      <w:marRight w:val="0"/>
                      <w:marTop w:val="0"/>
                      <w:marBottom w:val="0"/>
                      <w:divBdr>
                        <w:top w:val="none" w:sz="0" w:space="0" w:color="auto"/>
                        <w:left w:val="none" w:sz="0" w:space="0" w:color="auto"/>
                        <w:bottom w:val="none" w:sz="0" w:space="0" w:color="auto"/>
                        <w:right w:val="none" w:sz="0" w:space="0" w:color="auto"/>
                      </w:divBdr>
                    </w:div>
                  </w:divsChild>
                </w:div>
                <w:div w:id="313996174">
                  <w:marLeft w:val="0"/>
                  <w:marRight w:val="0"/>
                  <w:marTop w:val="0"/>
                  <w:marBottom w:val="0"/>
                  <w:divBdr>
                    <w:top w:val="none" w:sz="0" w:space="0" w:color="auto"/>
                    <w:left w:val="none" w:sz="0" w:space="0" w:color="auto"/>
                    <w:bottom w:val="none" w:sz="0" w:space="0" w:color="auto"/>
                    <w:right w:val="none" w:sz="0" w:space="0" w:color="auto"/>
                  </w:divBdr>
                  <w:divsChild>
                    <w:div w:id="1712028581">
                      <w:marLeft w:val="0"/>
                      <w:marRight w:val="0"/>
                      <w:marTop w:val="0"/>
                      <w:marBottom w:val="0"/>
                      <w:divBdr>
                        <w:top w:val="none" w:sz="0" w:space="0" w:color="auto"/>
                        <w:left w:val="none" w:sz="0" w:space="0" w:color="auto"/>
                        <w:bottom w:val="none" w:sz="0" w:space="0" w:color="auto"/>
                        <w:right w:val="none" w:sz="0" w:space="0" w:color="auto"/>
                      </w:divBdr>
                    </w:div>
                  </w:divsChild>
                </w:div>
                <w:div w:id="348600856">
                  <w:marLeft w:val="0"/>
                  <w:marRight w:val="0"/>
                  <w:marTop w:val="0"/>
                  <w:marBottom w:val="0"/>
                  <w:divBdr>
                    <w:top w:val="none" w:sz="0" w:space="0" w:color="auto"/>
                    <w:left w:val="none" w:sz="0" w:space="0" w:color="auto"/>
                    <w:bottom w:val="none" w:sz="0" w:space="0" w:color="auto"/>
                    <w:right w:val="none" w:sz="0" w:space="0" w:color="auto"/>
                  </w:divBdr>
                  <w:divsChild>
                    <w:div w:id="1183931272">
                      <w:marLeft w:val="0"/>
                      <w:marRight w:val="0"/>
                      <w:marTop w:val="0"/>
                      <w:marBottom w:val="0"/>
                      <w:divBdr>
                        <w:top w:val="none" w:sz="0" w:space="0" w:color="auto"/>
                        <w:left w:val="none" w:sz="0" w:space="0" w:color="auto"/>
                        <w:bottom w:val="none" w:sz="0" w:space="0" w:color="auto"/>
                        <w:right w:val="none" w:sz="0" w:space="0" w:color="auto"/>
                      </w:divBdr>
                    </w:div>
                  </w:divsChild>
                </w:div>
                <w:div w:id="350684893">
                  <w:marLeft w:val="0"/>
                  <w:marRight w:val="0"/>
                  <w:marTop w:val="0"/>
                  <w:marBottom w:val="0"/>
                  <w:divBdr>
                    <w:top w:val="none" w:sz="0" w:space="0" w:color="auto"/>
                    <w:left w:val="none" w:sz="0" w:space="0" w:color="auto"/>
                    <w:bottom w:val="none" w:sz="0" w:space="0" w:color="auto"/>
                    <w:right w:val="none" w:sz="0" w:space="0" w:color="auto"/>
                  </w:divBdr>
                  <w:divsChild>
                    <w:div w:id="2073307690">
                      <w:marLeft w:val="0"/>
                      <w:marRight w:val="0"/>
                      <w:marTop w:val="0"/>
                      <w:marBottom w:val="0"/>
                      <w:divBdr>
                        <w:top w:val="none" w:sz="0" w:space="0" w:color="auto"/>
                        <w:left w:val="none" w:sz="0" w:space="0" w:color="auto"/>
                        <w:bottom w:val="none" w:sz="0" w:space="0" w:color="auto"/>
                        <w:right w:val="none" w:sz="0" w:space="0" w:color="auto"/>
                      </w:divBdr>
                    </w:div>
                  </w:divsChild>
                </w:div>
                <w:div w:id="405877736">
                  <w:marLeft w:val="0"/>
                  <w:marRight w:val="0"/>
                  <w:marTop w:val="0"/>
                  <w:marBottom w:val="0"/>
                  <w:divBdr>
                    <w:top w:val="none" w:sz="0" w:space="0" w:color="auto"/>
                    <w:left w:val="none" w:sz="0" w:space="0" w:color="auto"/>
                    <w:bottom w:val="none" w:sz="0" w:space="0" w:color="auto"/>
                    <w:right w:val="none" w:sz="0" w:space="0" w:color="auto"/>
                  </w:divBdr>
                  <w:divsChild>
                    <w:div w:id="1810514285">
                      <w:marLeft w:val="0"/>
                      <w:marRight w:val="0"/>
                      <w:marTop w:val="0"/>
                      <w:marBottom w:val="0"/>
                      <w:divBdr>
                        <w:top w:val="none" w:sz="0" w:space="0" w:color="auto"/>
                        <w:left w:val="none" w:sz="0" w:space="0" w:color="auto"/>
                        <w:bottom w:val="none" w:sz="0" w:space="0" w:color="auto"/>
                        <w:right w:val="none" w:sz="0" w:space="0" w:color="auto"/>
                      </w:divBdr>
                    </w:div>
                  </w:divsChild>
                </w:div>
                <w:div w:id="407533474">
                  <w:marLeft w:val="0"/>
                  <w:marRight w:val="0"/>
                  <w:marTop w:val="0"/>
                  <w:marBottom w:val="0"/>
                  <w:divBdr>
                    <w:top w:val="none" w:sz="0" w:space="0" w:color="auto"/>
                    <w:left w:val="none" w:sz="0" w:space="0" w:color="auto"/>
                    <w:bottom w:val="none" w:sz="0" w:space="0" w:color="auto"/>
                    <w:right w:val="none" w:sz="0" w:space="0" w:color="auto"/>
                  </w:divBdr>
                  <w:divsChild>
                    <w:div w:id="1458639860">
                      <w:marLeft w:val="0"/>
                      <w:marRight w:val="0"/>
                      <w:marTop w:val="0"/>
                      <w:marBottom w:val="0"/>
                      <w:divBdr>
                        <w:top w:val="none" w:sz="0" w:space="0" w:color="auto"/>
                        <w:left w:val="none" w:sz="0" w:space="0" w:color="auto"/>
                        <w:bottom w:val="none" w:sz="0" w:space="0" w:color="auto"/>
                        <w:right w:val="none" w:sz="0" w:space="0" w:color="auto"/>
                      </w:divBdr>
                    </w:div>
                  </w:divsChild>
                </w:div>
                <w:div w:id="438257585">
                  <w:marLeft w:val="0"/>
                  <w:marRight w:val="0"/>
                  <w:marTop w:val="0"/>
                  <w:marBottom w:val="0"/>
                  <w:divBdr>
                    <w:top w:val="none" w:sz="0" w:space="0" w:color="auto"/>
                    <w:left w:val="none" w:sz="0" w:space="0" w:color="auto"/>
                    <w:bottom w:val="none" w:sz="0" w:space="0" w:color="auto"/>
                    <w:right w:val="none" w:sz="0" w:space="0" w:color="auto"/>
                  </w:divBdr>
                  <w:divsChild>
                    <w:div w:id="9183058">
                      <w:marLeft w:val="0"/>
                      <w:marRight w:val="0"/>
                      <w:marTop w:val="0"/>
                      <w:marBottom w:val="0"/>
                      <w:divBdr>
                        <w:top w:val="none" w:sz="0" w:space="0" w:color="auto"/>
                        <w:left w:val="none" w:sz="0" w:space="0" w:color="auto"/>
                        <w:bottom w:val="none" w:sz="0" w:space="0" w:color="auto"/>
                        <w:right w:val="none" w:sz="0" w:space="0" w:color="auto"/>
                      </w:divBdr>
                    </w:div>
                  </w:divsChild>
                </w:div>
                <w:div w:id="454640876">
                  <w:marLeft w:val="0"/>
                  <w:marRight w:val="0"/>
                  <w:marTop w:val="0"/>
                  <w:marBottom w:val="0"/>
                  <w:divBdr>
                    <w:top w:val="none" w:sz="0" w:space="0" w:color="auto"/>
                    <w:left w:val="none" w:sz="0" w:space="0" w:color="auto"/>
                    <w:bottom w:val="none" w:sz="0" w:space="0" w:color="auto"/>
                    <w:right w:val="none" w:sz="0" w:space="0" w:color="auto"/>
                  </w:divBdr>
                  <w:divsChild>
                    <w:div w:id="2093239012">
                      <w:marLeft w:val="0"/>
                      <w:marRight w:val="0"/>
                      <w:marTop w:val="0"/>
                      <w:marBottom w:val="0"/>
                      <w:divBdr>
                        <w:top w:val="none" w:sz="0" w:space="0" w:color="auto"/>
                        <w:left w:val="none" w:sz="0" w:space="0" w:color="auto"/>
                        <w:bottom w:val="none" w:sz="0" w:space="0" w:color="auto"/>
                        <w:right w:val="none" w:sz="0" w:space="0" w:color="auto"/>
                      </w:divBdr>
                    </w:div>
                  </w:divsChild>
                </w:div>
                <w:div w:id="483090576">
                  <w:marLeft w:val="0"/>
                  <w:marRight w:val="0"/>
                  <w:marTop w:val="0"/>
                  <w:marBottom w:val="0"/>
                  <w:divBdr>
                    <w:top w:val="none" w:sz="0" w:space="0" w:color="auto"/>
                    <w:left w:val="none" w:sz="0" w:space="0" w:color="auto"/>
                    <w:bottom w:val="none" w:sz="0" w:space="0" w:color="auto"/>
                    <w:right w:val="none" w:sz="0" w:space="0" w:color="auto"/>
                  </w:divBdr>
                  <w:divsChild>
                    <w:div w:id="1126463173">
                      <w:marLeft w:val="0"/>
                      <w:marRight w:val="0"/>
                      <w:marTop w:val="0"/>
                      <w:marBottom w:val="0"/>
                      <w:divBdr>
                        <w:top w:val="none" w:sz="0" w:space="0" w:color="auto"/>
                        <w:left w:val="none" w:sz="0" w:space="0" w:color="auto"/>
                        <w:bottom w:val="none" w:sz="0" w:space="0" w:color="auto"/>
                        <w:right w:val="none" w:sz="0" w:space="0" w:color="auto"/>
                      </w:divBdr>
                    </w:div>
                  </w:divsChild>
                </w:div>
                <w:div w:id="526139031">
                  <w:marLeft w:val="0"/>
                  <w:marRight w:val="0"/>
                  <w:marTop w:val="0"/>
                  <w:marBottom w:val="0"/>
                  <w:divBdr>
                    <w:top w:val="none" w:sz="0" w:space="0" w:color="auto"/>
                    <w:left w:val="none" w:sz="0" w:space="0" w:color="auto"/>
                    <w:bottom w:val="none" w:sz="0" w:space="0" w:color="auto"/>
                    <w:right w:val="none" w:sz="0" w:space="0" w:color="auto"/>
                  </w:divBdr>
                  <w:divsChild>
                    <w:div w:id="1519928449">
                      <w:marLeft w:val="0"/>
                      <w:marRight w:val="0"/>
                      <w:marTop w:val="0"/>
                      <w:marBottom w:val="0"/>
                      <w:divBdr>
                        <w:top w:val="none" w:sz="0" w:space="0" w:color="auto"/>
                        <w:left w:val="none" w:sz="0" w:space="0" w:color="auto"/>
                        <w:bottom w:val="none" w:sz="0" w:space="0" w:color="auto"/>
                        <w:right w:val="none" w:sz="0" w:space="0" w:color="auto"/>
                      </w:divBdr>
                    </w:div>
                  </w:divsChild>
                </w:div>
                <w:div w:id="531453505">
                  <w:marLeft w:val="0"/>
                  <w:marRight w:val="0"/>
                  <w:marTop w:val="0"/>
                  <w:marBottom w:val="0"/>
                  <w:divBdr>
                    <w:top w:val="none" w:sz="0" w:space="0" w:color="auto"/>
                    <w:left w:val="none" w:sz="0" w:space="0" w:color="auto"/>
                    <w:bottom w:val="none" w:sz="0" w:space="0" w:color="auto"/>
                    <w:right w:val="none" w:sz="0" w:space="0" w:color="auto"/>
                  </w:divBdr>
                  <w:divsChild>
                    <w:div w:id="1540318696">
                      <w:marLeft w:val="0"/>
                      <w:marRight w:val="0"/>
                      <w:marTop w:val="0"/>
                      <w:marBottom w:val="0"/>
                      <w:divBdr>
                        <w:top w:val="none" w:sz="0" w:space="0" w:color="auto"/>
                        <w:left w:val="none" w:sz="0" w:space="0" w:color="auto"/>
                        <w:bottom w:val="none" w:sz="0" w:space="0" w:color="auto"/>
                        <w:right w:val="none" w:sz="0" w:space="0" w:color="auto"/>
                      </w:divBdr>
                    </w:div>
                  </w:divsChild>
                </w:div>
                <w:div w:id="571352982">
                  <w:marLeft w:val="0"/>
                  <w:marRight w:val="0"/>
                  <w:marTop w:val="0"/>
                  <w:marBottom w:val="0"/>
                  <w:divBdr>
                    <w:top w:val="none" w:sz="0" w:space="0" w:color="auto"/>
                    <w:left w:val="none" w:sz="0" w:space="0" w:color="auto"/>
                    <w:bottom w:val="none" w:sz="0" w:space="0" w:color="auto"/>
                    <w:right w:val="none" w:sz="0" w:space="0" w:color="auto"/>
                  </w:divBdr>
                  <w:divsChild>
                    <w:div w:id="1917132933">
                      <w:marLeft w:val="0"/>
                      <w:marRight w:val="0"/>
                      <w:marTop w:val="0"/>
                      <w:marBottom w:val="0"/>
                      <w:divBdr>
                        <w:top w:val="none" w:sz="0" w:space="0" w:color="auto"/>
                        <w:left w:val="none" w:sz="0" w:space="0" w:color="auto"/>
                        <w:bottom w:val="none" w:sz="0" w:space="0" w:color="auto"/>
                        <w:right w:val="none" w:sz="0" w:space="0" w:color="auto"/>
                      </w:divBdr>
                    </w:div>
                  </w:divsChild>
                </w:div>
                <w:div w:id="614597935">
                  <w:marLeft w:val="0"/>
                  <w:marRight w:val="0"/>
                  <w:marTop w:val="0"/>
                  <w:marBottom w:val="0"/>
                  <w:divBdr>
                    <w:top w:val="none" w:sz="0" w:space="0" w:color="auto"/>
                    <w:left w:val="none" w:sz="0" w:space="0" w:color="auto"/>
                    <w:bottom w:val="none" w:sz="0" w:space="0" w:color="auto"/>
                    <w:right w:val="none" w:sz="0" w:space="0" w:color="auto"/>
                  </w:divBdr>
                  <w:divsChild>
                    <w:div w:id="173035757">
                      <w:marLeft w:val="0"/>
                      <w:marRight w:val="0"/>
                      <w:marTop w:val="0"/>
                      <w:marBottom w:val="0"/>
                      <w:divBdr>
                        <w:top w:val="none" w:sz="0" w:space="0" w:color="auto"/>
                        <w:left w:val="none" w:sz="0" w:space="0" w:color="auto"/>
                        <w:bottom w:val="none" w:sz="0" w:space="0" w:color="auto"/>
                        <w:right w:val="none" w:sz="0" w:space="0" w:color="auto"/>
                      </w:divBdr>
                    </w:div>
                  </w:divsChild>
                </w:div>
                <w:div w:id="628051887">
                  <w:marLeft w:val="0"/>
                  <w:marRight w:val="0"/>
                  <w:marTop w:val="0"/>
                  <w:marBottom w:val="0"/>
                  <w:divBdr>
                    <w:top w:val="none" w:sz="0" w:space="0" w:color="auto"/>
                    <w:left w:val="none" w:sz="0" w:space="0" w:color="auto"/>
                    <w:bottom w:val="none" w:sz="0" w:space="0" w:color="auto"/>
                    <w:right w:val="none" w:sz="0" w:space="0" w:color="auto"/>
                  </w:divBdr>
                  <w:divsChild>
                    <w:div w:id="141428901">
                      <w:marLeft w:val="0"/>
                      <w:marRight w:val="0"/>
                      <w:marTop w:val="0"/>
                      <w:marBottom w:val="0"/>
                      <w:divBdr>
                        <w:top w:val="none" w:sz="0" w:space="0" w:color="auto"/>
                        <w:left w:val="none" w:sz="0" w:space="0" w:color="auto"/>
                        <w:bottom w:val="none" w:sz="0" w:space="0" w:color="auto"/>
                        <w:right w:val="none" w:sz="0" w:space="0" w:color="auto"/>
                      </w:divBdr>
                    </w:div>
                  </w:divsChild>
                </w:div>
                <w:div w:id="641348982">
                  <w:marLeft w:val="0"/>
                  <w:marRight w:val="0"/>
                  <w:marTop w:val="0"/>
                  <w:marBottom w:val="0"/>
                  <w:divBdr>
                    <w:top w:val="none" w:sz="0" w:space="0" w:color="auto"/>
                    <w:left w:val="none" w:sz="0" w:space="0" w:color="auto"/>
                    <w:bottom w:val="none" w:sz="0" w:space="0" w:color="auto"/>
                    <w:right w:val="none" w:sz="0" w:space="0" w:color="auto"/>
                  </w:divBdr>
                  <w:divsChild>
                    <w:div w:id="1677269468">
                      <w:marLeft w:val="0"/>
                      <w:marRight w:val="0"/>
                      <w:marTop w:val="0"/>
                      <w:marBottom w:val="0"/>
                      <w:divBdr>
                        <w:top w:val="none" w:sz="0" w:space="0" w:color="auto"/>
                        <w:left w:val="none" w:sz="0" w:space="0" w:color="auto"/>
                        <w:bottom w:val="none" w:sz="0" w:space="0" w:color="auto"/>
                        <w:right w:val="none" w:sz="0" w:space="0" w:color="auto"/>
                      </w:divBdr>
                    </w:div>
                  </w:divsChild>
                </w:div>
                <w:div w:id="648823258">
                  <w:marLeft w:val="0"/>
                  <w:marRight w:val="0"/>
                  <w:marTop w:val="0"/>
                  <w:marBottom w:val="0"/>
                  <w:divBdr>
                    <w:top w:val="none" w:sz="0" w:space="0" w:color="auto"/>
                    <w:left w:val="none" w:sz="0" w:space="0" w:color="auto"/>
                    <w:bottom w:val="none" w:sz="0" w:space="0" w:color="auto"/>
                    <w:right w:val="none" w:sz="0" w:space="0" w:color="auto"/>
                  </w:divBdr>
                  <w:divsChild>
                    <w:div w:id="1984037726">
                      <w:marLeft w:val="0"/>
                      <w:marRight w:val="0"/>
                      <w:marTop w:val="0"/>
                      <w:marBottom w:val="0"/>
                      <w:divBdr>
                        <w:top w:val="none" w:sz="0" w:space="0" w:color="auto"/>
                        <w:left w:val="none" w:sz="0" w:space="0" w:color="auto"/>
                        <w:bottom w:val="none" w:sz="0" w:space="0" w:color="auto"/>
                        <w:right w:val="none" w:sz="0" w:space="0" w:color="auto"/>
                      </w:divBdr>
                    </w:div>
                  </w:divsChild>
                </w:div>
                <w:div w:id="662901537">
                  <w:marLeft w:val="0"/>
                  <w:marRight w:val="0"/>
                  <w:marTop w:val="0"/>
                  <w:marBottom w:val="0"/>
                  <w:divBdr>
                    <w:top w:val="none" w:sz="0" w:space="0" w:color="auto"/>
                    <w:left w:val="none" w:sz="0" w:space="0" w:color="auto"/>
                    <w:bottom w:val="none" w:sz="0" w:space="0" w:color="auto"/>
                    <w:right w:val="none" w:sz="0" w:space="0" w:color="auto"/>
                  </w:divBdr>
                  <w:divsChild>
                    <w:div w:id="645551161">
                      <w:marLeft w:val="0"/>
                      <w:marRight w:val="0"/>
                      <w:marTop w:val="0"/>
                      <w:marBottom w:val="0"/>
                      <w:divBdr>
                        <w:top w:val="none" w:sz="0" w:space="0" w:color="auto"/>
                        <w:left w:val="none" w:sz="0" w:space="0" w:color="auto"/>
                        <w:bottom w:val="none" w:sz="0" w:space="0" w:color="auto"/>
                        <w:right w:val="none" w:sz="0" w:space="0" w:color="auto"/>
                      </w:divBdr>
                    </w:div>
                  </w:divsChild>
                </w:div>
                <w:div w:id="672806845">
                  <w:marLeft w:val="0"/>
                  <w:marRight w:val="0"/>
                  <w:marTop w:val="0"/>
                  <w:marBottom w:val="0"/>
                  <w:divBdr>
                    <w:top w:val="none" w:sz="0" w:space="0" w:color="auto"/>
                    <w:left w:val="none" w:sz="0" w:space="0" w:color="auto"/>
                    <w:bottom w:val="none" w:sz="0" w:space="0" w:color="auto"/>
                    <w:right w:val="none" w:sz="0" w:space="0" w:color="auto"/>
                  </w:divBdr>
                  <w:divsChild>
                    <w:div w:id="1410420355">
                      <w:marLeft w:val="0"/>
                      <w:marRight w:val="0"/>
                      <w:marTop w:val="0"/>
                      <w:marBottom w:val="0"/>
                      <w:divBdr>
                        <w:top w:val="none" w:sz="0" w:space="0" w:color="auto"/>
                        <w:left w:val="none" w:sz="0" w:space="0" w:color="auto"/>
                        <w:bottom w:val="none" w:sz="0" w:space="0" w:color="auto"/>
                        <w:right w:val="none" w:sz="0" w:space="0" w:color="auto"/>
                      </w:divBdr>
                    </w:div>
                  </w:divsChild>
                </w:div>
                <w:div w:id="680813645">
                  <w:marLeft w:val="0"/>
                  <w:marRight w:val="0"/>
                  <w:marTop w:val="0"/>
                  <w:marBottom w:val="0"/>
                  <w:divBdr>
                    <w:top w:val="none" w:sz="0" w:space="0" w:color="auto"/>
                    <w:left w:val="none" w:sz="0" w:space="0" w:color="auto"/>
                    <w:bottom w:val="none" w:sz="0" w:space="0" w:color="auto"/>
                    <w:right w:val="none" w:sz="0" w:space="0" w:color="auto"/>
                  </w:divBdr>
                  <w:divsChild>
                    <w:div w:id="1991016361">
                      <w:marLeft w:val="0"/>
                      <w:marRight w:val="0"/>
                      <w:marTop w:val="0"/>
                      <w:marBottom w:val="0"/>
                      <w:divBdr>
                        <w:top w:val="none" w:sz="0" w:space="0" w:color="auto"/>
                        <w:left w:val="none" w:sz="0" w:space="0" w:color="auto"/>
                        <w:bottom w:val="none" w:sz="0" w:space="0" w:color="auto"/>
                        <w:right w:val="none" w:sz="0" w:space="0" w:color="auto"/>
                      </w:divBdr>
                    </w:div>
                  </w:divsChild>
                </w:div>
                <w:div w:id="686298519">
                  <w:marLeft w:val="0"/>
                  <w:marRight w:val="0"/>
                  <w:marTop w:val="0"/>
                  <w:marBottom w:val="0"/>
                  <w:divBdr>
                    <w:top w:val="none" w:sz="0" w:space="0" w:color="auto"/>
                    <w:left w:val="none" w:sz="0" w:space="0" w:color="auto"/>
                    <w:bottom w:val="none" w:sz="0" w:space="0" w:color="auto"/>
                    <w:right w:val="none" w:sz="0" w:space="0" w:color="auto"/>
                  </w:divBdr>
                  <w:divsChild>
                    <w:div w:id="2145418236">
                      <w:marLeft w:val="0"/>
                      <w:marRight w:val="0"/>
                      <w:marTop w:val="0"/>
                      <w:marBottom w:val="0"/>
                      <w:divBdr>
                        <w:top w:val="none" w:sz="0" w:space="0" w:color="auto"/>
                        <w:left w:val="none" w:sz="0" w:space="0" w:color="auto"/>
                        <w:bottom w:val="none" w:sz="0" w:space="0" w:color="auto"/>
                        <w:right w:val="none" w:sz="0" w:space="0" w:color="auto"/>
                      </w:divBdr>
                    </w:div>
                  </w:divsChild>
                </w:div>
                <w:div w:id="724259902">
                  <w:marLeft w:val="0"/>
                  <w:marRight w:val="0"/>
                  <w:marTop w:val="0"/>
                  <w:marBottom w:val="0"/>
                  <w:divBdr>
                    <w:top w:val="none" w:sz="0" w:space="0" w:color="auto"/>
                    <w:left w:val="none" w:sz="0" w:space="0" w:color="auto"/>
                    <w:bottom w:val="none" w:sz="0" w:space="0" w:color="auto"/>
                    <w:right w:val="none" w:sz="0" w:space="0" w:color="auto"/>
                  </w:divBdr>
                  <w:divsChild>
                    <w:div w:id="1448817298">
                      <w:marLeft w:val="0"/>
                      <w:marRight w:val="0"/>
                      <w:marTop w:val="0"/>
                      <w:marBottom w:val="0"/>
                      <w:divBdr>
                        <w:top w:val="none" w:sz="0" w:space="0" w:color="auto"/>
                        <w:left w:val="none" w:sz="0" w:space="0" w:color="auto"/>
                        <w:bottom w:val="none" w:sz="0" w:space="0" w:color="auto"/>
                        <w:right w:val="none" w:sz="0" w:space="0" w:color="auto"/>
                      </w:divBdr>
                    </w:div>
                  </w:divsChild>
                </w:div>
                <w:div w:id="769006996">
                  <w:marLeft w:val="0"/>
                  <w:marRight w:val="0"/>
                  <w:marTop w:val="0"/>
                  <w:marBottom w:val="0"/>
                  <w:divBdr>
                    <w:top w:val="none" w:sz="0" w:space="0" w:color="auto"/>
                    <w:left w:val="none" w:sz="0" w:space="0" w:color="auto"/>
                    <w:bottom w:val="none" w:sz="0" w:space="0" w:color="auto"/>
                    <w:right w:val="none" w:sz="0" w:space="0" w:color="auto"/>
                  </w:divBdr>
                  <w:divsChild>
                    <w:div w:id="553853929">
                      <w:marLeft w:val="0"/>
                      <w:marRight w:val="0"/>
                      <w:marTop w:val="0"/>
                      <w:marBottom w:val="0"/>
                      <w:divBdr>
                        <w:top w:val="none" w:sz="0" w:space="0" w:color="auto"/>
                        <w:left w:val="none" w:sz="0" w:space="0" w:color="auto"/>
                        <w:bottom w:val="none" w:sz="0" w:space="0" w:color="auto"/>
                        <w:right w:val="none" w:sz="0" w:space="0" w:color="auto"/>
                      </w:divBdr>
                    </w:div>
                  </w:divsChild>
                </w:div>
                <w:div w:id="780688631">
                  <w:marLeft w:val="0"/>
                  <w:marRight w:val="0"/>
                  <w:marTop w:val="0"/>
                  <w:marBottom w:val="0"/>
                  <w:divBdr>
                    <w:top w:val="none" w:sz="0" w:space="0" w:color="auto"/>
                    <w:left w:val="none" w:sz="0" w:space="0" w:color="auto"/>
                    <w:bottom w:val="none" w:sz="0" w:space="0" w:color="auto"/>
                    <w:right w:val="none" w:sz="0" w:space="0" w:color="auto"/>
                  </w:divBdr>
                  <w:divsChild>
                    <w:div w:id="1755778494">
                      <w:marLeft w:val="0"/>
                      <w:marRight w:val="0"/>
                      <w:marTop w:val="0"/>
                      <w:marBottom w:val="0"/>
                      <w:divBdr>
                        <w:top w:val="none" w:sz="0" w:space="0" w:color="auto"/>
                        <w:left w:val="none" w:sz="0" w:space="0" w:color="auto"/>
                        <w:bottom w:val="none" w:sz="0" w:space="0" w:color="auto"/>
                        <w:right w:val="none" w:sz="0" w:space="0" w:color="auto"/>
                      </w:divBdr>
                    </w:div>
                  </w:divsChild>
                </w:div>
                <w:div w:id="824782524">
                  <w:marLeft w:val="0"/>
                  <w:marRight w:val="0"/>
                  <w:marTop w:val="0"/>
                  <w:marBottom w:val="0"/>
                  <w:divBdr>
                    <w:top w:val="none" w:sz="0" w:space="0" w:color="auto"/>
                    <w:left w:val="none" w:sz="0" w:space="0" w:color="auto"/>
                    <w:bottom w:val="none" w:sz="0" w:space="0" w:color="auto"/>
                    <w:right w:val="none" w:sz="0" w:space="0" w:color="auto"/>
                  </w:divBdr>
                  <w:divsChild>
                    <w:div w:id="2100219">
                      <w:marLeft w:val="0"/>
                      <w:marRight w:val="0"/>
                      <w:marTop w:val="0"/>
                      <w:marBottom w:val="0"/>
                      <w:divBdr>
                        <w:top w:val="none" w:sz="0" w:space="0" w:color="auto"/>
                        <w:left w:val="none" w:sz="0" w:space="0" w:color="auto"/>
                        <w:bottom w:val="none" w:sz="0" w:space="0" w:color="auto"/>
                        <w:right w:val="none" w:sz="0" w:space="0" w:color="auto"/>
                      </w:divBdr>
                    </w:div>
                  </w:divsChild>
                </w:div>
                <w:div w:id="847408295">
                  <w:marLeft w:val="0"/>
                  <w:marRight w:val="0"/>
                  <w:marTop w:val="0"/>
                  <w:marBottom w:val="0"/>
                  <w:divBdr>
                    <w:top w:val="none" w:sz="0" w:space="0" w:color="auto"/>
                    <w:left w:val="none" w:sz="0" w:space="0" w:color="auto"/>
                    <w:bottom w:val="none" w:sz="0" w:space="0" w:color="auto"/>
                    <w:right w:val="none" w:sz="0" w:space="0" w:color="auto"/>
                  </w:divBdr>
                  <w:divsChild>
                    <w:div w:id="1045326239">
                      <w:marLeft w:val="0"/>
                      <w:marRight w:val="0"/>
                      <w:marTop w:val="0"/>
                      <w:marBottom w:val="0"/>
                      <w:divBdr>
                        <w:top w:val="none" w:sz="0" w:space="0" w:color="auto"/>
                        <w:left w:val="none" w:sz="0" w:space="0" w:color="auto"/>
                        <w:bottom w:val="none" w:sz="0" w:space="0" w:color="auto"/>
                        <w:right w:val="none" w:sz="0" w:space="0" w:color="auto"/>
                      </w:divBdr>
                    </w:div>
                  </w:divsChild>
                </w:div>
                <w:div w:id="849636942">
                  <w:marLeft w:val="0"/>
                  <w:marRight w:val="0"/>
                  <w:marTop w:val="0"/>
                  <w:marBottom w:val="0"/>
                  <w:divBdr>
                    <w:top w:val="none" w:sz="0" w:space="0" w:color="auto"/>
                    <w:left w:val="none" w:sz="0" w:space="0" w:color="auto"/>
                    <w:bottom w:val="none" w:sz="0" w:space="0" w:color="auto"/>
                    <w:right w:val="none" w:sz="0" w:space="0" w:color="auto"/>
                  </w:divBdr>
                  <w:divsChild>
                    <w:div w:id="595751298">
                      <w:marLeft w:val="0"/>
                      <w:marRight w:val="0"/>
                      <w:marTop w:val="0"/>
                      <w:marBottom w:val="0"/>
                      <w:divBdr>
                        <w:top w:val="none" w:sz="0" w:space="0" w:color="auto"/>
                        <w:left w:val="none" w:sz="0" w:space="0" w:color="auto"/>
                        <w:bottom w:val="none" w:sz="0" w:space="0" w:color="auto"/>
                        <w:right w:val="none" w:sz="0" w:space="0" w:color="auto"/>
                      </w:divBdr>
                    </w:div>
                  </w:divsChild>
                </w:div>
                <w:div w:id="853882355">
                  <w:marLeft w:val="0"/>
                  <w:marRight w:val="0"/>
                  <w:marTop w:val="0"/>
                  <w:marBottom w:val="0"/>
                  <w:divBdr>
                    <w:top w:val="none" w:sz="0" w:space="0" w:color="auto"/>
                    <w:left w:val="none" w:sz="0" w:space="0" w:color="auto"/>
                    <w:bottom w:val="none" w:sz="0" w:space="0" w:color="auto"/>
                    <w:right w:val="none" w:sz="0" w:space="0" w:color="auto"/>
                  </w:divBdr>
                  <w:divsChild>
                    <w:div w:id="89856233">
                      <w:marLeft w:val="0"/>
                      <w:marRight w:val="0"/>
                      <w:marTop w:val="0"/>
                      <w:marBottom w:val="0"/>
                      <w:divBdr>
                        <w:top w:val="none" w:sz="0" w:space="0" w:color="auto"/>
                        <w:left w:val="none" w:sz="0" w:space="0" w:color="auto"/>
                        <w:bottom w:val="none" w:sz="0" w:space="0" w:color="auto"/>
                        <w:right w:val="none" w:sz="0" w:space="0" w:color="auto"/>
                      </w:divBdr>
                    </w:div>
                  </w:divsChild>
                </w:div>
                <w:div w:id="862594151">
                  <w:marLeft w:val="0"/>
                  <w:marRight w:val="0"/>
                  <w:marTop w:val="0"/>
                  <w:marBottom w:val="0"/>
                  <w:divBdr>
                    <w:top w:val="none" w:sz="0" w:space="0" w:color="auto"/>
                    <w:left w:val="none" w:sz="0" w:space="0" w:color="auto"/>
                    <w:bottom w:val="none" w:sz="0" w:space="0" w:color="auto"/>
                    <w:right w:val="none" w:sz="0" w:space="0" w:color="auto"/>
                  </w:divBdr>
                  <w:divsChild>
                    <w:div w:id="1959528396">
                      <w:marLeft w:val="0"/>
                      <w:marRight w:val="0"/>
                      <w:marTop w:val="0"/>
                      <w:marBottom w:val="0"/>
                      <w:divBdr>
                        <w:top w:val="none" w:sz="0" w:space="0" w:color="auto"/>
                        <w:left w:val="none" w:sz="0" w:space="0" w:color="auto"/>
                        <w:bottom w:val="none" w:sz="0" w:space="0" w:color="auto"/>
                        <w:right w:val="none" w:sz="0" w:space="0" w:color="auto"/>
                      </w:divBdr>
                    </w:div>
                  </w:divsChild>
                </w:div>
                <w:div w:id="875973750">
                  <w:marLeft w:val="0"/>
                  <w:marRight w:val="0"/>
                  <w:marTop w:val="0"/>
                  <w:marBottom w:val="0"/>
                  <w:divBdr>
                    <w:top w:val="none" w:sz="0" w:space="0" w:color="auto"/>
                    <w:left w:val="none" w:sz="0" w:space="0" w:color="auto"/>
                    <w:bottom w:val="none" w:sz="0" w:space="0" w:color="auto"/>
                    <w:right w:val="none" w:sz="0" w:space="0" w:color="auto"/>
                  </w:divBdr>
                  <w:divsChild>
                    <w:div w:id="753670711">
                      <w:marLeft w:val="0"/>
                      <w:marRight w:val="0"/>
                      <w:marTop w:val="0"/>
                      <w:marBottom w:val="0"/>
                      <w:divBdr>
                        <w:top w:val="none" w:sz="0" w:space="0" w:color="auto"/>
                        <w:left w:val="none" w:sz="0" w:space="0" w:color="auto"/>
                        <w:bottom w:val="none" w:sz="0" w:space="0" w:color="auto"/>
                        <w:right w:val="none" w:sz="0" w:space="0" w:color="auto"/>
                      </w:divBdr>
                    </w:div>
                  </w:divsChild>
                </w:div>
                <w:div w:id="881791808">
                  <w:marLeft w:val="0"/>
                  <w:marRight w:val="0"/>
                  <w:marTop w:val="0"/>
                  <w:marBottom w:val="0"/>
                  <w:divBdr>
                    <w:top w:val="none" w:sz="0" w:space="0" w:color="auto"/>
                    <w:left w:val="none" w:sz="0" w:space="0" w:color="auto"/>
                    <w:bottom w:val="none" w:sz="0" w:space="0" w:color="auto"/>
                    <w:right w:val="none" w:sz="0" w:space="0" w:color="auto"/>
                  </w:divBdr>
                  <w:divsChild>
                    <w:div w:id="1345281145">
                      <w:marLeft w:val="0"/>
                      <w:marRight w:val="0"/>
                      <w:marTop w:val="0"/>
                      <w:marBottom w:val="0"/>
                      <w:divBdr>
                        <w:top w:val="none" w:sz="0" w:space="0" w:color="auto"/>
                        <w:left w:val="none" w:sz="0" w:space="0" w:color="auto"/>
                        <w:bottom w:val="none" w:sz="0" w:space="0" w:color="auto"/>
                        <w:right w:val="none" w:sz="0" w:space="0" w:color="auto"/>
                      </w:divBdr>
                    </w:div>
                  </w:divsChild>
                </w:div>
                <w:div w:id="930506142">
                  <w:marLeft w:val="0"/>
                  <w:marRight w:val="0"/>
                  <w:marTop w:val="0"/>
                  <w:marBottom w:val="0"/>
                  <w:divBdr>
                    <w:top w:val="none" w:sz="0" w:space="0" w:color="auto"/>
                    <w:left w:val="none" w:sz="0" w:space="0" w:color="auto"/>
                    <w:bottom w:val="none" w:sz="0" w:space="0" w:color="auto"/>
                    <w:right w:val="none" w:sz="0" w:space="0" w:color="auto"/>
                  </w:divBdr>
                  <w:divsChild>
                    <w:div w:id="1176580841">
                      <w:marLeft w:val="0"/>
                      <w:marRight w:val="0"/>
                      <w:marTop w:val="0"/>
                      <w:marBottom w:val="0"/>
                      <w:divBdr>
                        <w:top w:val="none" w:sz="0" w:space="0" w:color="auto"/>
                        <w:left w:val="none" w:sz="0" w:space="0" w:color="auto"/>
                        <w:bottom w:val="none" w:sz="0" w:space="0" w:color="auto"/>
                        <w:right w:val="none" w:sz="0" w:space="0" w:color="auto"/>
                      </w:divBdr>
                    </w:div>
                  </w:divsChild>
                </w:div>
                <w:div w:id="934558253">
                  <w:marLeft w:val="0"/>
                  <w:marRight w:val="0"/>
                  <w:marTop w:val="0"/>
                  <w:marBottom w:val="0"/>
                  <w:divBdr>
                    <w:top w:val="none" w:sz="0" w:space="0" w:color="auto"/>
                    <w:left w:val="none" w:sz="0" w:space="0" w:color="auto"/>
                    <w:bottom w:val="none" w:sz="0" w:space="0" w:color="auto"/>
                    <w:right w:val="none" w:sz="0" w:space="0" w:color="auto"/>
                  </w:divBdr>
                  <w:divsChild>
                    <w:div w:id="87502299">
                      <w:marLeft w:val="0"/>
                      <w:marRight w:val="0"/>
                      <w:marTop w:val="0"/>
                      <w:marBottom w:val="0"/>
                      <w:divBdr>
                        <w:top w:val="none" w:sz="0" w:space="0" w:color="auto"/>
                        <w:left w:val="none" w:sz="0" w:space="0" w:color="auto"/>
                        <w:bottom w:val="none" w:sz="0" w:space="0" w:color="auto"/>
                        <w:right w:val="none" w:sz="0" w:space="0" w:color="auto"/>
                      </w:divBdr>
                    </w:div>
                  </w:divsChild>
                </w:div>
                <w:div w:id="958990616">
                  <w:marLeft w:val="0"/>
                  <w:marRight w:val="0"/>
                  <w:marTop w:val="0"/>
                  <w:marBottom w:val="0"/>
                  <w:divBdr>
                    <w:top w:val="none" w:sz="0" w:space="0" w:color="auto"/>
                    <w:left w:val="none" w:sz="0" w:space="0" w:color="auto"/>
                    <w:bottom w:val="none" w:sz="0" w:space="0" w:color="auto"/>
                    <w:right w:val="none" w:sz="0" w:space="0" w:color="auto"/>
                  </w:divBdr>
                  <w:divsChild>
                    <w:div w:id="1847553724">
                      <w:marLeft w:val="0"/>
                      <w:marRight w:val="0"/>
                      <w:marTop w:val="0"/>
                      <w:marBottom w:val="0"/>
                      <w:divBdr>
                        <w:top w:val="none" w:sz="0" w:space="0" w:color="auto"/>
                        <w:left w:val="none" w:sz="0" w:space="0" w:color="auto"/>
                        <w:bottom w:val="none" w:sz="0" w:space="0" w:color="auto"/>
                        <w:right w:val="none" w:sz="0" w:space="0" w:color="auto"/>
                      </w:divBdr>
                    </w:div>
                  </w:divsChild>
                </w:div>
                <w:div w:id="998192819">
                  <w:marLeft w:val="0"/>
                  <w:marRight w:val="0"/>
                  <w:marTop w:val="0"/>
                  <w:marBottom w:val="0"/>
                  <w:divBdr>
                    <w:top w:val="none" w:sz="0" w:space="0" w:color="auto"/>
                    <w:left w:val="none" w:sz="0" w:space="0" w:color="auto"/>
                    <w:bottom w:val="none" w:sz="0" w:space="0" w:color="auto"/>
                    <w:right w:val="none" w:sz="0" w:space="0" w:color="auto"/>
                  </w:divBdr>
                  <w:divsChild>
                    <w:div w:id="1388187450">
                      <w:marLeft w:val="0"/>
                      <w:marRight w:val="0"/>
                      <w:marTop w:val="0"/>
                      <w:marBottom w:val="0"/>
                      <w:divBdr>
                        <w:top w:val="none" w:sz="0" w:space="0" w:color="auto"/>
                        <w:left w:val="none" w:sz="0" w:space="0" w:color="auto"/>
                        <w:bottom w:val="none" w:sz="0" w:space="0" w:color="auto"/>
                        <w:right w:val="none" w:sz="0" w:space="0" w:color="auto"/>
                      </w:divBdr>
                    </w:div>
                  </w:divsChild>
                </w:div>
                <w:div w:id="1052995174">
                  <w:marLeft w:val="0"/>
                  <w:marRight w:val="0"/>
                  <w:marTop w:val="0"/>
                  <w:marBottom w:val="0"/>
                  <w:divBdr>
                    <w:top w:val="none" w:sz="0" w:space="0" w:color="auto"/>
                    <w:left w:val="none" w:sz="0" w:space="0" w:color="auto"/>
                    <w:bottom w:val="none" w:sz="0" w:space="0" w:color="auto"/>
                    <w:right w:val="none" w:sz="0" w:space="0" w:color="auto"/>
                  </w:divBdr>
                  <w:divsChild>
                    <w:div w:id="1542398870">
                      <w:marLeft w:val="0"/>
                      <w:marRight w:val="0"/>
                      <w:marTop w:val="0"/>
                      <w:marBottom w:val="0"/>
                      <w:divBdr>
                        <w:top w:val="none" w:sz="0" w:space="0" w:color="auto"/>
                        <w:left w:val="none" w:sz="0" w:space="0" w:color="auto"/>
                        <w:bottom w:val="none" w:sz="0" w:space="0" w:color="auto"/>
                        <w:right w:val="none" w:sz="0" w:space="0" w:color="auto"/>
                      </w:divBdr>
                    </w:div>
                  </w:divsChild>
                </w:div>
                <w:div w:id="1079524045">
                  <w:marLeft w:val="0"/>
                  <w:marRight w:val="0"/>
                  <w:marTop w:val="0"/>
                  <w:marBottom w:val="0"/>
                  <w:divBdr>
                    <w:top w:val="none" w:sz="0" w:space="0" w:color="auto"/>
                    <w:left w:val="none" w:sz="0" w:space="0" w:color="auto"/>
                    <w:bottom w:val="none" w:sz="0" w:space="0" w:color="auto"/>
                    <w:right w:val="none" w:sz="0" w:space="0" w:color="auto"/>
                  </w:divBdr>
                  <w:divsChild>
                    <w:div w:id="65616321">
                      <w:marLeft w:val="0"/>
                      <w:marRight w:val="0"/>
                      <w:marTop w:val="0"/>
                      <w:marBottom w:val="0"/>
                      <w:divBdr>
                        <w:top w:val="none" w:sz="0" w:space="0" w:color="auto"/>
                        <w:left w:val="none" w:sz="0" w:space="0" w:color="auto"/>
                        <w:bottom w:val="none" w:sz="0" w:space="0" w:color="auto"/>
                        <w:right w:val="none" w:sz="0" w:space="0" w:color="auto"/>
                      </w:divBdr>
                    </w:div>
                  </w:divsChild>
                </w:div>
                <w:div w:id="1089883716">
                  <w:marLeft w:val="0"/>
                  <w:marRight w:val="0"/>
                  <w:marTop w:val="0"/>
                  <w:marBottom w:val="0"/>
                  <w:divBdr>
                    <w:top w:val="none" w:sz="0" w:space="0" w:color="auto"/>
                    <w:left w:val="none" w:sz="0" w:space="0" w:color="auto"/>
                    <w:bottom w:val="none" w:sz="0" w:space="0" w:color="auto"/>
                    <w:right w:val="none" w:sz="0" w:space="0" w:color="auto"/>
                  </w:divBdr>
                  <w:divsChild>
                    <w:div w:id="1766683331">
                      <w:marLeft w:val="0"/>
                      <w:marRight w:val="0"/>
                      <w:marTop w:val="0"/>
                      <w:marBottom w:val="0"/>
                      <w:divBdr>
                        <w:top w:val="none" w:sz="0" w:space="0" w:color="auto"/>
                        <w:left w:val="none" w:sz="0" w:space="0" w:color="auto"/>
                        <w:bottom w:val="none" w:sz="0" w:space="0" w:color="auto"/>
                        <w:right w:val="none" w:sz="0" w:space="0" w:color="auto"/>
                      </w:divBdr>
                    </w:div>
                  </w:divsChild>
                </w:div>
                <w:div w:id="1102527032">
                  <w:marLeft w:val="0"/>
                  <w:marRight w:val="0"/>
                  <w:marTop w:val="0"/>
                  <w:marBottom w:val="0"/>
                  <w:divBdr>
                    <w:top w:val="none" w:sz="0" w:space="0" w:color="auto"/>
                    <w:left w:val="none" w:sz="0" w:space="0" w:color="auto"/>
                    <w:bottom w:val="none" w:sz="0" w:space="0" w:color="auto"/>
                    <w:right w:val="none" w:sz="0" w:space="0" w:color="auto"/>
                  </w:divBdr>
                  <w:divsChild>
                    <w:div w:id="1995405439">
                      <w:marLeft w:val="0"/>
                      <w:marRight w:val="0"/>
                      <w:marTop w:val="0"/>
                      <w:marBottom w:val="0"/>
                      <w:divBdr>
                        <w:top w:val="none" w:sz="0" w:space="0" w:color="auto"/>
                        <w:left w:val="none" w:sz="0" w:space="0" w:color="auto"/>
                        <w:bottom w:val="none" w:sz="0" w:space="0" w:color="auto"/>
                        <w:right w:val="none" w:sz="0" w:space="0" w:color="auto"/>
                      </w:divBdr>
                    </w:div>
                  </w:divsChild>
                </w:div>
                <w:div w:id="1111821582">
                  <w:marLeft w:val="0"/>
                  <w:marRight w:val="0"/>
                  <w:marTop w:val="0"/>
                  <w:marBottom w:val="0"/>
                  <w:divBdr>
                    <w:top w:val="none" w:sz="0" w:space="0" w:color="auto"/>
                    <w:left w:val="none" w:sz="0" w:space="0" w:color="auto"/>
                    <w:bottom w:val="none" w:sz="0" w:space="0" w:color="auto"/>
                    <w:right w:val="none" w:sz="0" w:space="0" w:color="auto"/>
                  </w:divBdr>
                  <w:divsChild>
                    <w:div w:id="611673614">
                      <w:marLeft w:val="0"/>
                      <w:marRight w:val="0"/>
                      <w:marTop w:val="0"/>
                      <w:marBottom w:val="0"/>
                      <w:divBdr>
                        <w:top w:val="none" w:sz="0" w:space="0" w:color="auto"/>
                        <w:left w:val="none" w:sz="0" w:space="0" w:color="auto"/>
                        <w:bottom w:val="none" w:sz="0" w:space="0" w:color="auto"/>
                        <w:right w:val="none" w:sz="0" w:space="0" w:color="auto"/>
                      </w:divBdr>
                    </w:div>
                  </w:divsChild>
                </w:div>
                <w:div w:id="1111969602">
                  <w:marLeft w:val="0"/>
                  <w:marRight w:val="0"/>
                  <w:marTop w:val="0"/>
                  <w:marBottom w:val="0"/>
                  <w:divBdr>
                    <w:top w:val="none" w:sz="0" w:space="0" w:color="auto"/>
                    <w:left w:val="none" w:sz="0" w:space="0" w:color="auto"/>
                    <w:bottom w:val="none" w:sz="0" w:space="0" w:color="auto"/>
                    <w:right w:val="none" w:sz="0" w:space="0" w:color="auto"/>
                  </w:divBdr>
                  <w:divsChild>
                    <w:div w:id="678043532">
                      <w:marLeft w:val="0"/>
                      <w:marRight w:val="0"/>
                      <w:marTop w:val="0"/>
                      <w:marBottom w:val="0"/>
                      <w:divBdr>
                        <w:top w:val="none" w:sz="0" w:space="0" w:color="auto"/>
                        <w:left w:val="none" w:sz="0" w:space="0" w:color="auto"/>
                        <w:bottom w:val="none" w:sz="0" w:space="0" w:color="auto"/>
                        <w:right w:val="none" w:sz="0" w:space="0" w:color="auto"/>
                      </w:divBdr>
                    </w:div>
                  </w:divsChild>
                </w:div>
                <w:div w:id="1139686798">
                  <w:marLeft w:val="0"/>
                  <w:marRight w:val="0"/>
                  <w:marTop w:val="0"/>
                  <w:marBottom w:val="0"/>
                  <w:divBdr>
                    <w:top w:val="none" w:sz="0" w:space="0" w:color="auto"/>
                    <w:left w:val="none" w:sz="0" w:space="0" w:color="auto"/>
                    <w:bottom w:val="none" w:sz="0" w:space="0" w:color="auto"/>
                    <w:right w:val="none" w:sz="0" w:space="0" w:color="auto"/>
                  </w:divBdr>
                  <w:divsChild>
                    <w:div w:id="327366601">
                      <w:marLeft w:val="0"/>
                      <w:marRight w:val="0"/>
                      <w:marTop w:val="0"/>
                      <w:marBottom w:val="0"/>
                      <w:divBdr>
                        <w:top w:val="none" w:sz="0" w:space="0" w:color="auto"/>
                        <w:left w:val="none" w:sz="0" w:space="0" w:color="auto"/>
                        <w:bottom w:val="none" w:sz="0" w:space="0" w:color="auto"/>
                        <w:right w:val="none" w:sz="0" w:space="0" w:color="auto"/>
                      </w:divBdr>
                    </w:div>
                  </w:divsChild>
                </w:div>
                <w:div w:id="1146126114">
                  <w:marLeft w:val="0"/>
                  <w:marRight w:val="0"/>
                  <w:marTop w:val="0"/>
                  <w:marBottom w:val="0"/>
                  <w:divBdr>
                    <w:top w:val="none" w:sz="0" w:space="0" w:color="auto"/>
                    <w:left w:val="none" w:sz="0" w:space="0" w:color="auto"/>
                    <w:bottom w:val="none" w:sz="0" w:space="0" w:color="auto"/>
                    <w:right w:val="none" w:sz="0" w:space="0" w:color="auto"/>
                  </w:divBdr>
                  <w:divsChild>
                    <w:div w:id="740711302">
                      <w:marLeft w:val="0"/>
                      <w:marRight w:val="0"/>
                      <w:marTop w:val="0"/>
                      <w:marBottom w:val="0"/>
                      <w:divBdr>
                        <w:top w:val="none" w:sz="0" w:space="0" w:color="auto"/>
                        <w:left w:val="none" w:sz="0" w:space="0" w:color="auto"/>
                        <w:bottom w:val="none" w:sz="0" w:space="0" w:color="auto"/>
                        <w:right w:val="none" w:sz="0" w:space="0" w:color="auto"/>
                      </w:divBdr>
                    </w:div>
                  </w:divsChild>
                </w:div>
                <w:div w:id="1206990511">
                  <w:marLeft w:val="0"/>
                  <w:marRight w:val="0"/>
                  <w:marTop w:val="0"/>
                  <w:marBottom w:val="0"/>
                  <w:divBdr>
                    <w:top w:val="none" w:sz="0" w:space="0" w:color="auto"/>
                    <w:left w:val="none" w:sz="0" w:space="0" w:color="auto"/>
                    <w:bottom w:val="none" w:sz="0" w:space="0" w:color="auto"/>
                    <w:right w:val="none" w:sz="0" w:space="0" w:color="auto"/>
                  </w:divBdr>
                  <w:divsChild>
                    <w:div w:id="1262879766">
                      <w:marLeft w:val="0"/>
                      <w:marRight w:val="0"/>
                      <w:marTop w:val="0"/>
                      <w:marBottom w:val="0"/>
                      <w:divBdr>
                        <w:top w:val="none" w:sz="0" w:space="0" w:color="auto"/>
                        <w:left w:val="none" w:sz="0" w:space="0" w:color="auto"/>
                        <w:bottom w:val="none" w:sz="0" w:space="0" w:color="auto"/>
                        <w:right w:val="none" w:sz="0" w:space="0" w:color="auto"/>
                      </w:divBdr>
                    </w:div>
                  </w:divsChild>
                </w:div>
                <w:div w:id="1211920577">
                  <w:marLeft w:val="0"/>
                  <w:marRight w:val="0"/>
                  <w:marTop w:val="0"/>
                  <w:marBottom w:val="0"/>
                  <w:divBdr>
                    <w:top w:val="none" w:sz="0" w:space="0" w:color="auto"/>
                    <w:left w:val="none" w:sz="0" w:space="0" w:color="auto"/>
                    <w:bottom w:val="none" w:sz="0" w:space="0" w:color="auto"/>
                    <w:right w:val="none" w:sz="0" w:space="0" w:color="auto"/>
                  </w:divBdr>
                  <w:divsChild>
                    <w:div w:id="1555654388">
                      <w:marLeft w:val="0"/>
                      <w:marRight w:val="0"/>
                      <w:marTop w:val="0"/>
                      <w:marBottom w:val="0"/>
                      <w:divBdr>
                        <w:top w:val="none" w:sz="0" w:space="0" w:color="auto"/>
                        <w:left w:val="none" w:sz="0" w:space="0" w:color="auto"/>
                        <w:bottom w:val="none" w:sz="0" w:space="0" w:color="auto"/>
                        <w:right w:val="none" w:sz="0" w:space="0" w:color="auto"/>
                      </w:divBdr>
                    </w:div>
                  </w:divsChild>
                </w:div>
                <w:div w:id="1228110688">
                  <w:marLeft w:val="0"/>
                  <w:marRight w:val="0"/>
                  <w:marTop w:val="0"/>
                  <w:marBottom w:val="0"/>
                  <w:divBdr>
                    <w:top w:val="none" w:sz="0" w:space="0" w:color="auto"/>
                    <w:left w:val="none" w:sz="0" w:space="0" w:color="auto"/>
                    <w:bottom w:val="none" w:sz="0" w:space="0" w:color="auto"/>
                    <w:right w:val="none" w:sz="0" w:space="0" w:color="auto"/>
                  </w:divBdr>
                  <w:divsChild>
                    <w:div w:id="1891186747">
                      <w:marLeft w:val="0"/>
                      <w:marRight w:val="0"/>
                      <w:marTop w:val="0"/>
                      <w:marBottom w:val="0"/>
                      <w:divBdr>
                        <w:top w:val="none" w:sz="0" w:space="0" w:color="auto"/>
                        <w:left w:val="none" w:sz="0" w:space="0" w:color="auto"/>
                        <w:bottom w:val="none" w:sz="0" w:space="0" w:color="auto"/>
                        <w:right w:val="none" w:sz="0" w:space="0" w:color="auto"/>
                      </w:divBdr>
                    </w:div>
                  </w:divsChild>
                </w:div>
                <w:div w:id="1248688697">
                  <w:marLeft w:val="0"/>
                  <w:marRight w:val="0"/>
                  <w:marTop w:val="0"/>
                  <w:marBottom w:val="0"/>
                  <w:divBdr>
                    <w:top w:val="none" w:sz="0" w:space="0" w:color="auto"/>
                    <w:left w:val="none" w:sz="0" w:space="0" w:color="auto"/>
                    <w:bottom w:val="none" w:sz="0" w:space="0" w:color="auto"/>
                    <w:right w:val="none" w:sz="0" w:space="0" w:color="auto"/>
                  </w:divBdr>
                  <w:divsChild>
                    <w:div w:id="1763254600">
                      <w:marLeft w:val="0"/>
                      <w:marRight w:val="0"/>
                      <w:marTop w:val="0"/>
                      <w:marBottom w:val="0"/>
                      <w:divBdr>
                        <w:top w:val="none" w:sz="0" w:space="0" w:color="auto"/>
                        <w:left w:val="none" w:sz="0" w:space="0" w:color="auto"/>
                        <w:bottom w:val="none" w:sz="0" w:space="0" w:color="auto"/>
                        <w:right w:val="none" w:sz="0" w:space="0" w:color="auto"/>
                      </w:divBdr>
                    </w:div>
                  </w:divsChild>
                </w:div>
                <w:div w:id="1274440562">
                  <w:marLeft w:val="0"/>
                  <w:marRight w:val="0"/>
                  <w:marTop w:val="0"/>
                  <w:marBottom w:val="0"/>
                  <w:divBdr>
                    <w:top w:val="none" w:sz="0" w:space="0" w:color="auto"/>
                    <w:left w:val="none" w:sz="0" w:space="0" w:color="auto"/>
                    <w:bottom w:val="none" w:sz="0" w:space="0" w:color="auto"/>
                    <w:right w:val="none" w:sz="0" w:space="0" w:color="auto"/>
                  </w:divBdr>
                  <w:divsChild>
                    <w:div w:id="1832283539">
                      <w:marLeft w:val="0"/>
                      <w:marRight w:val="0"/>
                      <w:marTop w:val="0"/>
                      <w:marBottom w:val="0"/>
                      <w:divBdr>
                        <w:top w:val="none" w:sz="0" w:space="0" w:color="auto"/>
                        <w:left w:val="none" w:sz="0" w:space="0" w:color="auto"/>
                        <w:bottom w:val="none" w:sz="0" w:space="0" w:color="auto"/>
                        <w:right w:val="none" w:sz="0" w:space="0" w:color="auto"/>
                      </w:divBdr>
                    </w:div>
                  </w:divsChild>
                </w:div>
                <w:div w:id="1289165763">
                  <w:marLeft w:val="0"/>
                  <w:marRight w:val="0"/>
                  <w:marTop w:val="0"/>
                  <w:marBottom w:val="0"/>
                  <w:divBdr>
                    <w:top w:val="none" w:sz="0" w:space="0" w:color="auto"/>
                    <w:left w:val="none" w:sz="0" w:space="0" w:color="auto"/>
                    <w:bottom w:val="none" w:sz="0" w:space="0" w:color="auto"/>
                    <w:right w:val="none" w:sz="0" w:space="0" w:color="auto"/>
                  </w:divBdr>
                  <w:divsChild>
                    <w:div w:id="57633778">
                      <w:marLeft w:val="0"/>
                      <w:marRight w:val="0"/>
                      <w:marTop w:val="0"/>
                      <w:marBottom w:val="0"/>
                      <w:divBdr>
                        <w:top w:val="none" w:sz="0" w:space="0" w:color="auto"/>
                        <w:left w:val="none" w:sz="0" w:space="0" w:color="auto"/>
                        <w:bottom w:val="none" w:sz="0" w:space="0" w:color="auto"/>
                        <w:right w:val="none" w:sz="0" w:space="0" w:color="auto"/>
                      </w:divBdr>
                    </w:div>
                  </w:divsChild>
                </w:div>
                <w:div w:id="1303847711">
                  <w:marLeft w:val="0"/>
                  <w:marRight w:val="0"/>
                  <w:marTop w:val="0"/>
                  <w:marBottom w:val="0"/>
                  <w:divBdr>
                    <w:top w:val="none" w:sz="0" w:space="0" w:color="auto"/>
                    <w:left w:val="none" w:sz="0" w:space="0" w:color="auto"/>
                    <w:bottom w:val="none" w:sz="0" w:space="0" w:color="auto"/>
                    <w:right w:val="none" w:sz="0" w:space="0" w:color="auto"/>
                  </w:divBdr>
                  <w:divsChild>
                    <w:div w:id="1060979679">
                      <w:marLeft w:val="0"/>
                      <w:marRight w:val="0"/>
                      <w:marTop w:val="0"/>
                      <w:marBottom w:val="0"/>
                      <w:divBdr>
                        <w:top w:val="none" w:sz="0" w:space="0" w:color="auto"/>
                        <w:left w:val="none" w:sz="0" w:space="0" w:color="auto"/>
                        <w:bottom w:val="none" w:sz="0" w:space="0" w:color="auto"/>
                        <w:right w:val="none" w:sz="0" w:space="0" w:color="auto"/>
                      </w:divBdr>
                    </w:div>
                  </w:divsChild>
                </w:div>
                <w:div w:id="1325551525">
                  <w:marLeft w:val="0"/>
                  <w:marRight w:val="0"/>
                  <w:marTop w:val="0"/>
                  <w:marBottom w:val="0"/>
                  <w:divBdr>
                    <w:top w:val="none" w:sz="0" w:space="0" w:color="auto"/>
                    <w:left w:val="none" w:sz="0" w:space="0" w:color="auto"/>
                    <w:bottom w:val="none" w:sz="0" w:space="0" w:color="auto"/>
                    <w:right w:val="none" w:sz="0" w:space="0" w:color="auto"/>
                  </w:divBdr>
                  <w:divsChild>
                    <w:div w:id="872960421">
                      <w:marLeft w:val="0"/>
                      <w:marRight w:val="0"/>
                      <w:marTop w:val="0"/>
                      <w:marBottom w:val="0"/>
                      <w:divBdr>
                        <w:top w:val="none" w:sz="0" w:space="0" w:color="auto"/>
                        <w:left w:val="none" w:sz="0" w:space="0" w:color="auto"/>
                        <w:bottom w:val="none" w:sz="0" w:space="0" w:color="auto"/>
                        <w:right w:val="none" w:sz="0" w:space="0" w:color="auto"/>
                      </w:divBdr>
                    </w:div>
                  </w:divsChild>
                </w:div>
                <w:div w:id="1337997212">
                  <w:marLeft w:val="0"/>
                  <w:marRight w:val="0"/>
                  <w:marTop w:val="0"/>
                  <w:marBottom w:val="0"/>
                  <w:divBdr>
                    <w:top w:val="none" w:sz="0" w:space="0" w:color="auto"/>
                    <w:left w:val="none" w:sz="0" w:space="0" w:color="auto"/>
                    <w:bottom w:val="none" w:sz="0" w:space="0" w:color="auto"/>
                    <w:right w:val="none" w:sz="0" w:space="0" w:color="auto"/>
                  </w:divBdr>
                  <w:divsChild>
                    <w:div w:id="266281822">
                      <w:marLeft w:val="0"/>
                      <w:marRight w:val="0"/>
                      <w:marTop w:val="0"/>
                      <w:marBottom w:val="0"/>
                      <w:divBdr>
                        <w:top w:val="none" w:sz="0" w:space="0" w:color="auto"/>
                        <w:left w:val="none" w:sz="0" w:space="0" w:color="auto"/>
                        <w:bottom w:val="none" w:sz="0" w:space="0" w:color="auto"/>
                        <w:right w:val="none" w:sz="0" w:space="0" w:color="auto"/>
                      </w:divBdr>
                    </w:div>
                  </w:divsChild>
                </w:div>
                <w:div w:id="1348370307">
                  <w:marLeft w:val="0"/>
                  <w:marRight w:val="0"/>
                  <w:marTop w:val="0"/>
                  <w:marBottom w:val="0"/>
                  <w:divBdr>
                    <w:top w:val="none" w:sz="0" w:space="0" w:color="auto"/>
                    <w:left w:val="none" w:sz="0" w:space="0" w:color="auto"/>
                    <w:bottom w:val="none" w:sz="0" w:space="0" w:color="auto"/>
                    <w:right w:val="none" w:sz="0" w:space="0" w:color="auto"/>
                  </w:divBdr>
                  <w:divsChild>
                    <w:div w:id="1557274902">
                      <w:marLeft w:val="0"/>
                      <w:marRight w:val="0"/>
                      <w:marTop w:val="0"/>
                      <w:marBottom w:val="0"/>
                      <w:divBdr>
                        <w:top w:val="none" w:sz="0" w:space="0" w:color="auto"/>
                        <w:left w:val="none" w:sz="0" w:space="0" w:color="auto"/>
                        <w:bottom w:val="none" w:sz="0" w:space="0" w:color="auto"/>
                        <w:right w:val="none" w:sz="0" w:space="0" w:color="auto"/>
                      </w:divBdr>
                    </w:div>
                  </w:divsChild>
                </w:div>
                <w:div w:id="1358772445">
                  <w:marLeft w:val="0"/>
                  <w:marRight w:val="0"/>
                  <w:marTop w:val="0"/>
                  <w:marBottom w:val="0"/>
                  <w:divBdr>
                    <w:top w:val="none" w:sz="0" w:space="0" w:color="auto"/>
                    <w:left w:val="none" w:sz="0" w:space="0" w:color="auto"/>
                    <w:bottom w:val="none" w:sz="0" w:space="0" w:color="auto"/>
                    <w:right w:val="none" w:sz="0" w:space="0" w:color="auto"/>
                  </w:divBdr>
                  <w:divsChild>
                    <w:div w:id="818498377">
                      <w:marLeft w:val="0"/>
                      <w:marRight w:val="0"/>
                      <w:marTop w:val="0"/>
                      <w:marBottom w:val="0"/>
                      <w:divBdr>
                        <w:top w:val="none" w:sz="0" w:space="0" w:color="auto"/>
                        <w:left w:val="none" w:sz="0" w:space="0" w:color="auto"/>
                        <w:bottom w:val="none" w:sz="0" w:space="0" w:color="auto"/>
                        <w:right w:val="none" w:sz="0" w:space="0" w:color="auto"/>
                      </w:divBdr>
                    </w:div>
                  </w:divsChild>
                </w:div>
                <w:div w:id="1389645594">
                  <w:marLeft w:val="0"/>
                  <w:marRight w:val="0"/>
                  <w:marTop w:val="0"/>
                  <w:marBottom w:val="0"/>
                  <w:divBdr>
                    <w:top w:val="none" w:sz="0" w:space="0" w:color="auto"/>
                    <w:left w:val="none" w:sz="0" w:space="0" w:color="auto"/>
                    <w:bottom w:val="none" w:sz="0" w:space="0" w:color="auto"/>
                    <w:right w:val="none" w:sz="0" w:space="0" w:color="auto"/>
                  </w:divBdr>
                  <w:divsChild>
                    <w:div w:id="681393158">
                      <w:marLeft w:val="0"/>
                      <w:marRight w:val="0"/>
                      <w:marTop w:val="0"/>
                      <w:marBottom w:val="0"/>
                      <w:divBdr>
                        <w:top w:val="none" w:sz="0" w:space="0" w:color="auto"/>
                        <w:left w:val="none" w:sz="0" w:space="0" w:color="auto"/>
                        <w:bottom w:val="none" w:sz="0" w:space="0" w:color="auto"/>
                        <w:right w:val="none" w:sz="0" w:space="0" w:color="auto"/>
                      </w:divBdr>
                    </w:div>
                  </w:divsChild>
                </w:div>
                <w:div w:id="1419594953">
                  <w:marLeft w:val="0"/>
                  <w:marRight w:val="0"/>
                  <w:marTop w:val="0"/>
                  <w:marBottom w:val="0"/>
                  <w:divBdr>
                    <w:top w:val="none" w:sz="0" w:space="0" w:color="auto"/>
                    <w:left w:val="none" w:sz="0" w:space="0" w:color="auto"/>
                    <w:bottom w:val="none" w:sz="0" w:space="0" w:color="auto"/>
                    <w:right w:val="none" w:sz="0" w:space="0" w:color="auto"/>
                  </w:divBdr>
                  <w:divsChild>
                    <w:div w:id="1610432612">
                      <w:marLeft w:val="0"/>
                      <w:marRight w:val="0"/>
                      <w:marTop w:val="0"/>
                      <w:marBottom w:val="0"/>
                      <w:divBdr>
                        <w:top w:val="none" w:sz="0" w:space="0" w:color="auto"/>
                        <w:left w:val="none" w:sz="0" w:space="0" w:color="auto"/>
                        <w:bottom w:val="none" w:sz="0" w:space="0" w:color="auto"/>
                        <w:right w:val="none" w:sz="0" w:space="0" w:color="auto"/>
                      </w:divBdr>
                    </w:div>
                  </w:divsChild>
                </w:div>
                <w:div w:id="1425610526">
                  <w:marLeft w:val="0"/>
                  <w:marRight w:val="0"/>
                  <w:marTop w:val="0"/>
                  <w:marBottom w:val="0"/>
                  <w:divBdr>
                    <w:top w:val="none" w:sz="0" w:space="0" w:color="auto"/>
                    <w:left w:val="none" w:sz="0" w:space="0" w:color="auto"/>
                    <w:bottom w:val="none" w:sz="0" w:space="0" w:color="auto"/>
                    <w:right w:val="none" w:sz="0" w:space="0" w:color="auto"/>
                  </w:divBdr>
                  <w:divsChild>
                    <w:div w:id="2022581319">
                      <w:marLeft w:val="0"/>
                      <w:marRight w:val="0"/>
                      <w:marTop w:val="0"/>
                      <w:marBottom w:val="0"/>
                      <w:divBdr>
                        <w:top w:val="none" w:sz="0" w:space="0" w:color="auto"/>
                        <w:left w:val="none" w:sz="0" w:space="0" w:color="auto"/>
                        <w:bottom w:val="none" w:sz="0" w:space="0" w:color="auto"/>
                        <w:right w:val="none" w:sz="0" w:space="0" w:color="auto"/>
                      </w:divBdr>
                    </w:div>
                  </w:divsChild>
                </w:div>
                <w:div w:id="1510486441">
                  <w:marLeft w:val="0"/>
                  <w:marRight w:val="0"/>
                  <w:marTop w:val="0"/>
                  <w:marBottom w:val="0"/>
                  <w:divBdr>
                    <w:top w:val="none" w:sz="0" w:space="0" w:color="auto"/>
                    <w:left w:val="none" w:sz="0" w:space="0" w:color="auto"/>
                    <w:bottom w:val="none" w:sz="0" w:space="0" w:color="auto"/>
                    <w:right w:val="none" w:sz="0" w:space="0" w:color="auto"/>
                  </w:divBdr>
                  <w:divsChild>
                    <w:div w:id="89355535">
                      <w:marLeft w:val="0"/>
                      <w:marRight w:val="0"/>
                      <w:marTop w:val="0"/>
                      <w:marBottom w:val="0"/>
                      <w:divBdr>
                        <w:top w:val="none" w:sz="0" w:space="0" w:color="auto"/>
                        <w:left w:val="none" w:sz="0" w:space="0" w:color="auto"/>
                        <w:bottom w:val="none" w:sz="0" w:space="0" w:color="auto"/>
                        <w:right w:val="none" w:sz="0" w:space="0" w:color="auto"/>
                      </w:divBdr>
                    </w:div>
                  </w:divsChild>
                </w:div>
                <w:div w:id="1598979766">
                  <w:marLeft w:val="0"/>
                  <w:marRight w:val="0"/>
                  <w:marTop w:val="0"/>
                  <w:marBottom w:val="0"/>
                  <w:divBdr>
                    <w:top w:val="none" w:sz="0" w:space="0" w:color="auto"/>
                    <w:left w:val="none" w:sz="0" w:space="0" w:color="auto"/>
                    <w:bottom w:val="none" w:sz="0" w:space="0" w:color="auto"/>
                    <w:right w:val="none" w:sz="0" w:space="0" w:color="auto"/>
                  </w:divBdr>
                  <w:divsChild>
                    <w:div w:id="1086457058">
                      <w:marLeft w:val="0"/>
                      <w:marRight w:val="0"/>
                      <w:marTop w:val="0"/>
                      <w:marBottom w:val="0"/>
                      <w:divBdr>
                        <w:top w:val="none" w:sz="0" w:space="0" w:color="auto"/>
                        <w:left w:val="none" w:sz="0" w:space="0" w:color="auto"/>
                        <w:bottom w:val="none" w:sz="0" w:space="0" w:color="auto"/>
                        <w:right w:val="none" w:sz="0" w:space="0" w:color="auto"/>
                      </w:divBdr>
                    </w:div>
                  </w:divsChild>
                </w:div>
                <w:div w:id="1661344946">
                  <w:marLeft w:val="0"/>
                  <w:marRight w:val="0"/>
                  <w:marTop w:val="0"/>
                  <w:marBottom w:val="0"/>
                  <w:divBdr>
                    <w:top w:val="none" w:sz="0" w:space="0" w:color="auto"/>
                    <w:left w:val="none" w:sz="0" w:space="0" w:color="auto"/>
                    <w:bottom w:val="none" w:sz="0" w:space="0" w:color="auto"/>
                    <w:right w:val="none" w:sz="0" w:space="0" w:color="auto"/>
                  </w:divBdr>
                  <w:divsChild>
                    <w:div w:id="753205504">
                      <w:marLeft w:val="0"/>
                      <w:marRight w:val="0"/>
                      <w:marTop w:val="0"/>
                      <w:marBottom w:val="0"/>
                      <w:divBdr>
                        <w:top w:val="none" w:sz="0" w:space="0" w:color="auto"/>
                        <w:left w:val="none" w:sz="0" w:space="0" w:color="auto"/>
                        <w:bottom w:val="none" w:sz="0" w:space="0" w:color="auto"/>
                        <w:right w:val="none" w:sz="0" w:space="0" w:color="auto"/>
                      </w:divBdr>
                    </w:div>
                  </w:divsChild>
                </w:div>
                <w:div w:id="1680425730">
                  <w:marLeft w:val="0"/>
                  <w:marRight w:val="0"/>
                  <w:marTop w:val="0"/>
                  <w:marBottom w:val="0"/>
                  <w:divBdr>
                    <w:top w:val="none" w:sz="0" w:space="0" w:color="auto"/>
                    <w:left w:val="none" w:sz="0" w:space="0" w:color="auto"/>
                    <w:bottom w:val="none" w:sz="0" w:space="0" w:color="auto"/>
                    <w:right w:val="none" w:sz="0" w:space="0" w:color="auto"/>
                  </w:divBdr>
                  <w:divsChild>
                    <w:div w:id="1715420240">
                      <w:marLeft w:val="0"/>
                      <w:marRight w:val="0"/>
                      <w:marTop w:val="0"/>
                      <w:marBottom w:val="0"/>
                      <w:divBdr>
                        <w:top w:val="none" w:sz="0" w:space="0" w:color="auto"/>
                        <w:left w:val="none" w:sz="0" w:space="0" w:color="auto"/>
                        <w:bottom w:val="none" w:sz="0" w:space="0" w:color="auto"/>
                        <w:right w:val="none" w:sz="0" w:space="0" w:color="auto"/>
                      </w:divBdr>
                    </w:div>
                  </w:divsChild>
                </w:div>
                <w:div w:id="1735077543">
                  <w:marLeft w:val="0"/>
                  <w:marRight w:val="0"/>
                  <w:marTop w:val="0"/>
                  <w:marBottom w:val="0"/>
                  <w:divBdr>
                    <w:top w:val="none" w:sz="0" w:space="0" w:color="auto"/>
                    <w:left w:val="none" w:sz="0" w:space="0" w:color="auto"/>
                    <w:bottom w:val="none" w:sz="0" w:space="0" w:color="auto"/>
                    <w:right w:val="none" w:sz="0" w:space="0" w:color="auto"/>
                  </w:divBdr>
                  <w:divsChild>
                    <w:div w:id="262809709">
                      <w:marLeft w:val="0"/>
                      <w:marRight w:val="0"/>
                      <w:marTop w:val="0"/>
                      <w:marBottom w:val="0"/>
                      <w:divBdr>
                        <w:top w:val="none" w:sz="0" w:space="0" w:color="auto"/>
                        <w:left w:val="none" w:sz="0" w:space="0" w:color="auto"/>
                        <w:bottom w:val="none" w:sz="0" w:space="0" w:color="auto"/>
                        <w:right w:val="none" w:sz="0" w:space="0" w:color="auto"/>
                      </w:divBdr>
                    </w:div>
                  </w:divsChild>
                </w:div>
                <w:div w:id="1765224583">
                  <w:marLeft w:val="0"/>
                  <w:marRight w:val="0"/>
                  <w:marTop w:val="0"/>
                  <w:marBottom w:val="0"/>
                  <w:divBdr>
                    <w:top w:val="none" w:sz="0" w:space="0" w:color="auto"/>
                    <w:left w:val="none" w:sz="0" w:space="0" w:color="auto"/>
                    <w:bottom w:val="none" w:sz="0" w:space="0" w:color="auto"/>
                    <w:right w:val="none" w:sz="0" w:space="0" w:color="auto"/>
                  </w:divBdr>
                  <w:divsChild>
                    <w:div w:id="613942839">
                      <w:marLeft w:val="0"/>
                      <w:marRight w:val="0"/>
                      <w:marTop w:val="0"/>
                      <w:marBottom w:val="0"/>
                      <w:divBdr>
                        <w:top w:val="none" w:sz="0" w:space="0" w:color="auto"/>
                        <w:left w:val="none" w:sz="0" w:space="0" w:color="auto"/>
                        <w:bottom w:val="none" w:sz="0" w:space="0" w:color="auto"/>
                        <w:right w:val="none" w:sz="0" w:space="0" w:color="auto"/>
                      </w:divBdr>
                    </w:div>
                  </w:divsChild>
                </w:div>
                <w:div w:id="1777477582">
                  <w:marLeft w:val="0"/>
                  <w:marRight w:val="0"/>
                  <w:marTop w:val="0"/>
                  <w:marBottom w:val="0"/>
                  <w:divBdr>
                    <w:top w:val="none" w:sz="0" w:space="0" w:color="auto"/>
                    <w:left w:val="none" w:sz="0" w:space="0" w:color="auto"/>
                    <w:bottom w:val="none" w:sz="0" w:space="0" w:color="auto"/>
                    <w:right w:val="none" w:sz="0" w:space="0" w:color="auto"/>
                  </w:divBdr>
                  <w:divsChild>
                    <w:div w:id="1461337482">
                      <w:marLeft w:val="0"/>
                      <w:marRight w:val="0"/>
                      <w:marTop w:val="0"/>
                      <w:marBottom w:val="0"/>
                      <w:divBdr>
                        <w:top w:val="none" w:sz="0" w:space="0" w:color="auto"/>
                        <w:left w:val="none" w:sz="0" w:space="0" w:color="auto"/>
                        <w:bottom w:val="none" w:sz="0" w:space="0" w:color="auto"/>
                        <w:right w:val="none" w:sz="0" w:space="0" w:color="auto"/>
                      </w:divBdr>
                    </w:div>
                  </w:divsChild>
                </w:div>
                <w:div w:id="1788960690">
                  <w:marLeft w:val="0"/>
                  <w:marRight w:val="0"/>
                  <w:marTop w:val="0"/>
                  <w:marBottom w:val="0"/>
                  <w:divBdr>
                    <w:top w:val="none" w:sz="0" w:space="0" w:color="auto"/>
                    <w:left w:val="none" w:sz="0" w:space="0" w:color="auto"/>
                    <w:bottom w:val="none" w:sz="0" w:space="0" w:color="auto"/>
                    <w:right w:val="none" w:sz="0" w:space="0" w:color="auto"/>
                  </w:divBdr>
                  <w:divsChild>
                    <w:div w:id="956830837">
                      <w:marLeft w:val="0"/>
                      <w:marRight w:val="0"/>
                      <w:marTop w:val="0"/>
                      <w:marBottom w:val="0"/>
                      <w:divBdr>
                        <w:top w:val="none" w:sz="0" w:space="0" w:color="auto"/>
                        <w:left w:val="none" w:sz="0" w:space="0" w:color="auto"/>
                        <w:bottom w:val="none" w:sz="0" w:space="0" w:color="auto"/>
                        <w:right w:val="none" w:sz="0" w:space="0" w:color="auto"/>
                      </w:divBdr>
                    </w:div>
                  </w:divsChild>
                </w:div>
                <w:div w:id="1789542541">
                  <w:marLeft w:val="0"/>
                  <w:marRight w:val="0"/>
                  <w:marTop w:val="0"/>
                  <w:marBottom w:val="0"/>
                  <w:divBdr>
                    <w:top w:val="none" w:sz="0" w:space="0" w:color="auto"/>
                    <w:left w:val="none" w:sz="0" w:space="0" w:color="auto"/>
                    <w:bottom w:val="none" w:sz="0" w:space="0" w:color="auto"/>
                    <w:right w:val="none" w:sz="0" w:space="0" w:color="auto"/>
                  </w:divBdr>
                  <w:divsChild>
                    <w:div w:id="2068529232">
                      <w:marLeft w:val="0"/>
                      <w:marRight w:val="0"/>
                      <w:marTop w:val="0"/>
                      <w:marBottom w:val="0"/>
                      <w:divBdr>
                        <w:top w:val="none" w:sz="0" w:space="0" w:color="auto"/>
                        <w:left w:val="none" w:sz="0" w:space="0" w:color="auto"/>
                        <w:bottom w:val="none" w:sz="0" w:space="0" w:color="auto"/>
                        <w:right w:val="none" w:sz="0" w:space="0" w:color="auto"/>
                      </w:divBdr>
                    </w:div>
                  </w:divsChild>
                </w:div>
                <w:div w:id="1846742604">
                  <w:marLeft w:val="0"/>
                  <w:marRight w:val="0"/>
                  <w:marTop w:val="0"/>
                  <w:marBottom w:val="0"/>
                  <w:divBdr>
                    <w:top w:val="none" w:sz="0" w:space="0" w:color="auto"/>
                    <w:left w:val="none" w:sz="0" w:space="0" w:color="auto"/>
                    <w:bottom w:val="none" w:sz="0" w:space="0" w:color="auto"/>
                    <w:right w:val="none" w:sz="0" w:space="0" w:color="auto"/>
                  </w:divBdr>
                  <w:divsChild>
                    <w:div w:id="1208370847">
                      <w:marLeft w:val="0"/>
                      <w:marRight w:val="0"/>
                      <w:marTop w:val="0"/>
                      <w:marBottom w:val="0"/>
                      <w:divBdr>
                        <w:top w:val="none" w:sz="0" w:space="0" w:color="auto"/>
                        <w:left w:val="none" w:sz="0" w:space="0" w:color="auto"/>
                        <w:bottom w:val="none" w:sz="0" w:space="0" w:color="auto"/>
                        <w:right w:val="none" w:sz="0" w:space="0" w:color="auto"/>
                      </w:divBdr>
                    </w:div>
                  </w:divsChild>
                </w:div>
                <w:div w:id="1866022149">
                  <w:marLeft w:val="0"/>
                  <w:marRight w:val="0"/>
                  <w:marTop w:val="0"/>
                  <w:marBottom w:val="0"/>
                  <w:divBdr>
                    <w:top w:val="none" w:sz="0" w:space="0" w:color="auto"/>
                    <w:left w:val="none" w:sz="0" w:space="0" w:color="auto"/>
                    <w:bottom w:val="none" w:sz="0" w:space="0" w:color="auto"/>
                    <w:right w:val="none" w:sz="0" w:space="0" w:color="auto"/>
                  </w:divBdr>
                  <w:divsChild>
                    <w:div w:id="957684931">
                      <w:marLeft w:val="0"/>
                      <w:marRight w:val="0"/>
                      <w:marTop w:val="0"/>
                      <w:marBottom w:val="0"/>
                      <w:divBdr>
                        <w:top w:val="none" w:sz="0" w:space="0" w:color="auto"/>
                        <w:left w:val="none" w:sz="0" w:space="0" w:color="auto"/>
                        <w:bottom w:val="none" w:sz="0" w:space="0" w:color="auto"/>
                        <w:right w:val="none" w:sz="0" w:space="0" w:color="auto"/>
                      </w:divBdr>
                    </w:div>
                  </w:divsChild>
                </w:div>
                <w:div w:id="1878622189">
                  <w:marLeft w:val="0"/>
                  <w:marRight w:val="0"/>
                  <w:marTop w:val="0"/>
                  <w:marBottom w:val="0"/>
                  <w:divBdr>
                    <w:top w:val="none" w:sz="0" w:space="0" w:color="auto"/>
                    <w:left w:val="none" w:sz="0" w:space="0" w:color="auto"/>
                    <w:bottom w:val="none" w:sz="0" w:space="0" w:color="auto"/>
                    <w:right w:val="none" w:sz="0" w:space="0" w:color="auto"/>
                  </w:divBdr>
                  <w:divsChild>
                    <w:div w:id="1687436528">
                      <w:marLeft w:val="0"/>
                      <w:marRight w:val="0"/>
                      <w:marTop w:val="0"/>
                      <w:marBottom w:val="0"/>
                      <w:divBdr>
                        <w:top w:val="none" w:sz="0" w:space="0" w:color="auto"/>
                        <w:left w:val="none" w:sz="0" w:space="0" w:color="auto"/>
                        <w:bottom w:val="none" w:sz="0" w:space="0" w:color="auto"/>
                        <w:right w:val="none" w:sz="0" w:space="0" w:color="auto"/>
                      </w:divBdr>
                    </w:div>
                  </w:divsChild>
                </w:div>
                <w:div w:id="1904292078">
                  <w:marLeft w:val="0"/>
                  <w:marRight w:val="0"/>
                  <w:marTop w:val="0"/>
                  <w:marBottom w:val="0"/>
                  <w:divBdr>
                    <w:top w:val="none" w:sz="0" w:space="0" w:color="auto"/>
                    <w:left w:val="none" w:sz="0" w:space="0" w:color="auto"/>
                    <w:bottom w:val="none" w:sz="0" w:space="0" w:color="auto"/>
                    <w:right w:val="none" w:sz="0" w:space="0" w:color="auto"/>
                  </w:divBdr>
                  <w:divsChild>
                    <w:div w:id="837577929">
                      <w:marLeft w:val="0"/>
                      <w:marRight w:val="0"/>
                      <w:marTop w:val="0"/>
                      <w:marBottom w:val="0"/>
                      <w:divBdr>
                        <w:top w:val="none" w:sz="0" w:space="0" w:color="auto"/>
                        <w:left w:val="none" w:sz="0" w:space="0" w:color="auto"/>
                        <w:bottom w:val="none" w:sz="0" w:space="0" w:color="auto"/>
                        <w:right w:val="none" w:sz="0" w:space="0" w:color="auto"/>
                      </w:divBdr>
                    </w:div>
                  </w:divsChild>
                </w:div>
                <w:div w:id="1949042918">
                  <w:marLeft w:val="0"/>
                  <w:marRight w:val="0"/>
                  <w:marTop w:val="0"/>
                  <w:marBottom w:val="0"/>
                  <w:divBdr>
                    <w:top w:val="none" w:sz="0" w:space="0" w:color="auto"/>
                    <w:left w:val="none" w:sz="0" w:space="0" w:color="auto"/>
                    <w:bottom w:val="none" w:sz="0" w:space="0" w:color="auto"/>
                    <w:right w:val="none" w:sz="0" w:space="0" w:color="auto"/>
                  </w:divBdr>
                  <w:divsChild>
                    <w:div w:id="2029794070">
                      <w:marLeft w:val="0"/>
                      <w:marRight w:val="0"/>
                      <w:marTop w:val="0"/>
                      <w:marBottom w:val="0"/>
                      <w:divBdr>
                        <w:top w:val="none" w:sz="0" w:space="0" w:color="auto"/>
                        <w:left w:val="none" w:sz="0" w:space="0" w:color="auto"/>
                        <w:bottom w:val="none" w:sz="0" w:space="0" w:color="auto"/>
                        <w:right w:val="none" w:sz="0" w:space="0" w:color="auto"/>
                      </w:divBdr>
                    </w:div>
                  </w:divsChild>
                </w:div>
                <w:div w:id="1994749750">
                  <w:marLeft w:val="0"/>
                  <w:marRight w:val="0"/>
                  <w:marTop w:val="0"/>
                  <w:marBottom w:val="0"/>
                  <w:divBdr>
                    <w:top w:val="none" w:sz="0" w:space="0" w:color="auto"/>
                    <w:left w:val="none" w:sz="0" w:space="0" w:color="auto"/>
                    <w:bottom w:val="none" w:sz="0" w:space="0" w:color="auto"/>
                    <w:right w:val="none" w:sz="0" w:space="0" w:color="auto"/>
                  </w:divBdr>
                  <w:divsChild>
                    <w:div w:id="1086877587">
                      <w:marLeft w:val="0"/>
                      <w:marRight w:val="0"/>
                      <w:marTop w:val="0"/>
                      <w:marBottom w:val="0"/>
                      <w:divBdr>
                        <w:top w:val="none" w:sz="0" w:space="0" w:color="auto"/>
                        <w:left w:val="none" w:sz="0" w:space="0" w:color="auto"/>
                        <w:bottom w:val="none" w:sz="0" w:space="0" w:color="auto"/>
                        <w:right w:val="none" w:sz="0" w:space="0" w:color="auto"/>
                      </w:divBdr>
                    </w:div>
                  </w:divsChild>
                </w:div>
                <w:div w:id="2072000129">
                  <w:marLeft w:val="0"/>
                  <w:marRight w:val="0"/>
                  <w:marTop w:val="0"/>
                  <w:marBottom w:val="0"/>
                  <w:divBdr>
                    <w:top w:val="none" w:sz="0" w:space="0" w:color="auto"/>
                    <w:left w:val="none" w:sz="0" w:space="0" w:color="auto"/>
                    <w:bottom w:val="none" w:sz="0" w:space="0" w:color="auto"/>
                    <w:right w:val="none" w:sz="0" w:space="0" w:color="auto"/>
                  </w:divBdr>
                  <w:divsChild>
                    <w:div w:id="1446391764">
                      <w:marLeft w:val="0"/>
                      <w:marRight w:val="0"/>
                      <w:marTop w:val="0"/>
                      <w:marBottom w:val="0"/>
                      <w:divBdr>
                        <w:top w:val="none" w:sz="0" w:space="0" w:color="auto"/>
                        <w:left w:val="none" w:sz="0" w:space="0" w:color="auto"/>
                        <w:bottom w:val="none" w:sz="0" w:space="0" w:color="auto"/>
                        <w:right w:val="none" w:sz="0" w:space="0" w:color="auto"/>
                      </w:divBdr>
                    </w:div>
                  </w:divsChild>
                </w:div>
                <w:div w:id="2101757740">
                  <w:marLeft w:val="0"/>
                  <w:marRight w:val="0"/>
                  <w:marTop w:val="0"/>
                  <w:marBottom w:val="0"/>
                  <w:divBdr>
                    <w:top w:val="none" w:sz="0" w:space="0" w:color="auto"/>
                    <w:left w:val="none" w:sz="0" w:space="0" w:color="auto"/>
                    <w:bottom w:val="none" w:sz="0" w:space="0" w:color="auto"/>
                    <w:right w:val="none" w:sz="0" w:space="0" w:color="auto"/>
                  </w:divBdr>
                  <w:divsChild>
                    <w:div w:id="1989280775">
                      <w:marLeft w:val="0"/>
                      <w:marRight w:val="0"/>
                      <w:marTop w:val="0"/>
                      <w:marBottom w:val="0"/>
                      <w:divBdr>
                        <w:top w:val="none" w:sz="0" w:space="0" w:color="auto"/>
                        <w:left w:val="none" w:sz="0" w:space="0" w:color="auto"/>
                        <w:bottom w:val="none" w:sz="0" w:space="0" w:color="auto"/>
                        <w:right w:val="none" w:sz="0" w:space="0" w:color="auto"/>
                      </w:divBdr>
                    </w:div>
                  </w:divsChild>
                </w:div>
                <w:div w:id="2112510246">
                  <w:marLeft w:val="0"/>
                  <w:marRight w:val="0"/>
                  <w:marTop w:val="0"/>
                  <w:marBottom w:val="0"/>
                  <w:divBdr>
                    <w:top w:val="none" w:sz="0" w:space="0" w:color="auto"/>
                    <w:left w:val="none" w:sz="0" w:space="0" w:color="auto"/>
                    <w:bottom w:val="none" w:sz="0" w:space="0" w:color="auto"/>
                    <w:right w:val="none" w:sz="0" w:space="0" w:color="auto"/>
                  </w:divBdr>
                  <w:divsChild>
                    <w:div w:id="1752896103">
                      <w:marLeft w:val="0"/>
                      <w:marRight w:val="0"/>
                      <w:marTop w:val="0"/>
                      <w:marBottom w:val="0"/>
                      <w:divBdr>
                        <w:top w:val="none" w:sz="0" w:space="0" w:color="auto"/>
                        <w:left w:val="none" w:sz="0" w:space="0" w:color="auto"/>
                        <w:bottom w:val="none" w:sz="0" w:space="0" w:color="auto"/>
                        <w:right w:val="none" w:sz="0" w:space="0" w:color="auto"/>
                      </w:divBdr>
                    </w:div>
                  </w:divsChild>
                </w:div>
                <w:div w:id="2115127464">
                  <w:marLeft w:val="0"/>
                  <w:marRight w:val="0"/>
                  <w:marTop w:val="0"/>
                  <w:marBottom w:val="0"/>
                  <w:divBdr>
                    <w:top w:val="none" w:sz="0" w:space="0" w:color="auto"/>
                    <w:left w:val="none" w:sz="0" w:space="0" w:color="auto"/>
                    <w:bottom w:val="none" w:sz="0" w:space="0" w:color="auto"/>
                    <w:right w:val="none" w:sz="0" w:space="0" w:color="auto"/>
                  </w:divBdr>
                  <w:divsChild>
                    <w:div w:id="713190277">
                      <w:marLeft w:val="0"/>
                      <w:marRight w:val="0"/>
                      <w:marTop w:val="0"/>
                      <w:marBottom w:val="0"/>
                      <w:divBdr>
                        <w:top w:val="none" w:sz="0" w:space="0" w:color="auto"/>
                        <w:left w:val="none" w:sz="0" w:space="0" w:color="auto"/>
                        <w:bottom w:val="none" w:sz="0" w:space="0" w:color="auto"/>
                        <w:right w:val="none" w:sz="0" w:space="0" w:color="auto"/>
                      </w:divBdr>
                    </w:div>
                  </w:divsChild>
                </w:div>
                <w:div w:id="2123378252">
                  <w:marLeft w:val="0"/>
                  <w:marRight w:val="0"/>
                  <w:marTop w:val="0"/>
                  <w:marBottom w:val="0"/>
                  <w:divBdr>
                    <w:top w:val="none" w:sz="0" w:space="0" w:color="auto"/>
                    <w:left w:val="none" w:sz="0" w:space="0" w:color="auto"/>
                    <w:bottom w:val="none" w:sz="0" w:space="0" w:color="auto"/>
                    <w:right w:val="none" w:sz="0" w:space="0" w:color="auto"/>
                  </w:divBdr>
                  <w:divsChild>
                    <w:div w:id="492962429">
                      <w:marLeft w:val="0"/>
                      <w:marRight w:val="0"/>
                      <w:marTop w:val="0"/>
                      <w:marBottom w:val="0"/>
                      <w:divBdr>
                        <w:top w:val="none" w:sz="0" w:space="0" w:color="auto"/>
                        <w:left w:val="none" w:sz="0" w:space="0" w:color="auto"/>
                        <w:bottom w:val="none" w:sz="0" w:space="0" w:color="auto"/>
                        <w:right w:val="none" w:sz="0" w:space="0" w:color="auto"/>
                      </w:divBdr>
                    </w:div>
                  </w:divsChild>
                </w:div>
                <w:div w:id="2129011663">
                  <w:marLeft w:val="0"/>
                  <w:marRight w:val="0"/>
                  <w:marTop w:val="0"/>
                  <w:marBottom w:val="0"/>
                  <w:divBdr>
                    <w:top w:val="none" w:sz="0" w:space="0" w:color="auto"/>
                    <w:left w:val="none" w:sz="0" w:space="0" w:color="auto"/>
                    <w:bottom w:val="none" w:sz="0" w:space="0" w:color="auto"/>
                    <w:right w:val="none" w:sz="0" w:space="0" w:color="auto"/>
                  </w:divBdr>
                  <w:divsChild>
                    <w:div w:id="2754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1195">
          <w:marLeft w:val="0"/>
          <w:marRight w:val="0"/>
          <w:marTop w:val="0"/>
          <w:marBottom w:val="0"/>
          <w:divBdr>
            <w:top w:val="none" w:sz="0" w:space="0" w:color="auto"/>
            <w:left w:val="none" w:sz="0" w:space="0" w:color="auto"/>
            <w:bottom w:val="none" w:sz="0" w:space="0" w:color="auto"/>
            <w:right w:val="none" w:sz="0" w:space="0" w:color="auto"/>
          </w:divBdr>
        </w:div>
      </w:divsChild>
    </w:div>
    <w:div w:id="1440418115">
      <w:bodyDiv w:val="1"/>
      <w:marLeft w:val="0"/>
      <w:marRight w:val="0"/>
      <w:marTop w:val="0"/>
      <w:marBottom w:val="0"/>
      <w:divBdr>
        <w:top w:val="none" w:sz="0" w:space="0" w:color="auto"/>
        <w:left w:val="none" w:sz="0" w:space="0" w:color="auto"/>
        <w:bottom w:val="none" w:sz="0" w:space="0" w:color="auto"/>
        <w:right w:val="none" w:sz="0" w:space="0" w:color="auto"/>
      </w:divBdr>
    </w:div>
    <w:div w:id="1448549316">
      <w:bodyDiv w:val="1"/>
      <w:marLeft w:val="0"/>
      <w:marRight w:val="0"/>
      <w:marTop w:val="0"/>
      <w:marBottom w:val="0"/>
      <w:divBdr>
        <w:top w:val="none" w:sz="0" w:space="0" w:color="auto"/>
        <w:left w:val="none" w:sz="0" w:space="0" w:color="auto"/>
        <w:bottom w:val="none" w:sz="0" w:space="0" w:color="auto"/>
        <w:right w:val="none" w:sz="0" w:space="0" w:color="auto"/>
      </w:divBdr>
    </w:div>
    <w:div w:id="154135616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40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rvicesaustralia.gov.au/hpo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rvicesaustralia.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43F76-FEBE-49AD-8488-F7675763BB51}">
  <ds:schemaRefs>
    <ds:schemaRef ds:uri="http://schemas.openxmlformats.org/officeDocument/2006/bibliography"/>
  </ds:schemaRefs>
</ds:datastoreItem>
</file>

<file path=customXml/itemProps2.xml><?xml version="1.0" encoding="utf-8"?>
<ds:datastoreItem xmlns:ds="http://schemas.openxmlformats.org/officeDocument/2006/customXml" ds:itemID="{78656EC5-1184-4225-AC9C-5432019918F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09963AC4-8BAF-44BA-9CF0-C12BCB8AB0EA}">
  <ds:schemaRefs>
    <ds:schemaRef ds:uri="http://schemas.microsoft.com/sharepoint/v3/contenttype/forms"/>
  </ds:schemaRefs>
</ds:datastoreItem>
</file>

<file path=customXml/itemProps4.xml><?xml version="1.0" encoding="utf-8"?>
<ds:datastoreItem xmlns:ds="http://schemas.openxmlformats.org/officeDocument/2006/customXml" ds:itemID="{44BCC4A8-8691-4D68-ACC9-7711A2F00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12159</Words>
  <Characters>69312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81309</CharactersWithSpaces>
  <SharedDoc>false</SharedDoc>
  <HLinks>
    <vt:vector size="12" baseType="variant">
      <vt:variant>
        <vt:i4>1507399</vt:i4>
      </vt:variant>
      <vt:variant>
        <vt:i4>150</vt:i4>
      </vt:variant>
      <vt:variant>
        <vt:i4>0</vt:i4>
      </vt:variant>
      <vt:variant>
        <vt:i4>5</vt:i4>
      </vt:variant>
      <vt:variant>
        <vt:lpwstr>http://www.servicesaustralia.gov.au/hpos</vt:lpwstr>
      </vt:variant>
      <vt:variant>
        <vt:lpwstr/>
      </vt:variant>
      <vt:variant>
        <vt:i4>1310784</vt:i4>
      </vt:variant>
      <vt:variant>
        <vt:i4>147</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2025-08-26T08:44:00Z</dcterms:created>
  <dcterms:modified xsi:type="dcterms:W3CDTF">2025-09-01T11:24:00Z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5d112b0b,16677875,68255c29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228745a8,76bb1d3f,51130a9a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2025-08-26T08:44:32Z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a294d3d0-fc34-4abd-b90a-032b53c6b9a9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