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0257E26E" w:rsidR="00B60939" w:rsidRPr="0098660A" w:rsidRDefault="00766512" w:rsidP="003A5B6D">
      <w:pPr>
        <w:pStyle w:val="1-MainHeading"/>
        <w:ind w:right="-187"/>
      </w:pPr>
      <w:bookmarkStart w:id="0" w:name="_Toc193368009"/>
      <w:r w:rsidRPr="0098660A">
        <w:t>6</w:t>
      </w:r>
      <w:r w:rsidR="00433044" w:rsidRPr="0098660A">
        <w:t>.</w:t>
      </w:r>
      <w:r w:rsidRPr="0098660A">
        <w:t>05</w:t>
      </w:r>
      <w:r w:rsidR="00163F66" w:rsidRPr="0098660A">
        <w:tab/>
      </w:r>
      <w:r w:rsidR="003A5B6D" w:rsidRPr="0098660A">
        <w:t>PEGCETACOPLAN</w:t>
      </w:r>
      <w:r w:rsidR="00163F66" w:rsidRPr="0098660A">
        <w:t>,</w:t>
      </w:r>
      <w:r w:rsidR="00163F66" w:rsidRPr="0098660A">
        <w:br/>
      </w:r>
      <w:r w:rsidR="003A5B6D" w:rsidRPr="0098660A">
        <w:t>Solution for subcutaneous infusion 1,080 mg in 20</w:t>
      </w:r>
      <w:r w:rsidR="00CA572A" w:rsidRPr="0098660A">
        <w:t> </w:t>
      </w:r>
      <w:r w:rsidR="003A5B6D" w:rsidRPr="0098660A">
        <w:t>mL,</w:t>
      </w:r>
      <w:r w:rsidR="00163F66" w:rsidRPr="0098660A">
        <w:br/>
      </w:r>
      <w:proofErr w:type="spellStart"/>
      <w:r w:rsidR="003A5B6D" w:rsidRPr="0098660A">
        <w:t>Empaveli</w:t>
      </w:r>
      <w:proofErr w:type="spellEnd"/>
      <w:r w:rsidR="00B60939" w:rsidRPr="0098660A">
        <w:rPr>
          <w:vertAlign w:val="superscript"/>
        </w:rPr>
        <w:t>®</w:t>
      </w:r>
      <w:r w:rsidR="004A6040" w:rsidRPr="0098660A">
        <w:t>,</w:t>
      </w:r>
      <w:r w:rsidR="004A6040" w:rsidRPr="0098660A">
        <w:br/>
      </w:r>
      <w:r w:rsidR="003A5B6D" w:rsidRPr="0098660A">
        <w:t>SWEDISH ORPHAN BIOVITRUM PTY LTD</w:t>
      </w:r>
      <w:r w:rsidR="00B60939" w:rsidRPr="0098660A">
        <w:t>.</w:t>
      </w:r>
      <w:bookmarkEnd w:id="0"/>
    </w:p>
    <w:p w14:paraId="11C00795" w14:textId="3DFB6D23" w:rsidR="00B50DB8" w:rsidRPr="0098660A" w:rsidRDefault="00B50DB8" w:rsidP="004A6040">
      <w:pPr>
        <w:pStyle w:val="2-SectionHeading"/>
      </w:pPr>
      <w:bookmarkStart w:id="1" w:name="_Toc193368011"/>
      <w:r w:rsidRPr="0098660A">
        <w:t xml:space="preserve">Purpose of </w:t>
      </w:r>
      <w:r w:rsidR="00CD7193" w:rsidRPr="0098660A">
        <w:t>s</w:t>
      </w:r>
      <w:r w:rsidR="00BB3A45" w:rsidRPr="0098660A">
        <w:t>ubmission</w:t>
      </w:r>
      <w:bookmarkEnd w:id="1"/>
    </w:p>
    <w:p w14:paraId="19414AA1" w14:textId="7B9E649D" w:rsidR="002C2775" w:rsidRPr="0098660A" w:rsidRDefault="007170DA" w:rsidP="004E18E9">
      <w:pPr>
        <w:pStyle w:val="3-BodyText"/>
      </w:pPr>
      <w:r w:rsidRPr="0098660A">
        <w:t xml:space="preserve">The </w:t>
      </w:r>
      <w:r w:rsidR="00F73E08" w:rsidRPr="0098660A">
        <w:t xml:space="preserve">Category </w:t>
      </w:r>
      <w:r w:rsidR="00275032" w:rsidRPr="0098660A">
        <w:t xml:space="preserve">2 </w:t>
      </w:r>
      <w:r w:rsidRPr="0098660A">
        <w:t xml:space="preserve">submission requested </w:t>
      </w:r>
      <w:r w:rsidR="00AA227E" w:rsidRPr="0098660A">
        <w:t xml:space="preserve">an amendment to the existing Section 100 (Highly Specialised Drugs Program) Authority Required (Written) listing for the treatment of paroxysmal nocturnal haemoglobinuria (PNH) to allow initial treatment with pegcetacoplan in patients who are either treatment-naïve to complement 5 inhibitors (C5is) or currently treated with a C5i. </w:t>
      </w:r>
    </w:p>
    <w:p w14:paraId="4E9FBCB5" w14:textId="6BB6EC54" w:rsidR="00C2778B" w:rsidRPr="0098660A" w:rsidRDefault="005750C5" w:rsidP="004E18E9">
      <w:pPr>
        <w:pStyle w:val="3-BodyText"/>
      </w:pPr>
      <w:r w:rsidRPr="0098660A">
        <w:t>Listing was requested on the basis of a cost-minimisation</w:t>
      </w:r>
      <w:r w:rsidR="001D71F4" w:rsidRPr="0098660A">
        <w:t xml:space="preserve"> </w:t>
      </w:r>
      <w:r w:rsidR="006950B2" w:rsidRPr="0098660A">
        <w:t xml:space="preserve">approach </w:t>
      </w:r>
      <w:r w:rsidR="00275032" w:rsidRPr="0098660A">
        <w:t>(CMA) versus ravulizumab as initial treatment in patients diagnosed with PNH who are C</w:t>
      </w:r>
      <w:r w:rsidR="00594A93" w:rsidRPr="0098660A">
        <w:t>5</w:t>
      </w:r>
      <w:r w:rsidR="00275032" w:rsidRPr="0098660A">
        <w:t>i-naïve.</w:t>
      </w:r>
      <w:r w:rsidR="003A72D2" w:rsidRPr="003A72D2">
        <w:rPr>
          <w:color w:val="0066FF"/>
        </w:rPr>
        <w:t xml:space="preserve"> </w:t>
      </w:r>
    </w:p>
    <w:p w14:paraId="3718DE61" w14:textId="0B02248C" w:rsidR="008B1757" w:rsidRPr="0098660A" w:rsidRDefault="00696EF9" w:rsidP="00B245A7">
      <w:pPr>
        <w:pStyle w:val="TableFigureHeading"/>
        <w:spacing w:before="120"/>
        <w:rPr>
          <w:rStyle w:val="CommentReference"/>
          <w:b/>
          <w:szCs w:val="24"/>
        </w:rPr>
      </w:pPr>
      <w:r w:rsidRPr="0098660A">
        <w:t xml:space="preserve">Table </w:t>
      </w:r>
      <w:r w:rsidR="00ED489E" w:rsidRPr="0098660A">
        <w:fldChar w:fldCharType="begin"/>
      </w:r>
      <w:r w:rsidR="00ED489E" w:rsidRPr="0098660A">
        <w:instrText xml:space="preserve"> SEQ Table \* ARABIC </w:instrText>
      </w:r>
      <w:r w:rsidR="00ED489E" w:rsidRPr="0098660A">
        <w:fldChar w:fldCharType="separate"/>
      </w:r>
      <w:r w:rsidR="00134128">
        <w:rPr>
          <w:noProof/>
        </w:rPr>
        <w:t>1</w:t>
      </w:r>
      <w:r w:rsidR="00ED489E" w:rsidRPr="0098660A">
        <w:fldChar w:fldCharType="end"/>
      </w:r>
      <w:r w:rsidRPr="0098660A">
        <w:t>:</w:t>
      </w:r>
      <w:r w:rsidR="00BC591F" w:rsidRPr="0098660A">
        <w:rPr>
          <w:rStyle w:val="CommentReference"/>
          <w:b/>
          <w:szCs w:val="24"/>
        </w:rPr>
        <w:t xml:space="preserve"> </w:t>
      </w:r>
      <w:r w:rsidR="008B1757" w:rsidRPr="0098660A">
        <w:rPr>
          <w:rStyle w:val="CommentReference"/>
          <w:b/>
          <w:szCs w:val="24"/>
        </w:rPr>
        <w:t>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B245A7" w:rsidRPr="0098660A" w14:paraId="737CCFC5" w14:textId="77777777">
        <w:tc>
          <w:tcPr>
            <w:tcW w:w="1668" w:type="dxa"/>
            <w:vAlign w:val="center"/>
          </w:tcPr>
          <w:p w14:paraId="187371C4" w14:textId="77777777" w:rsidR="00B245A7" w:rsidRPr="0098660A" w:rsidRDefault="00B245A7" w:rsidP="007F3B96">
            <w:pPr>
              <w:pStyle w:val="In-tableHeading"/>
              <w:rPr>
                <w:lang w:val="en-AU"/>
              </w:rPr>
            </w:pPr>
            <w:r w:rsidRPr="0098660A">
              <w:rPr>
                <w:lang w:val="en-AU"/>
              </w:rPr>
              <w:t>Component</w:t>
            </w:r>
          </w:p>
        </w:tc>
        <w:tc>
          <w:tcPr>
            <w:tcW w:w="7488" w:type="dxa"/>
            <w:vAlign w:val="center"/>
          </w:tcPr>
          <w:p w14:paraId="1FE01B1C" w14:textId="77777777" w:rsidR="00B245A7" w:rsidRPr="0098660A" w:rsidRDefault="00B245A7" w:rsidP="007F3B96">
            <w:pPr>
              <w:pStyle w:val="In-tableHeading"/>
              <w:rPr>
                <w:lang w:val="en-AU"/>
              </w:rPr>
            </w:pPr>
            <w:r w:rsidRPr="0098660A">
              <w:rPr>
                <w:lang w:val="en-AU"/>
              </w:rPr>
              <w:t>Description</w:t>
            </w:r>
          </w:p>
        </w:tc>
      </w:tr>
      <w:tr w:rsidR="00B245A7" w:rsidRPr="0098660A" w14:paraId="5B79DC3E" w14:textId="77777777">
        <w:tc>
          <w:tcPr>
            <w:tcW w:w="1668" w:type="dxa"/>
            <w:vAlign w:val="center"/>
          </w:tcPr>
          <w:p w14:paraId="163BA72A" w14:textId="77777777" w:rsidR="00B245A7" w:rsidRPr="0098660A" w:rsidRDefault="00B245A7" w:rsidP="00DE6F46">
            <w:pPr>
              <w:pStyle w:val="TableText0"/>
            </w:pPr>
            <w:r w:rsidRPr="0098660A">
              <w:t>Population</w:t>
            </w:r>
          </w:p>
        </w:tc>
        <w:tc>
          <w:tcPr>
            <w:tcW w:w="7488" w:type="dxa"/>
            <w:vAlign w:val="center"/>
          </w:tcPr>
          <w:p w14:paraId="0988ADA2" w14:textId="7593A5CC" w:rsidR="00B245A7" w:rsidRPr="0098660A" w:rsidRDefault="00B245A7" w:rsidP="00DE6F46">
            <w:pPr>
              <w:pStyle w:val="TableText0"/>
            </w:pPr>
            <w:r w:rsidRPr="0098660A">
              <w:t>Adult (≥18 years old) patients with paroxysmal nocturnal haemoglobinuria</w:t>
            </w:r>
            <w:r w:rsidR="002C08E6" w:rsidRPr="0098660A">
              <w:t xml:space="preserve"> (PNH)</w:t>
            </w:r>
          </w:p>
        </w:tc>
      </w:tr>
      <w:tr w:rsidR="00B245A7" w:rsidRPr="0098660A" w14:paraId="735D445E" w14:textId="77777777">
        <w:tc>
          <w:tcPr>
            <w:tcW w:w="1668" w:type="dxa"/>
            <w:vAlign w:val="center"/>
          </w:tcPr>
          <w:p w14:paraId="6D031FCC" w14:textId="77777777" w:rsidR="00B245A7" w:rsidRPr="0098660A" w:rsidRDefault="00B245A7" w:rsidP="00DE6F46">
            <w:pPr>
              <w:pStyle w:val="TableText0"/>
            </w:pPr>
            <w:r w:rsidRPr="0098660A">
              <w:t>Intervention</w:t>
            </w:r>
          </w:p>
        </w:tc>
        <w:tc>
          <w:tcPr>
            <w:tcW w:w="7488" w:type="dxa"/>
            <w:vAlign w:val="center"/>
          </w:tcPr>
          <w:p w14:paraId="2BE7B6D1" w14:textId="0F2845D7" w:rsidR="00B245A7" w:rsidRPr="0098660A" w:rsidRDefault="00B245A7" w:rsidP="00DE6F46">
            <w:pPr>
              <w:pStyle w:val="TableText0"/>
            </w:pPr>
            <w:proofErr w:type="spellStart"/>
            <w:r w:rsidRPr="0098660A">
              <w:t>Pegcetacoplan</w:t>
            </w:r>
            <w:proofErr w:type="spellEnd"/>
            <w:r w:rsidRPr="0098660A">
              <w:t xml:space="preserve"> (</w:t>
            </w:r>
            <w:proofErr w:type="spellStart"/>
            <w:r w:rsidRPr="0098660A">
              <w:t>Empaveli</w:t>
            </w:r>
            <w:proofErr w:type="spellEnd"/>
            <w:r w:rsidRPr="0098660A">
              <w:t>) 1,080 mg/20 mL twice weekly subcutaneous dose</w:t>
            </w:r>
            <w:r w:rsidR="00E56F28" w:rsidRPr="0098660A">
              <w:t>*</w:t>
            </w:r>
            <w:r w:rsidRPr="0098660A">
              <w:t xml:space="preserve"> delivered by a commercially available infusion pump</w:t>
            </w:r>
          </w:p>
        </w:tc>
      </w:tr>
      <w:tr w:rsidR="00B245A7" w:rsidRPr="0098660A" w14:paraId="07BBFD93" w14:textId="77777777">
        <w:tc>
          <w:tcPr>
            <w:tcW w:w="1668" w:type="dxa"/>
            <w:vAlign w:val="center"/>
          </w:tcPr>
          <w:p w14:paraId="5C14BF2F" w14:textId="77777777" w:rsidR="00B245A7" w:rsidRPr="0098660A" w:rsidRDefault="00B245A7" w:rsidP="00DE6F46">
            <w:pPr>
              <w:pStyle w:val="TableText0"/>
            </w:pPr>
            <w:r w:rsidRPr="0098660A">
              <w:t>Comparator</w:t>
            </w:r>
          </w:p>
        </w:tc>
        <w:tc>
          <w:tcPr>
            <w:tcW w:w="7488" w:type="dxa"/>
            <w:vAlign w:val="center"/>
          </w:tcPr>
          <w:p w14:paraId="22F763CA" w14:textId="630E9773" w:rsidR="00B245A7" w:rsidRPr="0098660A" w:rsidRDefault="00B245A7" w:rsidP="00DE6F46">
            <w:pPr>
              <w:pStyle w:val="TableText0"/>
              <w:rPr>
                <w:vertAlign w:val="superscript"/>
              </w:rPr>
            </w:pPr>
            <w:r w:rsidRPr="0098660A">
              <w:t>Complement C5 inhibitor therapies, including eculizumab (Soliris</w:t>
            </w:r>
            <w:r w:rsidRPr="0098660A">
              <w:rPr>
                <w:vertAlign w:val="superscript"/>
              </w:rPr>
              <w:t>®</w:t>
            </w:r>
            <w:r w:rsidRPr="0098660A">
              <w:t xml:space="preserve">) and </w:t>
            </w:r>
            <w:proofErr w:type="spellStart"/>
            <w:r w:rsidRPr="0098660A">
              <w:t>ravulizumab</w:t>
            </w:r>
            <w:proofErr w:type="spellEnd"/>
            <w:r w:rsidRPr="0098660A">
              <w:t xml:space="preserve"> (</w:t>
            </w:r>
            <w:proofErr w:type="spellStart"/>
            <w:r w:rsidRPr="0098660A">
              <w:t>Ultomiris</w:t>
            </w:r>
            <w:proofErr w:type="spellEnd"/>
            <w:r w:rsidRPr="0098660A">
              <w:rPr>
                <w:vertAlign w:val="superscript"/>
              </w:rPr>
              <w:t>®</w:t>
            </w:r>
            <w:r w:rsidRPr="0098660A">
              <w:t>)</w:t>
            </w:r>
            <w:r w:rsidR="0002091D" w:rsidRPr="0098660A">
              <w:rPr>
                <w:vertAlign w:val="superscript"/>
              </w:rPr>
              <w:t>a</w:t>
            </w:r>
          </w:p>
        </w:tc>
      </w:tr>
      <w:tr w:rsidR="00B245A7" w:rsidRPr="0098660A" w14:paraId="2E1E2001" w14:textId="77777777">
        <w:tc>
          <w:tcPr>
            <w:tcW w:w="1668" w:type="dxa"/>
            <w:vAlign w:val="center"/>
          </w:tcPr>
          <w:p w14:paraId="51FBA4ED" w14:textId="77777777" w:rsidR="00B245A7" w:rsidRPr="0098660A" w:rsidRDefault="00B245A7" w:rsidP="00DE6F46">
            <w:pPr>
              <w:pStyle w:val="TableText0"/>
            </w:pPr>
            <w:r w:rsidRPr="0098660A">
              <w:t>Outcomes</w:t>
            </w:r>
          </w:p>
        </w:tc>
        <w:tc>
          <w:tcPr>
            <w:tcW w:w="7488" w:type="dxa"/>
            <w:vAlign w:val="center"/>
          </w:tcPr>
          <w:p w14:paraId="3DF2FE9A" w14:textId="77777777" w:rsidR="00B245A7" w:rsidRPr="0098660A" w:rsidRDefault="00B245A7" w:rsidP="00DE6F46">
            <w:pPr>
              <w:pStyle w:val="TableText0"/>
            </w:pPr>
            <w:r w:rsidRPr="0098660A">
              <w:t>Change in baseline haemoglobin level, rate of haemoglobin stabilisation, lactate dehydrogenase level, transfusion avoidance, transfusion requirements, rate of breakthrough haemolysis, quality of life and MAVEs</w:t>
            </w:r>
          </w:p>
        </w:tc>
      </w:tr>
      <w:tr w:rsidR="00B245A7" w:rsidRPr="0098660A" w14:paraId="09319100" w14:textId="77777777">
        <w:tc>
          <w:tcPr>
            <w:tcW w:w="1668" w:type="dxa"/>
            <w:vAlign w:val="center"/>
          </w:tcPr>
          <w:p w14:paraId="54BE99D5" w14:textId="77777777" w:rsidR="00B245A7" w:rsidRPr="0098660A" w:rsidRDefault="00B245A7" w:rsidP="00DE6F46">
            <w:pPr>
              <w:pStyle w:val="TableText0"/>
            </w:pPr>
            <w:r w:rsidRPr="0098660A">
              <w:t>Clinical claim</w:t>
            </w:r>
          </w:p>
        </w:tc>
        <w:tc>
          <w:tcPr>
            <w:tcW w:w="7488" w:type="dxa"/>
            <w:vAlign w:val="center"/>
          </w:tcPr>
          <w:p w14:paraId="2F20678E" w14:textId="721074BB" w:rsidR="00B245A7" w:rsidRPr="0098660A" w:rsidRDefault="00B245A7" w:rsidP="00DE6F46">
            <w:pPr>
              <w:pStyle w:val="TableText0"/>
              <w:rPr>
                <w:vertAlign w:val="superscript"/>
              </w:rPr>
            </w:pPr>
            <w:r w:rsidRPr="0098660A">
              <w:t>In adults with PNH, pegcetacoplan significantly improves haemoglobin level and is at least non-inferior to complement C5 inhibitor in terms of efficacy and safety</w:t>
            </w:r>
          </w:p>
        </w:tc>
      </w:tr>
    </w:tbl>
    <w:p w14:paraId="4D945B61" w14:textId="77777777" w:rsidR="00B245A7" w:rsidRPr="0098660A" w:rsidRDefault="00B245A7" w:rsidP="00C868A4">
      <w:pPr>
        <w:pStyle w:val="FooterTableFigure"/>
        <w:keepNext/>
        <w:keepLines/>
      </w:pPr>
      <w:r w:rsidRPr="0098660A">
        <w:t>Source: Table 1-1; p12 of the submission</w:t>
      </w:r>
    </w:p>
    <w:p w14:paraId="4F8282C9" w14:textId="77777777" w:rsidR="00B245A7" w:rsidRPr="0098660A" w:rsidRDefault="00B245A7" w:rsidP="00C868A4">
      <w:pPr>
        <w:pStyle w:val="FooterTableFigure"/>
        <w:keepNext/>
        <w:keepLines/>
        <w:spacing w:after="240"/>
      </w:pPr>
      <w:r w:rsidRPr="0098660A">
        <w:t>MAVE = major adverse vascular event</w:t>
      </w:r>
    </w:p>
    <w:p w14:paraId="768AF981" w14:textId="39761EDB" w:rsidR="0002091D" w:rsidRPr="0098660A" w:rsidRDefault="0002091D" w:rsidP="00C868A4">
      <w:pPr>
        <w:pStyle w:val="FooterTableFigure"/>
        <w:keepNext/>
        <w:keepLines/>
        <w:spacing w:after="240"/>
      </w:pPr>
      <w:proofErr w:type="spellStart"/>
      <w:r w:rsidRPr="0098660A">
        <w:rPr>
          <w:vertAlign w:val="superscript"/>
        </w:rPr>
        <w:t>a</w:t>
      </w:r>
      <w:proofErr w:type="spellEnd"/>
      <w:r w:rsidRPr="0098660A">
        <w:rPr>
          <w:vertAlign w:val="superscript"/>
        </w:rPr>
        <w:t xml:space="preserve"> </w:t>
      </w:r>
      <w:r w:rsidRPr="0098660A">
        <w:t xml:space="preserve">In the </w:t>
      </w:r>
      <w:r w:rsidR="00072CB0" w:rsidRPr="0098660A">
        <w:t>“Intervention</w:t>
      </w:r>
      <w:r w:rsidRPr="0098660A">
        <w:t xml:space="preserve"> and c</w:t>
      </w:r>
      <w:r w:rsidR="00072CB0" w:rsidRPr="0098660A">
        <w:t>omparator” sub</w:t>
      </w:r>
      <w:r w:rsidRPr="0098660A">
        <w:t xml:space="preserve">section in </w:t>
      </w:r>
      <w:r w:rsidR="00072CB0" w:rsidRPr="0098660A">
        <w:t>Section 1.1 and in Section 2 of the main submission, ravulizumab was nominated as the primary comparator.</w:t>
      </w:r>
      <w:r w:rsidRPr="0098660A">
        <w:t xml:space="preserve"> </w:t>
      </w:r>
    </w:p>
    <w:p w14:paraId="13A1C58E" w14:textId="6FA6ECE1" w:rsidR="00E56F28" w:rsidRPr="0098660A" w:rsidRDefault="00E56F28" w:rsidP="00B245A7">
      <w:pPr>
        <w:pStyle w:val="FooterTableFigure"/>
        <w:spacing w:after="240"/>
      </w:pPr>
      <w:r w:rsidRPr="0098660A">
        <w:t>*ESC noted</w:t>
      </w:r>
      <w:r w:rsidR="00107A67" w:rsidRPr="0098660A">
        <w:t xml:space="preserve"> this dosing regimen may be changed to 1,080 mg every third day if a pat</w:t>
      </w:r>
      <w:r w:rsidR="002979D5" w:rsidRPr="0098660A">
        <w:t>ient</w:t>
      </w:r>
      <w:r w:rsidR="00107A67" w:rsidRPr="0098660A">
        <w:t xml:space="preserve"> has a lactate dehydrogenase (LDH) level greater than 2 × upper limit of normal (ULN).</w:t>
      </w:r>
    </w:p>
    <w:p w14:paraId="6B4AB6C2" w14:textId="7F01D731" w:rsidR="005C25FF" w:rsidRPr="0098660A" w:rsidRDefault="005C25FF" w:rsidP="004A6040">
      <w:pPr>
        <w:pStyle w:val="2-SectionHeading"/>
      </w:pPr>
      <w:bookmarkStart w:id="2" w:name="_Toc193368012"/>
      <w:r w:rsidRPr="0098660A">
        <w:t>Background</w:t>
      </w:r>
      <w:bookmarkEnd w:id="2"/>
    </w:p>
    <w:p w14:paraId="2C521D6D" w14:textId="78CF03EE" w:rsidR="005C25FF" w:rsidRPr="0098660A" w:rsidRDefault="005C25FF" w:rsidP="004A6040">
      <w:pPr>
        <w:pStyle w:val="4-SubsectionHeading"/>
      </w:pPr>
      <w:bookmarkStart w:id="3" w:name="_Toc22897638"/>
      <w:bookmarkStart w:id="4" w:name="_Toc193368013"/>
      <w:r w:rsidRPr="0098660A">
        <w:t>Registration status</w:t>
      </w:r>
      <w:bookmarkEnd w:id="3"/>
      <w:bookmarkEnd w:id="4"/>
    </w:p>
    <w:p w14:paraId="5374AD55" w14:textId="1D756AC5" w:rsidR="005C25FF" w:rsidRPr="0098660A" w:rsidRDefault="00594A93" w:rsidP="00AD3121">
      <w:pPr>
        <w:pStyle w:val="3-BodyText"/>
      </w:pPr>
      <w:r w:rsidRPr="0098660A">
        <w:t>Pegcetacoplan was approved by the TGA for treatment of adult patients with PNH who have an inadequate response to, or are intolerant of, a C5i, in February 2022. In July</w:t>
      </w:r>
      <w:r w:rsidR="00317F5D" w:rsidRPr="0098660A">
        <w:t> </w:t>
      </w:r>
      <w:r w:rsidRPr="0098660A">
        <w:t>2024, pegcetacoplan was submitted to the TGA for</w:t>
      </w:r>
      <w:r w:rsidR="00AD7661" w:rsidRPr="0098660A">
        <w:t xml:space="preserve"> an extended registration of </w:t>
      </w:r>
      <w:r w:rsidRPr="0098660A">
        <w:t xml:space="preserve">use in PNH patients, irrespective of line of treatment. </w:t>
      </w:r>
      <w:r w:rsidR="00134501" w:rsidRPr="0098660A">
        <w:t xml:space="preserve">The TGA </w:t>
      </w:r>
      <w:r w:rsidR="00E64C85" w:rsidRPr="0098660A">
        <w:t xml:space="preserve">Approval </w:t>
      </w:r>
      <w:r w:rsidR="004E6D3C" w:rsidRPr="0098660A">
        <w:t>letter dated 28</w:t>
      </w:r>
      <w:r w:rsidR="00317F5D" w:rsidRPr="0098660A">
        <w:t> </w:t>
      </w:r>
      <w:r w:rsidR="004E6D3C" w:rsidRPr="0098660A">
        <w:t>January</w:t>
      </w:r>
      <w:r w:rsidR="00317F5D" w:rsidRPr="0098660A">
        <w:t> </w:t>
      </w:r>
      <w:r w:rsidR="004E6D3C" w:rsidRPr="0098660A">
        <w:t xml:space="preserve">2025 </w:t>
      </w:r>
      <w:r w:rsidR="00134501" w:rsidRPr="0098660A">
        <w:t>was received during the evaluation.</w:t>
      </w:r>
      <w:r w:rsidR="008919D8" w:rsidRPr="0098660A">
        <w:t xml:space="preserve"> </w:t>
      </w:r>
      <w:proofErr w:type="spellStart"/>
      <w:r w:rsidR="00CC335C" w:rsidRPr="0098660A">
        <w:rPr>
          <w:iCs/>
        </w:rPr>
        <w:t>Pegcetacoplan</w:t>
      </w:r>
      <w:proofErr w:type="spellEnd"/>
      <w:r w:rsidR="00CC335C" w:rsidRPr="0098660A">
        <w:rPr>
          <w:iCs/>
        </w:rPr>
        <w:t xml:space="preserve"> (</w:t>
      </w:r>
      <w:proofErr w:type="spellStart"/>
      <w:r w:rsidR="00CC335C" w:rsidRPr="0098660A">
        <w:rPr>
          <w:iCs/>
        </w:rPr>
        <w:t>Empaveli</w:t>
      </w:r>
      <w:proofErr w:type="spellEnd"/>
      <w:r w:rsidR="00CC335C" w:rsidRPr="0098660A">
        <w:rPr>
          <w:rFonts w:cstheme="minorHAnsi"/>
          <w:iCs/>
        </w:rPr>
        <w:t>®</w:t>
      </w:r>
      <w:r w:rsidR="00CC335C" w:rsidRPr="0098660A">
        <w:rPr>
          <w:iCs/>
        </w:rPr>
        <w:t>) w</w:t>
      </w:r>
      <w:r w:rsidR="00AE6E57" w:rsidRPr="0098660A">
        <w:rPr>
          <w:iCs/>
        </w:rPr>
        <w:t xml:space="preserve">as registered for the treatment of adult patients with paroxysmal nocturnal haemoglobinuria (PNH) </w:t>
      </w:r>
      <w:r w:rsidR="00CC335C" w:rsidRPr="0098660A">
        <w:rPr>
          <w:iCs/>
        </w:rPr>
        <w:t>on 25 February 2025.</w:t>
      </w:r>
    </w:p>
    <w:p w14:paraId="394F3FA9" w14:textId="5395C446" w:rsidR="00BC3B3B" w:rsidRPr="0098660A" w:rsidRDefault="00750DE0" w:rsidP="00AD3121">
      <w:pPr>
        <w:pStyle w:val="3-BodyText"/>
      </w:pPr>
      <w:bookmarkStart w:id="5" w:name="_Hlk191463579"/>
      <w:bookmarkStart w:id="6" w:name="_Hlk191399411"/>
      <w:r w:rsidRPr="0098660A">
        <w:t xml:space="preserve">It was noted that </w:t>
      </w:r>
      <w:r w:rsidR="00571901" w:rsidRPr="0098660A">
        <w:t xml:space="preserve">the </w:t>
      </w:r>
      <w:r w:rsidRPr="0098660A">
        <w:t xml:space="preserve">draft product information </w:t>
      </w:r>
      <w:r w:rsidR="00571901" w:rsidRPr="0098660A">
        <w:t xml:space="preserve">for pegcetacoplan </w:t>
      </w:r>
      <w:r w:rsidR="004E0E61" w:rsidRPr="0098660A">
        <w:t>include</w:t>
      </w:r>
      <w:r w:rsidR="00862F47" w:rsidRPr="0098660A">
        <w:t>d</w:t>
      </w:r>
      <w:r w:rsidR="004E0E61" w:rsidRPr="0098660A">
        <w:t xml:space="preserve"> a boxed warning regarding the risk of serious infections caused by encapsulated bacteria, such </w:t>
      </w:r>
      <w:r w:rsidR="004E0E61" w:rsidRPr="0098660A">
        <w:lastRenderedPageBreak/>
        <w:t xml:space="preserve">as Streptococcus pneumoniae, Neisseria meningitidis, and Haemophilus influenzae type B (HIB), with recommendations to vaccinate against these bacteria prior to initiation of pegcetacoplan treatment. </w:t>
      </w:r>
      <w:bookmarkStart w:id="7" w:name="_Hlk191398287"/>
      <w:r w:rsidR="00571901" w:rsidRPr="0098660A">
        <w:rPr>
          <w:iCs/>
        </w:rPr>
        <w:t xml:space="preserve">The </w:t>
      </w:r>
      <w:r w:rsidR="004D0FC4" w:rsidRPr="0098660A">
        <w:rPr>
          <w:iCs/>
        </w:rPr>
        <w:t>ESC</w:t>
      </w:r>
      <w:r w:rsidR="004D0FC4" w:rsidRPr="0098660A">
        <w:t xml:space="preserve"> </w:t>
      </w:r>
      <w:r w:rsidR="00571901" w:rsidRPr="0098660A">
        <w:t xml:space="preserve">noted </w:t>
      </w:r>
      <w:r w:rsidR="004E0E61" w:rsidRPr="0098660A">
        <w:t xml:space="preserve">ATAGI advice </w:t>
      </w:r>
      <w:r w:rsidR="004D0FC4" w:rsidRPr="0098660A">
        <w:rPr>
          <w:iCs/>
        </w:rPr>
        <w:t>would</w:t>
      </w:r>
      <w:r w:rsidR="004D0FC4" w:rsidRPr="0098660A">
        <w:t xml:space="preserve"> </w:t>
      </w:r>
      <w:r w:rsidR="00E17714" w:rsidRPr="0098660A">
        <w:t>be</w:t>
      </w:r>
      <w:r w:rsidR="004E0E61" w:rsidRPr="0098660A">
        <w:t xml:space="preserve"> required to extend access on the National Immunisation Program (NIP) to these vaccines for th</w:t>
      </w:r>
      <w:r w:rsidR="00571901" w:rsidRPr="0098660A">
        <w:t>e requested</w:t>
      </w:r>
      <w:r w:rsidR="004E0E61" w:rsidRPr="0098660A">
        <w:t xml:space="preserve"> </w:t>
      </w:r>
      <w:r w:rsidR="00571901" w:rsidRPr="0098660A">
        <w:t>extended PBS listing</w:t>
      </w:r>
      <w:r w:rsidR="00E17714" w:rsidRPr="0098660A">
        <w:t xml:space="preserve">, as pegcetacoplan access to the vaccines </w:t>
      </w:r>
      <w:r w:rsidR="00571901" w:rsidRPr="0098660A">
        <w:t xml:space="preserve">on the NIP </w:t>
      </w:r>
      <w:r w:rsidR="00E17714" w:rsidRPr="0098660A">
        <w:t>reflect</w:t>
      </w:r>
      <w:r w:rsidR="00571901" w:rsidRPr="0098660A">
        <w:t>ed</w:t>
      </w:r>
      <w:r w:rsidR="00E17714" w:rsidRPr="0098660A">
        <w:t xml:space="preserve"> </w:t>
      </w:r>
      <w:r w:rsidR="00571901" w:rsidRPr="0098660A">
        <w:t>use in second-line PNH</w:t>
      </w:r>
      <w:r w:rsidR="009A0CF1" w:rsidRPr="0098660A">
        <w:rPr>
          <w:rStyle w:val="FootnoteReference"/>
        </w:rPr>
        <w:footnoteReference w:id="2"/>
      </w:r>
      <w:r w:rsidR="004E0E61" w:rsidRPr="0098660A">
        <w:t>.</w:t>
      </w:r>
      <w:bookmarkEnd w:id="5"/>
      <w:bookmarkEnd w:id="7"/>
    </w:p>
    <w:p w14:paraId="782DBA89" w14:textId="02D2E56B" w:rsidR="000F53FB" w:rsidRPr="0098660A" w:rsidRDefault="00B50DB8" w:rsidP="00AD4F7C">
      <w:pPr>
        <w:pStyle w:val="2-SectionHeading"/>
      </w:pPr>
      <w:bookmarkStart w:id="8" w:name="_Toc107902078"/>
      <w:bookmarkStart w:id="9" w:name="_Toc193368014"/>
      <w:bookmarkEnd w:id="6"/>
      <w:bookmarkEnd w:id="8"/>
      <w:r w:rsidRPr="0098660A">
        <w:t>Requested listing</w:t>
      </w:r>
      <w:bookmarkEnd w:id="9"/>
    </w:p>
    <w:p w14:paraId="4B054DE1" w14:textId="05F54C04" w:rsidR="00AD4F7C" w:rsidRPr="0098660A" w:rsidRDefault="00AD4F7C" w:rsidP="00AD4F7C">
      <w:pPr>
        <w:spacing w:before="60"/>
        <w:rPr>
          <w:rFonts w:ascii="Arial Narrow" w:eastAsiaTheme="minorHAnsi" w:hAnsi="Arial Narrow" w:cstheme="minorBidi"/>
          <w:bCs/>
          <w:sz w:val="20"/>
          <w:szCs w:val="20"/>
        </w:rPr>
      </w:pPr>
      <w:bookmarkStart w:id="10" w:name="_Hlk187760605"/>
      <w:r w:rsidRPr="0098660A">
        <w:rPr>
          <w:rFonts w:ascii="Arial Narrow" w:eastAsiaTheme="minorHAnsi" w:hAnsi="Arial Narrow" w:cstheme="minorBidi"/>
          <w:b/>
          <w:bCs/>
          <w:sz w:val="20"/>
          <w:szCs w:val="20"/>
        </w:rPr>
        <w:t>Requested listing – initiating in complement C5i-naive patient</w:t>
      </w:r>
    </w:p>
    <w:tbl>
      <w:tblPr>
        <w:tblW w:w="49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4"/>
        <w:gridCol w:w="1275"/>
        <w:gridCol w:w="851"/>
        <w:gridCol w:w="850"/>
        <w:gridCol w:w="709"/>
        <w:gridCol w:w="1282"/>
      </w:tblGrid>
      <w:tr w:rsidR="00AD4F7C" w:rsidRPr="0098660A" w14:paraId="507B129F" w14:textId="77777777" w:rsidTr="000B68A2">
        <w:trPr>
          <w:cantSplit/>
          <w:trHeight w:val="20"/>
        </w:trPr>
        <w:tc>
          <w:tcPr>
            <w:tcW w:w="2690" w:type="dxa"/>
            <w:vAlign w:val="center"/>
          </w:tcPr>
          <w:p w14:paraId="25899B37" w14:textId="77777777" w:rsidR="00AD4F7C" w:rsidRPr="0098660A" w:rsidRDefault="00AD4F7C" w:rsidP="00AD4F7C">
            <w:pPr>
              <w:keepLines/>
              <w:ind w:left="-113"/>
              <w:rPr>
                <w:rFonts w:ascii="Arial Narrow" w:hAnsi="Arial Narrow"/>
                <w:b/>
                <w:bCs/>
                <w:sz w:val="20"/>
                <w:szCs w:val="20"/>
              </w:rPr>
            </w:pPr>
            <w:r w:rsidRPr="0098660A">
              <w:rPr>
                <w:rFonts w:ascii="Arial Narrow" w:hAnsi="Arial Narrow"/>
                <w:b/>
                <w:bCs/>
                <w:sz w:val="20"/>
                <w:szCs w:val="20"/>
              </w:rPr>
              <w:t>MEDICINAL PRODUCT</w:t>
            </w:r>
          </w:p>
          <w:p w14:paraId="2B1444BB" w14:textId="77777777" w:rsidR="00AD4F7C" w:rsidRPr="0098660A" w:rsidRDefault="00AD4F7C" w:rsidP="00AD4F7C">
            <w:pPr>
              <w:keepLines/>
              <w:ind w:left="-113"/>
              <w:rPr>
                <w:rFonts w:ascii="Arial Narrow" w:hAnsi="Arial Narrow"/>
                <w:b/>
                <w:sz w:val="20"/>
                <w:szCs w:val="20"/>
              </w:rPr>
            </w:pPr>
            <w:r w:rsidRPr="0098660A">
              <w:rPr>
                <w:rFonts w:ascii="Arial Narrow" w:hAnsi="Arial Narrow"/>
                <w:b/>
                <w:bCs/>
                <w:sz w:val="20"/>
                <w:szCs w:val="20"/>
              </w:rPr>
              <w:t>medicinal product pack</w:t>
            </w:r>
          </w:p>
        </w:tc>
        <w:tc>
          <w:tcPr>
            <w:tcW w:w="1274" w:type="dxa"/>
            <w:vAlign w:val="center"/>
          </w:tcPr>
          <w:p w14:paraId="439D72CE" w14:textId="58D83077" w:rsidR="00AD4F7C" w:rsidRPr="0098660A" w:rsidRDefault="00AD4F7C" w:rsidP="00AD4F7C">
            <w:pPr>
              <w:widowControl w:val="0"/>
              <w:jc w:val="left"/>
              <w:rPr>
                <w:rFonts w:ascii="Arial Narrow" w:eastAsiaTheme="majorEastAsia" w:hAnsi="Arial Narrow" w:cstheme="majorBidi"/>
                <w:b/>
                <w:bCs/>
                <w:sz w:val="20"/>
                <w:szCs w:val="20"/>
              </w:rPr>
            </w:pPr>
            <w:r w:rsidRPr="0098660A">
              <w:rPr>
                <w:rFonts w:ascii="Arial Narrow" w:eastAsiaTheme="majorEastAsia" w:hAnsi="Arial Narrow" w:cstheme="majorBidi"/>
                <w:b/>
                <w:bCs/>
                <w:snapToGrid w:val="0"/>
                <w:sz w:val="20"/>
              </w:rPr>
              <w:t>Dispensed Price for Max. Qty (public)</w:t>
            </w:r>
          </w:p>
        </w:tc>
        <w:tc>
          <w:tcPr>
            <w:tcW w:w="1275" w:type="dxa"/>
          </w:tcPr>
          <w:p w14:paraId="694627DA" w14:textId="1DCE5EE4" w:rsidR="00AD4F7C" w:rsidRPr="0098660A" w:rsidRDefault="00AD4F7C" w:rsidP="00AD4F7C">
            <w:pPr>
              <w:keepLines/>
              <w:jc w:val="center"/>
              <w:rPr>
                <w:rFonts w:ascii="Arial Narrow" w:hAnsi="Arial Narrow"/>
                <w:b/>
                <w:sz w:val="20"/>
                <w:szCs w:val="20"/>
              </w:rPr>
            </w:pPr>
            <w:r w:rsidRPr="0098660A">
              <w:rPr>
                <w:rFonts w:ascii="Arial Narrow" w:eastAsiaTheme="majorEastAsia" w:hAnsi="Arial Narrow" w:cstheme="majorBidi"/>
                <w:b/>
                <w:bCs/>
                <w:snapToGrid w:val="0"/>
                <w:sz w:val="20"/>
              </w:rPr>
              <w:t>Dispensed Price for Max. Qty (private)</w:t>
            </w:r>
          </w:p>
        </w:tc>
        <w:tc>
          <w:tcPr>
            <w:tcW w:w="851" w:type="dxa"/>
            <w:vAlign w:val="center"/>
          </w:tcPr>
          <w:p w14:paraId="0A4A1D82" w14:textId="1C4A4BAF" w:rsidR="00AD4F7C" w:rsidRPr="0098660A" w:rsidRDefault="00AD4F7C" w:rsidP="00AD4F7C">
            <w:pPr>
              <w:keepLines/>
              <w:jc w:val="center"/>
              <w:rPr>
                <w:rFonts w:ascii="Arial Narrow" w:hAnsi="Arial Narrow"/>
                <w:b/>
                <w:sz w:val="20"/>
                <w:szCs w:val="20"/>
              </w:rPr>
            </w:pPr>
            <w:r w:rsidRPr="0098660A">
              <w:rPr>
                <w:rFonts w:ascii="Arial Narrow" w:hAnsi="Arial Narrow"/>
                <w:b/>
                <w:sz w:val="20"/>
                <w:szCs w:val="20"/>
              </w:rPr>
              <w:t>Max. qty packs</w:t>
            </w:r>
          </w:p>
        </w:tc>
        <w:tc>
          <w:tcPr>
            <w:tcW w:w="850" w:type="dxa"/>
            <w:vAlign w:val="center"/>
          </w:tcPr>
          <w:p w14:paraId="585AC171" w14:textId="77777777" w:rsidR="00AD4F7C" w:rsidRPr="0098660A" w:rsidRDefault="00AD4F7C" w:rsidP="00AD4F7C">
            <w:pPr>
              <w:keepLines/>
              <w:jc w:val="center"/>
              <w:rPr>
                <w:rFonts w:ascii="Arial Narrow" w:hAnsi="Arial Narrow"/>
                <w:b/>
                <w:sz w:val="20"/>
                <w:szCs w:val="20"/>
              </w:rPr>
            </w:pPr>
            <w:r w:rsidRPr="0098660A">
              <w:rPr>
                <w:rFonts w:ascii="Arial Narrow" w:hAnsi="Arial Narrow"/>
                <w:b/>
                <w:sz w:val="20"/>
                <w:szCs w:val="20"/>
              </w:rPr>
              <w:t>Max. qty units</w:t>
            </w:r>
          </w:p>
        </w:tc>
        <w:tc>
          <w:tcPr>
            <w:tcW w:w="709" w:type="dxa"/>
            <w:vAlign w:val="center"/>
          </w:tcPr>
          <w:p w14:paraId="2CBBF540" w14:textId="77777777" w:rsidR="00AD4F7C" w:rsidRPr="0098660A" w:rsidRDefault="00AD4F7C" w:rsidP="00AD4F7C">
            <w:pPr>
              <w:keepLines/>
              <w:jc w:val="center"/>
              <w:rPr>
                <w:rFonts w:ascii="Arial Narrow" w:hAnsi="Arial Narrow"/>
                <w:b/>
                <w:sz w:val="20"/>
                <w:szCs w:val="20"/>
              </w:rPr>
            </w:pPr>
            <w:r w:rsidRPr="0098660A">
              <w:rPr>
                <w:rFonts w:ascii="Arial Narrow" w:hAnsi="Arial Narrow"/>
                <w:b/>
                <w:sz w:val="20"/>
                <w:szCs w:val="20"/>
              </w:rPr>
              <w:t>№.of</w:t>
            </w:r>
          </w:p>
          <w:p w14:paraId="41BC72FD" w14:textId="77777777" w:rsidR="00AD4F7C" w:rsidRPr="0098660A" w:rsidRDefault="00AD4F7C" w:rsidP="00AD4F7C">
            <w:pPr>
              <w:keepLines/>
              <w:jc w:val="center"/>
              <w:rPr>
                <w:rFonts w:ascii="Arial Narrow" w:hAnsi="Arial Narrow"/>
                <w:b/>
                <w:sz w:val="20"/>
                <w:szCs w:val="20"/>
              </w:rPr>
            </w:pPr>
            <w:proofErr w:type="spellStart"/>
            <w:r w:rsidRPr="0098660A">
              <w:rPr>
                <w:rFonts w:ascii="Arial Narrow" w:hAnsi="Arial Narrow"/>
                <w:b/>
                <w:sz w:val="20"/>
                <w:szCs w:val="20"/>
              </w:rPr>
              <w:t>Rpts</w:t>
            </w:r>
            <w:proofErr w:type="spellEnd"/>
          </w:p>
        </w:tc>
        <w:tc>
          <w:tcPr>
            <w:tcW w:w="1281" w:type="dxa"/>
            <w:vAlign w:val="center"/>
          </w:tcPr>
          <w:p w14:paraId="75942C79" w14:textId="77777777" w:rsidR="00AD4F7C" w:rsidRPr="0098660A" w:rsidRDefault="00AD4F7C" w:rsidP="00AD4F7C">
            <w:pPr>
              <w:keepLines/>
              <w:rPr>
                <w:rFonts w:ascii="Arial Narrow" w:hAnsi="Arial Narrow"/>
                <w:b/>
                <w:sz w:val="20"/>
                <w:szCs w:val="20"/>
              </w:rPr>
            </w:pPr>
            <w:r w:rsidRPr="0098660A">
              <w:rPr>
                <w:rFonts w:ascii="Arial Narrow" w:hAnsi="Arial Narrow"/>
                <w:b/>
                <w:sz w:val="20"/>
                <w:szCs w:val="20"/>
              </w:rPr>
              <w:t>Available brands</w:t>
            </w:r>
          </w:p>
        </w:tc>
      </w:tr>
      <w:tr w:rsidR="00AD4F7C" w:rsidRPr="0098660A" w14:paraId="25CB4B6F" w14:textId="77777777" w:rsidTr="000B68A2">
        <w:trPr>
          <w:cantSplit/>
          <w:trHeight w:val="435"/>
        </w:trPr>
        <w:tc>
          <w:tcPr>
            <w:tcW w:w="2690" w:type="dxa"/>
            <w:vAlign w:val="center"/>
          </w:tcPr>
          <w:p w14:paraId="6301ACC6" w14:textId="4F9E9691" w:rsidR="00AD4F7C" w:rsidRPr="0098660A" w:rsidRDefault="00AD4F7C" w:rsidP="00AD4F7C">
            <w:pPr>
              <w:keepLines/>
              <w:ind w:left="-113"/>
              <w:jc w:val="left"/>
              <w:rPr>
                <w:rFonts w:ascii="Arial Narrow" w:hAnsi="Arial Narrow"/>
                <w:color w:val="0066FF"/>
                <w:sz w:val="20"/>
                <w:szCs w:val="20"/>
              </w:rPr>
            </w:pPr>
            <w:r w:rsidRPr="0098660A">
              <w:rPr>
                <w:rFonts w:ascii="Arial Narrow" w:hAnsi="Arial Narrow"/>
                <w:color w:val="000000" w:themeColor="text1"/>
                <w:sz w:val="20"/>
                <w:szCs w:val="20"/>
              </w:rPr>
              <w:t>Pegcetacoplan; Classic PNH; Solution for subcutaneous infusion; 1,080 mg/20 mL; 20 mL</w:t>
            </w:r>
          </w:p>
        </w:tc>
        <w:tc>
          <w:tcPr>
            <w:tcW w:w="1274" w:type="dxa"/>
            <w:vAlign w:val="center"/>
          </w:tcPr>
          <w:p w14:paraId="3451751A" w14:textId="77777777" w:rsidR="00AD4F7C" w:rsidRPr="0098660A" w:rsidRDefault="00AD4F7C" w:rsidP="00AD4F7C">
            <w:pPr>
              <w:widowControl w:val="0"/>
              <w:jc w:val="center"/>
              <w:rPr>
                <w:rFonts w:ascii="Arial Narrow" w:eastAsiaTheme="majorEastAsia" w:hAnsi="Arial Narrow" w:cstheme="majorBidi"/>
                <w:sz w:val="20"/>
                <w:szCs w:val="20"/>
              </w:rPr>
            </w:pPr>
            <w:r w:rsidRPr="0098660A">
              <w:rPr>
                <w:rFonts w:ascii="Arial Narrow" w:eastAsiaTheme="majorEastAsia" w:hAnsi="Arial Narrow" w:cstheme="majorBidi"/>
                <w:sz w:val="20"/>
                <w:szCs w:val="20"/>
              </w:rPr>
              <w:t>Published: $4,343.86</w:t>
            </w:r>
          </w:p>
          <w:p w14:paraId="16252E8D" w14:textId="5543FE8F" w:rsidR="00024D7E" w:rsidRPr="0098660A" w:rsidRDefault="00024D7E" w:rsidP="00AD4F7C">
            <w:pPr>
              <w:widowControl w:val="0"/>
              <w:jc w:val="center"/>
              <w:rPr>
                <w:rFonts w:ascii="Arial Narrow" w:eastAsiaTheme="majorEastAsia" w:hAnsi="Arial Narrow" w:cstheme="majorBidi"/>
                <w:sz w:val="20"/>
                <w:szCs w:val="20"/>
              </w:rPr>
            </w:pPr>
            <w:r w:rsidRPr="0098660A">
              <w:rPr>
                <w:rFonts w:ascii="Arial Narrow" w:eastAsiaTheme="majorEastAsia" w:hAnsi="Arial Narrow" w:cstheme="majorBidi"/>
                <w:sz w:val="20"/>
                <w:szCs w:val="20"/>
              </w:rPr>
              <w:t>Effective:</w:t>
            </w:r>
            <w:r w:rsidR="00CC5138" w:rsidRPr="0098660A">
              <w:rPr>
                <w:rFonts w:ascii="Arial Narrow" w:eastAsiaTheme="majorEastAsia" w:hAnsi="Arial Narrow" w:cstheme="majorBidi"/>
                <w:sz w:val="20"/>
                <w:szCs w:val="20"/>
              </w:rPr>
              <w:t xml:space="preserve"> $</w:t>
            </w:r>
            <w:r w:rsidR="00910397" w:rsidRPr="00476F21">
              <w:rPr>
                <w:rFonts w:ascii="Arial Narrow" w:eastAsiaTheme="majorEastAsia" w:hAnsi="Arial Narrow" w:cstheme="majorBidi"/>
                <w:color w:val="000000"/>
                <w:spacing w:val="38"/>
                <w:sz w:val="20"/>
                <w:szCs w:val="20"/>
                <w:shd w:val="solid" w:color="000000" w:fill="000000"/>
                <w:fitText w:val="320" w:id="-663463168"/>
                <w14:textFill>
                  <w14:solidFill>
                    <w14:srgbClr w14:val="000000">
                      <w14:alpha w14:val="100000"/>
                    </w14:srgbClr>
                  </w14:solidFill>
                </w14:textFill>
              </w:rPr>
              <w:t>||||</w:t>
            </w:r>
            <w:r w:rsidR="00CC5138" w:rsidRPr="0098660A">
              <w:rPr>
                <w:rFonts w:ascii="Arial Narrow" w:eastAsiaTheme="majorEastAsia" w:hAnsi="Arial Narrow" w:cstheme="majorBidi"/>
                <w:sz w:val="20"/>
                <w:szCs w:val="20"/>
                <w:vertAlign w:val="superscript"/>
              </w:rPr>
              <w:t>b</w:t>
            </w:r>
            <w:r w:rsidRPr="0098660A">
              <w:rPr>
                <w:rFonts w:ascii="Arial Narrow" w:eastAsiaTheme="majorEastAsia" w:hAnsi="Arial Narrow" w:cstheme="majorBidi"/>
                <w:sz w:val="20"/>
                <w:szCs w:val="20"/>
              </w:rPr>
              <w:t xml:space="preserve"> </w:t>
            </w:r>
          </w:p>
        </w:tc>
        <w:tc>
          <w:tcPr>
            <w:tcW w:w="1275" w:type="dxa"/>
            <w:vAlign w:val="center"/>
          </w:tcPr>
          <w:p w14:paraId="4251C97C" w14:textId="77777777" w:rsidR="00AD4F7C" w:rsidRPr="0098660A" w:rsidRDefault="00AD4F7C" w:rsidP="00AD4F7C">
            <w:pPr>
              <w:keepLines/>
              <w:jc w:val="center"/>
              <w:rPr>
                <w:rFonts w:ascii="Arial Narrow" w:hAnsi="Arial Narrow"/>
                <w:bCs/>
                <w:sz w:val="20"/>
                <w:szCs w:val="20"/>
              </w:rPr>
            </w:pPr>
            <w:r w:rsidRPr="0098660A">
              <w:rPr>
                <w:rFonts w:ascii="Arial Narrow" w:hAnsi="Arial Narrow"/>
                <w:bCs/>
                <w:sz w:val="20"/>
                <w:szCs w:val="20"/>
              </w:rPr>
              <w:t>Published:</w:t>
            </w:r>
          </w:p>
          <w:p w14:paraId="3537D4C5" w14:textId="3D1B5C74" w:rsidR="00CC5138" w:rsidRPr="0098660A" w:rsidRDefault="00AD4F7C" w:rsidP="00CC5138">
            <w:pPr>
              <w:keepLines/>
              <w:jc w:val="center"/>
              <w:rPr>
                <w:rFonts w:ascii="Arial Narrow" w:eastAsiaTheme="majorEastAsia" w:hAnsi="Arial Narrow" w:cstheme="majorBidi"/>
                <w:sz w:val="20"/>
                <w:szCs w:val="20"/>
              </w:rPr>
            </w:pPr>
            <w:r w:rsidRPr="0098660A">
              <w:rPr>
                <w:rFonts w:ascii="Arial Narrow" w:hAnsi="Arial Narrow"/>
                <w:sz w:val="20"/>
                <w:szCs w:val="20"/>
              </w:rPr>
              <w:t>$4,392.</w:t>
            </w:r>
            <w:r w:rsidR="00B403A0" w:rsidRPr="0098660A">
              <w:rPr>
                <w:rFonts w:ascii="Arial Narrow" w:hAnsi="Arial Narrow"/>
                <w:sz w:val="20"/>
                <w:szCs w:val="20"/>
              </w:rPr>
              <w:t>5</w:t>
            </w:r>
            <w:r w:rsidRPr="0098660A">
              <w:rPr>
                <w:rFonts w:ascii="Arial Narrow" w:hAnsi="Arial Narrow"/>
                <w:sz w:val="20"/>
                <w:szCs w:val="20"/>
              </w:rPr>
              <w:t>3</w:t>
            </w:r>
            <w:r w:rsidR="00024D7E" w:rsidRPr="0098660A">
              <w:rPr>
                <w:rFonts w:ascii="Arial Narrow" w:hAnsi="Arial Narrow"/>
                <w:sz w:val="20"/>
                <w:szCs w:val="20"/>
                <w:vertAlign w:val="superscript"/>
              </w:rPr>
              <w:t>a</w:t>
            </w:r>
          </w:p>
          <w:p w14:paraId="4BBE9234" w14:textId="2A2FD14E" w:rsidR="00CC5138" w:rsidRPr="0098660A" w:rsidRDefault="00CC5138" w:rsidP="00CC5138">
            <w:pPr>
              <w:keepLines/>
              <w:jc w:val="center"/>
              <w:rPr>
                <w:rFonts w:ascii="Arial Narrow" w:hAnsi="Arial Narrow"/>
                <w:sz w:val="20"/>
                <w:szCs w:val="20"/>
                <w:vertAlign w:val="superscript"/>
              </w:rPr>
            </w:pPr>
            <w:r w:rsidRPr="0098660A">
              <w:rPr>
                <w:rFonts w:ascii="Arial Narrow" w:eastAsiaTheme="majorEastAsia" w:hAnsi="Arial Narrow" w:cstheme="majorBidi"/>
                <w:sz w:val="20"/>
                <w:szCs w:val="20"/>
              </w:rPr>
              <w:t>Effective: $</w:t>
            </w:r>
            <w:r w:rsidR="00910397" w:rsidRPr="00476F21">
              <w:rPr>
                <w:rFonts w:ascii="Arial Narrow" w:eastAsiaTheme="majorEastAsia" w:hAnsi="Arial Narrow" w:cstheme="majorBidi"/>
                <w:color w:val="000000"/>
                <w:spacing w:val="38"/>
                <w:sz w:val="20"/>
                <w:szCs w:val="20"/>
                <w:shd w:val="solid" w:color="000000" w:fill="000000"/>
                <w:fitText w:val="320" w:id="-663463167"/>
                <w14:textFill>
                  <w14:solidFill>
                    <w14:srgbClr w14:val="000000">
                      <w14:alpha w14:val="100000"/>
                    </w14:srgbClr>
                  </w14:solidFill>
                </w14:textFill>
              </w:rPr>
              <w:t>||||</w:t>
            </w:r>
            <w:r w:rsidRPr="0098660A">
              <w:rPr>
                <w:rFonts w:ascii="Arial Narrow" w:eastAsiaTheme="majorEastAsia" w:hAnsi="Arial Narrow" w:cstheme="majorBidi"/>
                <w:sz w:val="20"/>
                <w:szCs w:val="20"/>
                <w:vertAlign w:val="superscript"/>
              </w:rPr>
              <w:t>b</w:t>
            </w:r>
          </w:p>
        </w:tc>
        <w:tc>
          <w:tcPr>
            <w:tcW w:w="851" w:type="dxa"/>
            <w:vAlign w:val="center"/>
          </w:tcPr>
          <w:p w14:paraId="2B7794BE" w14:textId="794E9848" w:rsidR="00AD4F7C" w:rsidRPr="0098660A" w:rsidRDefault="00AD4F7C" w:rsidP="00AD4F7C">
            <w:pPr>
              <w:keepLines/>
              <w:jc w:val="center"/>
              <w:rPr>
                <w:rFonts w:ascii="Arial Narrow" w:hAnsi="Arial Narrow"/>
                <w:sz w:val="20"/>
                <w:szCs w:val="20"/>
              </w:rPr>
            </w:pPr>
            <w:r w:rsidRPr="0098660A">
              <w:rPr>
                <w:rFonts w:ascii="Arial Narrow" w:hAnsi="Arial Narrow"/>
                <w:sz w:val="20"/>
                <w:szCs w:val="20"/>
              </w:rPr>
              <w:t>1</w:t>
            </w:r>
          </w:p>
        </w:tc>
        <w:tc>
          <w:tcPr>
            <w:tcW w:w="850" w:type="dxa"/>
            <w:vAlign w:val="center"/>
          </w:tcPr>
          <w:p w14:paraId="2591F55F" w14:textId="25948D2C" w:rsidR="00AD4F7C" w:rsidRPr="0098660A" w:rsidRDefault="00AD4F7C" w:rsidP="00AD4F7C">
            <w:pPr>
              <w:keepLines/>
              <w:jc w:val="center"/>
              <w:rPr>
                <w:rFonts w:ascii="Arial Narrow" w:hAnsi="Arial Narrow"/>
                <w:sz w:val="20"/>
                <w:szCs w:val="20"/>
              </w:rPr>
            </w:pPr>
            <w:r w:rsidRPr="0098660A">
              <w:rPr>
                <w:rFonts w:ascii="Arial Narrow" w:hAnsi="Arial Narrow"/>
                <w:sz w:val="20"/>
                <w:szCs w:val="20"/>
              </w:rPr>
              <w:t>1</w:t>
            </w:r>
          </w:p>
        </w:tc>
        <w:tc>
          <w:tcPr>
            <w:tcW w:w="709" w:type="dxa"/>
            <w:vAlign w:val="center"/>
          </w:tcPr>
          <w:p w14:paraId="6B7F07C3" w14:textId="77777777" w:rsidR="00AD4F7C" w:rsidRPr="0098660A" w:rsidRDefault="00AD4F7C" w:rsidP="00AD4F7C">
            <w:pPr>
              <w:keepLines/>
              <w:jc w:val="center"/>
              <w:rPr>
                <w:rFonts w:ascii="Arial Narrow" w:hAnsi="Arial Narrow"/>
                <w:sz w:val="20"/>
                <w:szCs w:val="20"/>
              </w:rPr>
            </w:pPr>
            <w:r w:rsidRPr="0098660A">
              <w:rPr>
                <w:rFonts w:ascii="Arial Narrow" w:hAnsi="Arial Narrow"/>
                <w:sz w:val="20"/>
                <w:szCs w:val="20"/>
              </w:rPr>
              <w:t>0</w:t>
            </w:r>
          </w:p>
        </w:tc>
        <w:tc>
          <w:tcPr>
            <w:tcW w:w="1281" w:type="dxa"/>
            <w:vAlign w:val="center"/>
          </w:tcPr>
          <w:p w14:paraId="0359C445" w14:textId="52E407DD" w:rsidR="00AD4F7C" w:rsidRPr="0098660A" w:rsidRDefault="00AD4F7C" w:rsidP="00AD4F7C">
            <w:pPr>
              <w:keepLines/>
              <w:rPr>
                <w:rFonts w:ascii="Arial Narrow" w:hAnsi="Arial Narrow"/>
                <w:bCs/>
                <w:sz w:val="20"/>
                <w:szCs w:val="20"/>
              </w:rPr>
            </w:pPr>
            <w:proofErr w:type="spellStart"/>
            <w:r w:rsidRPr="0098660A">
              <w:rPr>
                <w:rFonts w:ascii="Arial Narrow" w:hAnsi="Arial Narrow"/>
                <w:bCs/>
                <w:sz w:val="20"/>
                <w:szCs w:val="20"/>
              </w:rPr>
              <w:t>Empaveli</w:t>
            </w:r>
            <w:proofErr w:type="spellEnd"/>
            <w:r w:rsidRPr="0098660A">
              <w:rPr>
                <w:rFonts w:ascii="Arial Narrow" w:hAnsi="Arial Narrow"/>
                <w:bCs/>
                <w:sz w:val="20"/>
                <w:szCs w:val="20"/>
              </w:rPr>
              <w:t>®</w:t>
            </w:r>
          </w:p>
        </w:tc>
      </w:tr>
      <w:bookmarkEnd w:id="10"/>
      <w:tr w:rsidR="00AD4F7C" w:rsidRPr="0098660A" w14:paraId="0CE626D7" w14:textId="77777777" w:rsidTr="000B68A2">
        <w:tblPrEx>
          <w:tblCellMar>
            <w:top w:w="15" w:type="dxa"/>
            <w:bottom w:w="15" w:type="dxa"/>
          </w:tblCellMar>
          <w:tblLook w:val="04A0" w:firstRow="1" w:lastRow="0" w:firstColumn="1" w:lastColumn="0" w:noHBand="0" w:noVBand="1"/>
        </w:tblPrEx>
        <w:trPr>
          <w:cantSplit/>
          <w:trHeight w:val="20"/>
        </w:trPr>
        <w:tc>
          <w:tcPr>
            <w:tcW w:w="8931" w:type="dxa"/>
            <w:gridSpan w:val="7"/>
          </w:tcPr>
          <w:p w14:paraId="424C870F" w14:textId="77777777" w:rsidR="00AD4F7C" w:rsidRPr="0098660A" w:rsidRDefault="00AD4F7C" w:rsidP="00DE6F46">
            <w:pPr>
              <w:pStyle w:val="TableText0"/>
            </w:pPr>
            <w:r w:rsidRPr="0098660A">
              <w:rPr>
                <w:b/>
              </w:rPr>
              <w:t>Category / Program</w:t>
            </w:r>
            <w:r w:rsidRPr="0098660A">
              <w:t>: Section 100 – Highly Specialised Drugs Program (Public/Private hospital)</w:t>
            </w:r>
          </w:p>
        </w:tc>
      </w:tr>
      <w:tr w:rsidR="00AD4F7C" w:rsidRPr="0098660A" w14:paraId="09E1BD43" w14:textId="77777777" w:rsidTr="000B68A2">
        <w:tblPrEx>
          <w:tblCellMar>
            <w:top w:w="15" w:type="dxa"/>
            <w:bottom w:w="15" w:type="dxa"/>
          </w:tblCellMar>
          <w:tblLook w:val="04A0" w:firstRow="1" w:lastRow="0" w:firstColumn="1" w:lastColumn="0" w:noHBand="0" w:noVBand="1"/>
        </w:tblPrEx>
        <w:trPr>
          <w:cantSplit/>
          <w:trHeight w:val="20"/>
        </w:trPr>
        <w:tc>
          <w:tcPr>
            <w:tcW w:w="8931" w:type="dxa"/>
            <w:gridSpan w:val="7"/>
          </w:tcPr>
          <w:p w14:paraId="746CB828" w14:textId="77777777" w:rsidR="00AD4F7C" w:rsidRPr="0098660A" w:rsidRDefault="00AD4F7C" w:rsidP="00DE6F46">
            <w:pPr>
              <w:pStyle w:val="TableText0"/>
            </w:pPr>
            <w:r w:rsidRPr="0098660A">
              <w:rPr>
                <w:b/>
              </w:rPr>
              <w:t>Prescriber type</w:t>
            </w:r>
            <w:r w:rsidRPr="0098660A">
              <w:t xml:space="preserve">: </w:t>
            </w:r>
            <w:r w:rsidRPr="0098660A">
              <w:fldChar w:fldCharType="begin">
                <w:ffData>
                  <w:name w:val="Check1"/>
                  <w:enabled/>
                  <w:calcOnExit w:val="0"/>
                  <w:checkBox>
                    <w:sizeAuto/>
                    <w:default w:val="0"/>
                  </w:checkBox>
                </w:ffData>
              </w:fldChar>
            </w:r>
            <w:r w:rsidRPr="0098660A">
              <w:instrText xml:space="preserve"> FORMCHECKBOX </w:instrText>
            </w:r>
            <w:r w:rsidRPr="0098660A">
              <w:fldChar w:fldCharType="separate"/>
            </w:r>
            <w:r w:rsidRPr="0098660A">
              <w:fldChar w:fldCharType="end"/>
            </w:r>
            <w:r w:rsidRPr="0098660A">
              <w:t xml:space="preserve">Dental </w:t>
            </w:r>
            <w:r w:rsidRPr="0098660A">
              <w:fldChar w:fldCharType="begin">
                <w:ffData>
                  <w:name w:val="Check5"/>
                  <w:enabled/>
                  <w:calcOnExit w:val="0"/>
                  <w:checkBox>
                    <w:sizeAuto/>
                    <w:default w:val="1"/>
                  </w:checkBox>
                </w:ffData>
              </w:fldChar>
            </w:r>
            <w:r w:rsidRPr="0098660A">
              <w:instrText xml:space="preserve"> FORMCHECKBOX </w:instrText>
            </w:r>
            <w:r w:rsidRPr="0098660A">
              <w:fldChar w:fldCharType="separate"/>
            </w:r>
            <w:r w:rsidRPr="0098660A">
              <w:fldChar w:fldCharType="end"/>
            </w:r>
            <w:r w:rsidRPr="0098660A">
              <w:t xml:space="preserve">Medical Practitioners </w:t>
            </w:r>
            <w:r w:rsidRPr="0098660A">
              <w:fldChar w:fldCharType="begin">
                <w:ffData>
                  <w:name w:val="Check3"/>
                  <w:enabled/>
                  <w:calcOnExit w:val="0"/>
                  <w:checkBox>
                    <w:sizeAuto/>
                    <w:default w:val="0"/>
                  </w:checkBox>
                </w:ffData>
              </w:fldChar>
            </w:r>
            <w:r w:rsidRPr="0098660A">
              <w:instrText xml:space="preserve"> FORMCHECKBOX </w:instrText>
            </w:r>
            <w:r w:rsidRPr="0098660A">
              <w:fldChar w:fldCharType="separate"/>
            </w:r>
            <w:r w:rsidRPr="0098660A">
              <w:fldChar w:fldCharType="end"/>
            </w:r>
            <w:r w:rsidRPr="0098660A">
              <w:t xml:space="preserve">Nurse practitioners </w:t>
            </w:r>
            <w:r w:rsidRPr="0098660A">
              <w:fldChar w:fldCharType="begin">
                <w:ffData>
                  <w:name w:val=""/>
                  <w:enabled/>
                  <w:calcOnExit w:val="0"/>
                  <w:checkBox>
                    <w:sizeAuto/>
                    <w:default w:val="0"/>
                  </w:checkBox>
                </w:ffData>
              </w:fldChar>
            </w:r>
            <w:r w:rsidRPr="0098660A">
              <w:instrText xml:space="preserve"> FORMCHECKBOX </w:instrText>
            </w:r>
            <w:r w:rsidRPr="0098660A">
              <w:fldChar w:fldCharType="separate"/>
            </w:r>
            <w:r w:rsidRPr="0098660A">
              <w:fldChar w:fldCharType="end"/>
            </w:r>
            <w:r w:rsidRPr="0098660A">
              <w:t xml:space="preserve">Optometrists </w:t>
            </w:r>
            <w:r w:rsidRPr="0098660A">
              <w:fldChar w:fldCharType="begin">
                <w:ffData>
                  <w:name w:val="Check5"/>
                  <w:enabled/>
                  <w:calcOnExit w:val="0"/>
                  <w:checkBox>
                    <w:sizeAuto/>
                    <w:default w:val="0"/>
                  </w:checkBox>
                </w:ffData>
              </w:fldChar>
            </w:r>
            <w:r w:rsidRPr="0098660A">
              <w:instrText xml:space="preserve"> FORMCHECKBOX </w:instrText>
            </w:r>
            <w:r w:rsidRPr="0098660A">
              <w:fldChar w:fldCharType="separate"/>
            </w:r>
            <w:r w:rsidRPr="0098660A">
              <w:fldChar w:fldCharType="end"/>
            </w:r>
            <w:r w:rsidRPr="0098660A">
              <w:t>Midwives</w:t>
            </w:r>
          </w:p>
        </w:tc>
      </w:tr>
      <w:tr w:rsidR="00AD4F7C" w:rsidRPr="0098660A" w14:paraId="40712F87" w14:textId="77777777" w:rsidTr="000B68A2">
        <w:tblPrEx>
          <w:tblCellMar>
            <w:top w:w="15" w:type="dxa"/>
            <w:bottom w:w="15" w:type="dxa"/>
          </w:tblCellMar>
          <w:tblLook w:val="04A0" w:firstRow="1" w:lastRow="0" w:firstColumn="1" w:lastColumn="0" w:noHBand="0" w:noVBand="1"/>
        </w:tblPrEx>
        <w:trPr>
          <w:cantSplit/>
          <w:trHeight w:val="20"/>
        </w:trPr>
        <w:tc>
          <w:tcPr>
            <w:tcW w:w="8931" w:type="dxa"/>
            <w:gridSpan w:val="7"/>
          </w:tcPr>
          <w:p w14:paraId="34266804" w14:textId="77777777" w:rsidR="00AD4F7C" w:rsidRPr="0098660A" w:rsidRDefault="00AD4F7C" w:rsidP="00DE6F46">
            <w:pPr>
              <w:pStyle w:val="TableText0"/>
            </w:pPr>
            <w:r w:rsidRPr="0098660A">
              <w:rPr>
                <w:b/>
              </w:rPr>
              <w:t>Restriction type</w:t>
            </w:r>
            <w:r w:rsidRPr="0098660A">
              <w:t>:</w:t>
            </w:r>
            <w:r w:rsidRPr="0098660A">
              <w:rPr>
                <w:color w:val="0066FF"/>
              </w:rPr>
              <w:br/>
            </w:r>
            <w:r w:rsidRPr="0098660A">
              <w:fldChar w:fldCharType="begin">
                <w:ffData>
                  <w:name w:val="Check1"/>
                  <w:enabled/>
                  <w:calcOnExit w:val="0"/>
                  <w:checkBox>
                    <w:sizeAuto/>
                    <w:default w:val="0"/>
                  </w:checkBox>
                </w:ffData>
              </w:fldChar>
            </w:r>
            <w:r w:rsidRPr="0098660A">
              <w:instrText xml:space="preserve"> FORMCHECKBOX </w:instrText>
            </w:r>
            <w:r w:rsidRPr="0098660A">
              <w:fldChar w:fldCharType="separate"/>
            </w:r>
            <w:r w:rsidRPr="0098660A">
              <w:fldChar w:fldCharType="end"/>
            </w:r>
            <w:r w:rsidRPr="0098660A">
              <w:t>Unrestricted benefit</w:t>
            </w:r>
            <w:r w:rsidRPr="0098660A">
              <w:br/>
            </w:r>
            <w:r w:rsidRPr="0098660A">
              <w:fldChar w:fldCharType="begin">
                <w:ffData>
                  <w:name w:val="Check1"/>
                  <w:enabled/>
                  <w:calcOnExit w:val="0"/>
                  <w:checkBox>
                    <w:sizeAuto/>
                    <w:default w:val="0"/>
                  </w:checkBox>
                </w:ffData>
              </w:fldChar>
            </w:r>
            <w:r w:rsidRPr="0098660A">
              <w:instrText xml:space="preserve"> FORMCHECKBOX </w:instrText>
            </w:r>
            <w:r w:rsidRPr="0098660A">
              <w:fldChar w:fldCharType="separate"/>
            </w:r>
            <w:r w:rsidRPr="0098660A">
              <w:fldChar w:fldCharType="end"/>
            </w:r>
            <w:r w:rsidRPr="0098660A">
              <w:t>Restricted benefit</w:t>
            </w:r>
            <w:r w:rsidRPr="0098660A">
              <w:br/>
            </w:r>
            <w:r w:rsidRPr="0098660A">
              <w:fldChar w:fldCharType="begin">
                <w:ffData>
                  <w:name w:val=""/>
                  <w:enabled/>
                  <w:calcOnExit w:val="0"/>
                  <w:checkBox>
                    <w:sizeAuto/>
                    <w:default w:val="0"/>
                  </w:checkBox>
                </w:ffData>
              </w:fldChar>
            </w:r>
            <w:r w:rsidRPr="0098660A">
              <w:instrText xml:space="preserve"> FORMCHECKBOX </w:instrText>
            </w:r>
            <w:r w:rsidRPr="0098660A">
              <w:fldChar w:fldCharType="separate"/>
            </w:r>
            <w:r w:rsidRPr="0098660A">
              <w:fldChar w:fldCharType="end"/>
            </w:r>
            <w:r w:rsidRPr="0098660A">
              <w:t xml:space="preserve">Authority Required (STREAMLINED) </w:t>
            </w:r>
            <w:r w:rsidRPr="0098660A">
              <w:br/>
            </w:r>
            <w:r w:rsidRPr="0098660A">
              <w:fldChar w:fldCharType="begin">
                <w:ffData>
                  <w:name w:val="Check3"/>
                  <w:enabled/>
                  <w:calcOnExit w:val="0"/>
                  <w:checkBox>
                    <w:sizeAuto/>
                    <w:default w:val="0"/>
                  </w:checkBox>
                </w:ffData>
              </w:fldChar>
            </w:r>
            <w:r w:rsidRPr="0098660A">
              <w:instrText xml:space="preserve"> FORMCHECKBOX </w:instrText>
            </w:r>
            <w:r w:rsidRPr="0098660A">
              <w:fldChar w:fldCharType="separate"/>
            </w:r>
            <w:r w:rsidRPr="0098660A">
              <w:fldChar w:fldCharType="end"/>
            </w:r>
            <w:r w:rsidRPr="0098660A">
              <w:t xml:space="preserve">Authority Required (telephone/online PBS Authorities system) </w:t>
            </w:r>
            <w:r w:rsidRPr="0098660A">
              <w:br/>
            </w:r>
            <w:r w:rsidRPr="0098660A">
              <w:fldChar w:fldCharType="begin">
                <w:ffData>
                  <w:name w:val="Check5"/>
                  <w:enabled/>
                  <w:calcOnExit w:val="0"/>
                  <w:checkBox>
                    <w:sizeAuto/>
                    <w:default w:val="1"/>
                  </w:checkBox>
                </w:ffData>
              </w:fldChar>
            </w:r>
            <w:r w:rsidRPr="0098660A">
              <w:instrText xml:space="preserve"> FORMCHECKBOX </w:instrText>
            </w:r>
            <w:r w:rsidRPr="0098660A">
              <w:fldChar w:fldCharType="separate"/>
            </w:r>
            <w:r w:rsidRPr="0098660A">
              <w:fldChar w:fldCharType="end"/>
            </w:r>
            <w:r w:rsidRPr="0098660A">
              <w:t>Authority Required - nonimmediate/delayed assessment by Services Australia (in-writing only via mail/postal service or electronic upload to Hobart; requires at least one concept ID to be marked as ‘FULL’ for full assessment by Services Australia)</w:t>
            </w:r>
          </w:p>
        </w:tc>
      </w:tr>
      <w:tr w:rsidR="00AD4F7C" w:rsidRPr="0098660A" w14:paraId="1A4888EE" w14:textId="77777777" w:rsidTr="000B68A2">
        <w:tblPrEx>
          <w:tblCellMar>
            <w:top w:w="15" w:type="dxa"/>
            <w:bottom w:w="15" w:type="dxa"/>
          </w:tblCellMar>
          <w:tblLook w:val="04A0" w:firstRow="1" w:lastRow="0" w:firstColumn="1" w:lastColumn="0" w:noHBand="0" w:noVBand="1"/>
        </w:tblPrEx>
        <w:trPr>
          <w:cantSplit/>
          <w:trHeight w:val="20"/>
        </w:trPr>
        <w:tc>
          <w:tcPr>
            <w:tcW w:w="8931" w:type="dxa"/>
            <w:gridSpan w:val="7"/>
            <w:vAlign w:val="center"/>
            <w:hideMark/>
          </w:tcPr>
          <w:p w14:paraId="51393239" w14:textId="77777777" w:rsidR="00AD4F7C" w:rsidRPr="0098660A" w:rsidRDefault="00AD4F7C" w:rsidP="00DE6F46">
            <w:pPr>
              <w:pStyle w:val="TableText0"/>
            </w:pPr>
            <w:r w:rsidRPr="0098660A">
              <w:rPr>
                <w:b/>
              </w:rPr>
              <w:t>Treatment Phase</w:t>
            </w:r>
            <w:r w:rsidRPr="0098660A">
              <w:t>: initial (complement inhibitor inexperienced)</w:t>
            </w:r>
          </w:p>
        </w:tc>
      </w:tr>
      <w:tr w:rsidR="00AD4F7C" w:rsidRPr="0098660A" w14:paraId="278B1866" w14:textId="77777777" w:rsidTr="000B68A2">
        <w:tblPrEx>
          <w:tblCellMar>
            <w:top w:w="15" w:type="dxa"/>
            <w:bottom w:w="15" w:type="dxa"/>
          </w:tblCellMar>
          <w:tblLook w:val="04A0" w:firstRow="1" w:lastRow="0" w:firstColumn="1" w:lastColumn="0" w:noHBand="0" w:noVBand="1"/>
        </w:tblPrEx>
        <w:trPr>
          <w:cantSplit/>
          <w:trHeight w:val="998"/>
        </w:trPr>
        <w:tc>
          <w:tcPr>
            <w:tcW w:w="8931" w:type="dxa"/>
            <w:gridSpan w:val="7"/>
            <w:hideMark/>
          </w:tcPr>
          <w:p w14:paraId="6BB9CC3A" w14:textId="77777777" w:rsidR="00AD4F7C" w:rsidRPr="0098660A" w:rsidRDefault="00AD4F7C" w:rsidP="00DE6F46">
            <w:pPr>
              <w:pStyle w:val="TableText0"/>
            </w:pPr>
            <w:r w:rsidRPr="0098660A">
              <w:t>Clinical criteria:</w:t>
            </w:r>
          </w:p>
          <w:p w14:paraId="51DCCEFF" w14:textId="77777777" w:rsidR="00AD4F7C" w:rsidRPr="0098660A" w:rsidRDefault="00AD4F7C" w:rsidP="00DE6F46">
            <w:pPr>
              <w:pStyle w:val="TableText0"/>
            </w:pPr>
            <w:r w:rsidRPr="0098660A">
              <w:t>Patient must not have received prior treatment with this drug for this condition,</w:t>
            </w:r>
          </w:p>
          <w:p w14:paraId="1EFDE547" w14:textId="77777777" w:rsidR="00AD4F7C" w:rsidRPr="0098660A" w:rsidRDefault="00AD4F7C" w:rsidP="00DE6F46">
            <w:pPr>
              <w:pStyle w:val="TableText0"/>
            </w:pPr>
            <w:r w:rsidRPr="0098660A">
              <w:t>AND</w:t>
            </w:r>
          </w:p>
          <w:p w14:paraId="0D51AA11" w14:textId="77777777" w:rsidR="00AD4F7C" w:rsidRPr="0098660A" w:rsidRDefault="00AD4F7C" w:rsidP="00DE6F46">
            <w:pPr>
              <w:pStyle w:val="TableText0"/>
            </w:pPr>
            <w:r w:rsidRPr="0098660A">
              <w:t>Patient must have PNH granulocyte clone size equal to or greater than 10% within the last 3 months,</w:t>
            </w:r>
          </w:p>
          <w:p w14:paraId="10F5F66A" w14:textId="77777777" w:rsidR="00AD4F7C" w:rsidRPr="0098660A" w:rsidRDefault="00AD4F7C" w:rsidP="00DE6F46">
            <w:pPr>
              <w:pStyle w:val="TableText0"/>
            </w:pPr>
            <w:r w:rsidRPr="0098660A">
              <w:t>AND</w:t>
            </w:r>
          </w:p>
          <w:p w14:paraId="46FB08BD" w14:textId="77777777" w:rsidR="00AD4F7C" w:rsidRPr="0098660A" w:rsidRDefault="00AD4F7C" w:rsidP="00DE6F46">
            <w:pPr>
              <w:pStyle w:val="TableText0"/>
            </w:pPr>
            <w:r w:rsidRPr="0098660A">
              <w:t>Patient must not have received treatment with a complement inhibitor within 3 months prior to initiating treatment with this drug.</w:t>
            </w:r>
          </w:p>
        </w:tc>
      </w:tr>
      <w:tr w:rsidR="00AD4F7C" w:rsidRPr="0098660A" w14:paraId="3FF186A4" w14:textId="77777777" w:rsidTr="000B68A2">
        <w:tblPrEx>
          <w:tblCellMar>
            <w:top w:w="15" w:type="dxa"/>
            <w:bottom w:w="15" w:type="dxa"/>
          </w:tblCellMar>
          <w:tblLook w:val="04A0" w:firstRow="1" w:lastRow="0" w:firstColumn="1" w:lastColumn="0" w:noHBand="0" w:noVBand="1"/>
        </w:tblPrEx>
        <w:trPr>
          <w:cantSplit/>
          <w:trHeight w:val="499"/>
        </w:trPr>
        <w:tc>
          <w:tcPr>
            <w:tcW w:w="8931" w:type="dxa"/>
            <w:gridSpan w:val="7"/>
            <w:vAlign w:val="center"/>
            <w:hideMark/>
          </w:tcPr>
          <w:p w14:paraId="1E33BD73" w14:textId="77777777" w:rsidR="00AD4F7C" w:rsidRPr="0098660A" w:rsidRDefault="00AD4F7C" w:rsidP="00DE6F46">
            <w:pPr>
              <w:pStyle w:val="TableText0"/>
            </w:pPr>
            <w:r w:rsidRPr="0098660A">
              <w:t xml:space="preserve">Treatment criteria: </w:t>
            </w:r>
          </w:p>
          <w:p w14:paraId="41F7A7B0" w14:textId="77777777" w:rsidR="00AD4F7C" w:rsidRPr="0098660A" w:rsidRDefault="00AD4F7C" w:rsidP="00DE6F46">
            <w:pPr>
              <w:pStyle w:val="TableText0"/>
            </w:pPr>
            <w:r w:rsidRPr="0098660A">
              <w:t xml:space="preserve">Must be treated by a haematologist, </w:t>
            </w:r>
          </w:p>
          <w:p w14:paraId="54E8ECA5" w14:textId="77777777" w:rsidR="00AD4F7C" w:rsidRPr="0098660A" w:rsidRDefault="00AD4F7C" w:rsidP="00DE6F46">
            <w:pPr>
              <w:pStyle w:val="TableText0"/>
            </w:pPr>
            <w:r w:rsidRPr="0098660A">
              <w:t>OR</w:t>
            </w:r>
          </w:p>
          <w:p w14:paraId="06CB4A64" w14:textId="77777777" w:rsidR="00AD4F7C" w:rsidRPr="0098660A" w:rsidRDefault="00AD4F7C" w:rsidP="00DE6F46">
            <w:pPr>
              <w:pStyle w:val="TableText0"/>
            </w:pPr>
            <w:r w:rsidRPr="0098660A">
              <w:t>Must be treated by a non-specialist medical physician who has consulted a haematologist on the patient’s drug treatment details.</w:t>
            </w:r>
          </w:p>
        </w:tc>
      </w:tr>
      <w:tr w:rsidR="00AD4F7C" w:rsidRPr="0098660A" w14:paraId="02DB7BE9" w14:textId="77777777" w:rsidTr="000B68A2">
        <w:tblPrEx>
          <w:tblCellMar>
            <w:top w:w="15" w:type="dxa"/>
            <w:bottom w:w="15" w:type="dxa"/>
          </w:tblCellMar>
          <w:tblLook w:val="04A0" w:firstRow="1" w:lastRow="0" w:firstColumn="1" w:lastColumn="0" w:noHBand="0" w:noVBand="1"/>
        </w:tblPrEx>
        <w:trPr>
          <w:cantSplit/>
          <w:trHeight w:val="20"/>
        </w:trPr>
        <w:tc>
          <w:tcPr>
            <w:tcW w:w="8931" w:type="dxa"/>
            <w:gridSpan w:val="7"/>
            <w:vAlign w:val="center"/>
            <w:hideMark/>
          </w:tcPr>
          <w:p w14:paraId="2FC710C7" w14:textId="77777777" w:rsidR="00AD4F7C" w:rsidRPr="0098660A" w:rsidRDefault="00AD4F7C" w:rsidP="00DE6F46">
            <w:pPr>
              <w:pStyle w:val="TableText0"/>
            </w:pPr>
            <w:r w:rsidRPr="0098660A">
              <w:rPr>
                <w:b/>
              </w:rPr>
              <w:t>Population criteria</w:t>
            </w:r>
            <w:r w:rsidRPr="0098660A">
              <w:t>: Patient must be at least 18 years of age</w:t>
            </w:r>
          </w:p>
        </w:tc>
      </w:tr>
      <w:tr w:rsidR="00AD4F7C" w:rsidRPr="0098660A" w14:paraId="794646A4" w14:textId="77777777" w:rsidTr="000B68A2">
        <w:tblPrEx>
          <w:tblCellMar>
            <w:top w:w="15" w:type="dxa"/>
            <w:bottom w:w="15" w:type="dxa"/>
          </w:tblCellMar>
          <w:tblLook w:val="04A0" w:firstRow="1" w:lastRow="0" w:firstColumn="1" w:lastColumn="0" w:noHBand="0" w:noVBand="1"/>
        </w:tblPrEx>
        <w:trPr>
          <w:cantSplit/>
          <w:trHeight w:val="20"/>
        </w:trPr>
        <w:tc>
          <w:tcPr>
            <w:tcW w:w="8931" w:type="dxa"/>
            <w:gridSpan w:val="7"/>
            <w:vAlign w:val="center"/>
            <w:hideMark/>
          </w:tcPr>
          <w:p w14:paraId="392D566A" w14:textId="77777777" w:rsidR="00AD4F7C" w:rsidRPr="0098660A" w:rsidRDefault="00AD4F7C" w:rsidP="00DE6F46">
            <w:pPr>
              <w:pStyle w:val="TableText0"/>
            </w:pPr>
            <w:r w:rsidRPr="0098660A">
              <w:t xml:space="preserve">Caution: </w:t>
            </w:r>
          </w:p>
          <w:p w14:paraId="1B58DFE7" w14:textId="77777777" w:rsidR="00AD4F7C" w:rsidRPr="0098660A" w:rsidRDefault="00AD4F7C" w:rsidP="00DE6F46">
            <w:pPr>
              <w:pStyle w:val="TableText0"/>
            </w:pPr>
            <w:r w:rsidRPr="0098660A">
              <w:t>This drug increases the risk of encapsulated bacterial infections.</w:t>
            </w:r>
          </w:p>
          <w:p w14:paraId="3B925EA9" w14:textId="77777777" w:rsidR="00AD4F7C" w:rsidRPr="0098660A" w:rsidRDefault="00AD4F7C" w:rsidP="00DE6F46">
            <w:pPr>
              <w:pStyle w:val="TableText0"/>
            </w:pPr>
            <w:r w:rsidRPr="0098660A">
              <w:t>Consult the approved PI for information about vaccination against meningococcal, pneumococcal and Haemophilus influenzae type B (Hib) infection.</w:t>
            </w:r>
          </w:p>
        </w:tc>
      </w:tr>
    </w:tbl>
    <w:p w14:paraId="673E3D77" w14:textId="77777777" w:rsidR="0032788C" w:rsidRPr="0098660A" w:rsidRDefault="0032788C" w:rsidP="0032788C">
      <w:pPr>
        <w:pStyle w:val="FooterTableFigure"/>
      </w:pPr>
      <w:r w:rsidRPr="0098660A">
        <w:t>Source: Table 1-10, pp28-29 of the submission</w:t>
      </w:r>
    </w:p>
    <w:p w14:paraId="59C8DC1D" w14:textId="2D995D75" w:rsidR="0032788C" w:rsidRPr="0098660A" w:rsidRDefault="0032788C" w:rsidP="0032788C">
      <w:pPr>
        <w:pStyle w:val="FooterTableFigure"/>
      </w:pPr>
      <w:r w:rsidRPr="0098660A">
        <w:t>PNH = paroxysmal nocturnal haematuria</w:t>
      </w:r>
    </w:p>
    <w:p w14:paraId="1FA8A36F" w14:textId="42EC5273" w:rsidR="00024D7E" w:rsidRPr="0098660A" w:rsidRDefault="00024D7E" w:rsidP="00024D7E">
      <w:pPr>
        <w:pStyle w:val="FooterTableFigure"/>
        <w:spacing w:after="0"/>
      </w:pPr>
      <w:proofErr w:type="spellStart"/>
      <w:r w:rsidRPr="0098660A">
        <w:rPr>
          <w:vertAlign w:val="superscript"/>
        </w:rPr>
        <w:t>a</w:t>
      </w:r>
      <w:proofErr w:type="spellEnd"/>
      <w:r w:rsidRPr="0098660A">
        <w:rPr>
          <w:vertAlign w:val="superscript"/>
        </w:rPr>
        <w:t xml:space="preserve"> </w:t>
      </w:r>
      <w:r w:rsidRPr="0098660A">
        <w:t>The published dispensed price in a private hospital setting has been updated using the current markup and dispensing fee.</w:t>
      </w:r>
    </w:p>
    <w:p w14:paraId="5F082011" w14:textId="0A19A5BD" w:rsidR="0032788C" w:rsidRPr="0098660A" w:rsidRDefault="00024D7E" w:rsidP="0037472F">
      <w:pPr>
        <w:pStyle w:val="FooterTableFigure"/>
      </w:pPr>
      <w:r w:rsidRPr="0098660A">
        <w:rPr>
          <w:vertAlign w:val="superscript"/>
        </w:rPr>
        <w:lastRenderedPageBreak/>
        <w:t xml:space="preserve">b </w:t>
      </w:r>
      <w:r w:rsidRPr="0098660A">
        <w:t>The sponsor request</w:t>
      </w:r>
      <w:r w:rsidR="00D04605" w:rsidRPr="0098660A">
        <w:t>ed</w:t>
      </w:r>
      <w:r w:rsidRPr="0098660A">
        <w:t xml:space="preserve"> the same effective price for pegcetacoplan as it is currently listed on the PBS. The effective dispensed price in a private hospital setting has been updated using the current markup and dispensing fee.</w:t>
      </w:r>
    </w:p>
    <w:p w14:paraId="5B07BB79" w14:textId="202B8FA7" w:rsidR="00AD4F7C" w:rsidRPr="0098660A" w:rsidRDefault="00AD4F7C" w:rsidP="00AD4F7C">
      <w:pPr>
        <w:spacing w:before="60"/>
        <w:rPr>
          <w:rFonts w:ascii="Arial Narrow" w:eastAsiaTheme="minorHAnsi" w:hAnsi="Arial Narrow" w:cstheme="minorBidi"/>
          <w:bCs/>
          <w:sz w:val="20"/>
          <w:szCs w:val="20"/>
        </w:rPr>
      </w:pPr>
      <w:bookmarkStart w:id="11" w:name="_Hlk187760764"/>
      <w:r w:rsidRPr="0098660A">
        <w:rPr>
          <w:rFonts w:ascii="Arial Narrow" w:eastAsiaTheme="minorHAnsi" w:hAnsi="Arial Narrow" w:cstheme="minorBidi"/>
          <w:b/>
          <w:bCs/>
          <w:sz w:val="20"/>
          <w:szCs w:val="20"/>
        </w:rPr>
        <w:t>Requested listing – initiating in complement C5i-experienced patient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1309"/>
        <w:gridCol w:w="1310"/>
        <w:gridCol w:w="873"/>
        <w:gridCol w:w="872"/>
        <w:gridCol w:w="727"/>
        <w:gridCol w:w="1165"/>
      </w:tblGrid>
      <w:tr w:rsidR="0032788C" w:rsidRPr="0098660A" w14:paraId="3467842C" w14:textId="77777777" w:rsidTr="0032788C">
        <w:trPr>
          <w:cantSplit/>
          <w:trHeight w:val="20"/>
        </w:trPr>
        <w:tc>
          <w:tcPr>
            <w:tcW w:w="2764" w:type="dxa"/>
            <w:vAlign w:val="center"/>
          </w:tcPr>
          <w:p w14:paraId="52AFF5CF" w14:textId="77777777" w:rsidR="00AD4F7C" w:rsidRPr="0098660A" w:rsidRDefault="00AD4F7C">
            <w:pPr>
              <w:keepLines/>
              <w:ind w:left="-113"/>
              <w:rPr>
                <w:rFonts w:ascii="Arial Narrow" w:hAnsi="Arial Narrow"/>
                <w:b/>
                <w:bCs/>
                <w:sz w:val="20"/>
                <w:szCs w:val="20"/>
              </w:rPr>
            </w:pPr>
            <w:r w:rsidRPr="0098660A">
              <w:rPr>
                <w:rFonts w:ascii="Arial Narrow" w:hAnsi="Arial Narrow"/>
                <w:b/>
                <w:bCs/>
                <w:sz w:val="20"/>
                <w:szCs w:val="20"/>
              </w:rPr>
              <w:t>MEDICINAL PRODUCT</w:t>
            </w:r>
          </w:p>
          <w:p w14:paraId="4375F2C5" w14:textId="77777777" w:rsidR="00AD4F7C" w:rsidRPr="0098660A" w:rsidRDefault="00AD4F7C">
            <w:pPr>
              <w:keepLines/>
              <w:ind w:left="-113"/>
              <w:rPr>
                <w:rFonts w:ascii="Arial Narrow" w:hAnsi="Arial Narrow"/>
                <w:b/>
                <w:sz w:val="20"/>
                <w:szCs w:val="20"/>
              </w:rPr>
            </w:pPr>
            <w:r w:rsidRPr="0098660A">
              <w:rPr>
                <w:rFonts w:ascii="Arial Narrow" w:hAnsi="Arial Narrow"/>
                <w:b/>
                <w:bCs/>
                <w:sz w:val="20"/>
                <w:szCs w:val="20"/>
              </w:rPr>
              <w:t>medicinal product pack</w:t>
            </w:r>
          </w:p>
        </w:tc>
        <w:tc>
          <w:tcPr>
            <w:tcW w:w="1308" w:type="dxa"/>
            <w:vAlign w:val="center"/>
          </w:tcPr>
          <w:p w14:paraId="1EEF50FA" w14:textId="77777777" w:rsidR="00AD4F7C" w:rsidRPr="0098660A" w:rsidRDefault="00AD4F7C">
            <w:pPr>
              <w:widowControl w:val="0"/>
              <w:jc w:val="left"/>
              <w:rPr>
                <w:rFonts w:ascii="Arial Narrow" w:eastAsiaTheme="majorEastAsia" w:hAnsi="Arial Narrow" w:cstheme="majorBidi"/>
                <w:b/>
                <w:bCs/>
                <w:sz w:val="20"/>
                <w:szCs w:val="20"/>
              </w:rPr>
            </w:pPr>
            <w:r w:rsidRPr="0098660A">
              <w:rPr>
                <w:rFonts w:ascii="Arial Narrow" w:eastAsiaTheme="majorEastAsia" w:hAnsi="Arial Narrow" w:cstheme="majorBidi"/>
                <w:b/>
                <w:bCs/>
                <w:snapToGrid w:val="0"/>
                <w:sz w:val="20"/>
              </w:rPr>
              <w:t>Dispensed Price for Max. Qty (public)</w:t>
            </w:r>
          </w:p>
        </w:tc>
        <w:tc>
          <w:tcPr>
            <w:tcW w:w="1309" w:type="dxa"/>
          </w:tcPr>
          <w:p w14:paraId="5E023F64" w14:textId="77777777" w:rsidR="00AD4F7C" w:rsidRPr="0098660A" w:rsidRDefault="00AD4F7C">
            <w:pPr>
              <w:keepLines/>
              <w:jc w:val="center"/>
              <w:rPr>
                <w:rFonts w:ascii="Arial Narrow" w:hAnsi="Arial Narrow"/>
                <w:b/>
                <w:sz w:val="20"/>
                <w:szCs w:val="20"/>
              </w:rPr>
            </w:pPr>
            <w:r w:rsidRPr="0098660A">
              <w:rPr>
                <w:rFonts w:ascii="Arial Narrow" w:eastAsiaTheme="majorEastAsia" w:hAnsi="Arial Narrow" w:cstheme="majorBidi"/>
                <w:b/>
                <w:bCs/>
                <w:snapToGrid w:val="0"/>
                <w:sz w:val="20"/>
              </w:rPr>
              <w:t>Dispensed Price for Max. Qty (private)</w:t>
            </w:r>
          </w:p>
        </w:tc>
        <w:tc>
          <w:tcPr>
            <w:tcW w:w="873" w:type="dxa"/>
            <w:vAlign w:val="center"/>
          </w:tcPr>
          <w:p w14:paraId="1746BE7D" w14:textId="77777777" w:rsidR="00AD4F7C" w:rsidRPr="0098660A" w:rsidRDefault="00AD4F7C">
            <w:pPr>
              <w:keepLines/>
              <w:jc w:val="center"/>
              <w:rPr>
                <w:rFonts w:ascii="Arial Narrow" w:hAnsi="Arial Narrow"/>
                <w:b/>
                <w:sz w:val="20"/>
                <w:szCs w:val="20"/>
              </w:rPr>
            </w:pPr>
            <w:r w:rsidRPr="0098660A">
              <w:rPr>
                <w:rFonts w:ascii="Arial Narrow" w:hAnsi="Arial Narrow"/>
                <w:b/>
                <w:sz w:val="20"/>
                <w:szCs w:val="20"/>
              </w:rPr>
              <w:t>Max. qty packs</w:t>
            </w:r>
          </w:p>
        </w:tc>
        <w:tc>
          <w:tcPr>
            <w:tcW w:w="872" w:type="dxa"/>
            <w:vAlign w:val="center"/>
          </w:tcPr>
          <w:p w14:paraId="10068F1D" w14:textId="77777777" w:rsidR="00AD4F7C" w:rsidRPr="0098660A" w:rsidRDefault="00AD4F7C">
            <w:pPr>
              <w:keepLines/>
              <w:jc w:val="center"/>
              <w:rPr>
                <w:rFonts w:ascii="Arial Narrow" w:hAnsi="Arial Narrow"/>
                <w:b/>
                <w:sz w:val="20"/>
                <w:szCs w:val="20"/>
              </w:rPr>
            </w:pPr>
            <w:r w:rsidRPr="0098660A">
              <w:rPr>
                <w:rFonts w:ascii="Arial Narrow" w:hAnsi="Arial Narrow"/>
                <w:b/>
                <w:sz w:val="20"/>
                <w:szCs w:val="20"/>
              </w:rPr>
              <w:t>Max. qty units</w:t>
            </w:r>
          </w:p>
        </w:tc>
        <w:tc>
          <w:tcPr>
            <w:tcW w:w="727" w:type="dxa"/>
            <w:vAlign w:val="center"/>
          </w:tcPr>
          <w:p w14:paraId="66AD0CDF" w14:textId="77777777" w:rsidR="00AD4F7C" w:rsidRPr="0098660A" w:rsidRDefault="00AD4F7C">
            <w:pPr>
              <w:keepLines/>
              <w:jc w:val="center"/>
              <w:rPr>
                <w:rFonts w:ascii="Arial Narrow" w:hAnsi="Arial Narrow"/>
                <w:b/>
                <w:sz w:val="20"/>
                <w:szCs w:val="20"/>
              </w:rPr>
            </w:pPr>
            <w:r w:rsidRPr="0098660A">
              <w:rPr>
                <w:rFonts w:ascii="Arial Narrow" w:hAnsi="Arial Narrow"/>
                <w:b/>
                <w:sz w:val="20"/>
                <w:szCs w:val="20"/>
              </w:rPr>
              <w:t>№.of</w:t>
            </w:r>
          </w:p>
          <w:p w14:paraId="17D3AFD7" w14:textId="77777777" w:rsidR="00AD4F7C" w:rsidRPr="0098660A" w:rsidRDefault="00AD4F7C">
            <w:pPr>
              <w:keepLines/>
              <w:jc w:val="center"/>
              <w:rPr>
                <w:rFonts w:ascii="Arial Narrow" w:hAnsi="Arial Narrow"/>
                <w:b/>
                <w:sz w:val="20"/>
                <w:szCs w:val="20"/>
              </w:rPr>
            </w:pPr>
            <w:proofErr w:type="spellStart"/>
            <w:r w:rsidRPr="0098660A">
              <w:rPr>
                <w:rFonts w:ascii="Arial Narrow" w:hAnsi="Arial Narrow"/>
                <w:b/>
                <w:sz w:val="20"/>
                <w:szCs w:val="20"/>
              </w:rPr>
              <w:t>Rpts</w:t>
            </w:r>
            <w:proofErr w:type="spellEnd"/>
          </w:p>
        </w:tc>
        <w:tc>
          <w:tcPr>
            <w:tcW w:w="1164" w:type="dxa"/>
            <w:vAlign w:val="center"/>
          </w:tcPr>
          <w:p w14:paraId="2F0D8301" w14:textId="77777777" w:rsidR="00AD4F7C" w:rsidRPr="0098660A" w:rsidRDefault="00AD4F7C">
            <w:pPr>
              <w:keepLines/>
              <w:rPr>
                <w:rFonts w:ascii="Arial Narrow" w:hAnsi="Arial Narrow"/>
                <w:b/>
                <w:sz w:val="20"/>
                <w:szCs w:val="20"/>
              </w:rPr>
            </w:pPr>
            <w:r w:rsidRPr="0098660A">
              <w:rPr>
                <w:rFonts w:ascii="Arial Narrow" w:hAnsi="Arial Narrow"/>
                <w:b/>
                <w:sz w:val="20"/>
                <w:szCs w:val="20"/>
              </w:rPr>
              <w:t>Available brands</w:t>
            </w:r>
          </w:p>
        </w:tc>
      </w:tr>
      <w:tr w:rsidR="0032788C" w:rsidRPr="0098660A" w14:paraId="7F436496" w14:textId="77777777" w:rsidTr="0032788C">
        <w:trPr>
          <w:cantSplit/>
          <w:trHeight w:val="435"/>
        </w:trPr>
        <w:tc>
          <w:tcPr>
            <w:tcW w:w="2764" w:type="dxa"/>
            <w:vAlign w:val="center"/>
          </w:tcPr>
          <w:p w14:paraId="0246586A" w14:textId="77777777" w:rsidR="00AD4F7C" w:rsidRPr="0098660A" w:rsidRDefault="00AD4F7C">
            <w:pPr>
              <w:keepLines/>
              <w:ind w:left="-113"/>
              <w:jc w:val="left"/>
              <w:rPr>
                <w:rFonts w:ascii="Arial Narrow" w:hAnsi="Arial Narrow"/>
                <w:color w:val="0066FF"/>
                <w:sz w:val="20"/>
                <w:szCs w:val="20"/>
              </w:rPr>
            </w:pPr>
            <w:r w:rsidRPr="0098660A">
              <w:rPr>
                <w:rFonts w:ascii="Arial Narrow" w:hAnsi="Arial Narrow"/>
                <w:color w:val="000000" w:themeColor="text1"/>
                <w:sz w:val="20"/>
                <w:szCs w:val="20"/>
              </w:rPr>
              <w:t>Pegcetacoplan; Classic PNH; Solution for subcutaneous infusion; 1,080 mg/20 mL; 20 mL</w:t>
            </w:r>
          </w:p>
        </w:tc>
        <w:tc>
          <w:tcPr>
            <w:tcW w:w="1308" w:type="dxa"/>
            <w:vAlign w:val="center"/>
          </w:tcPr>
          <w:p w14:paraId="709FD5E9" w14:textId="77777777" w:rsidR="00AD4F7C" w:rsidRPr="0098660A" w:rsidRDefault="00AD4F7C">
            <w:pPr>
              <w:widowControl w:val="0"/>
              <w:jc w:val="center"/>
              <w:rPr>
                <w:rFonts w:ascii="Arial Narrow" w:eastAsiaTheme="majorEastAsia" w:hAnsi="Arial Narrow" w:cstheme="majorBidi"/>
                <w:sz w:val="20"/>
                <w:szCs w:val="20"/>
              </w:rPr>
            </w:pPr>
            <w:r w:rsidRPr="0098660A">
              <w:rPr>
                <w:rFonts w:ascii="Arial Narrow" w:eastAsiaTheme="majorEastAsia" w:hAnsi="Arial Narrow" w:cstheme="majorBidi"/>
                <w:sz w:val="20"/>
                <w:szCs w:val="20"/>
              </w:rPr>
              <w:t>Published: $4,343.86</w:t>
            </w:r>
          </w:p>
          <w:p w14:paraId="5FBA9879" w14:textId="66CD601B" w:rsidR="00024D7E" w:rsidRPr="0098660A" w:rsidRDefault="00024D7E" w:rsidP="00024D7E">
            <w:pPr>
              <w:widowControl w:val="0"/>
              <w:jc w:val="center"/>
              <w:rPr>
                <w:rFonts w:ascii="Arial Narrow" w:eastAsiaTheme="majorEastAsia" w:hAnsi="Arial Narrow" w:cstheme="majorBidi"/>
                <w:sz w:val="20"/>
                <w:szCs w:val="20"/>
              </w:rPr>
            </w:pPr>
            <w:r w:rsidRPr="0098660A">
              <w:rPr>
                <w:rFonts w:ascii="Arial Narrow" w:eastAsiaTheme="majorEastAsia" w:hAnsi="Arial Narrow" w:cstheme="majorBidi"/>
                <w:sz w:val="20"/>
                <w:szCs w:val="20"/>
              </w:rPr>
              <w:t>Effective: $</w:t>
            </w:r>
            <w:r w:rsidR="00910397" w:rsidRPr="008E0BAA">
              <w:rPr>
                <w:rFonts w:ascii="Arial Narrow" w:eastAsiaTheme="majorEastAsia" w:hAnsi="Arial Narrow" w:cstheme="majorBidi"/>
                <w:color w:val="000000"/>
                <w:spacing w:val="53"/>
                <w:sz w:val="20"/>
                <w:szCs w:val="20"/>
                <w:shd w:val="solid" w:color="000000" w:fill="000000"/>
                <w:fitText w:val="330" w:id="-663463166"/>
                <w14:textFill>
                  <w14:solidFill>
                    <w14:srgbClr w14:val="000000">
                      <w14:alpha w14:val="100000"/>
                    </w14:srgbClr>
                  </w14:solidFill>
                </w14:textFill>
              </w:rPr>
              <w:t>|||</w:t>
            </w:r>
            <w:r w:rsidR="00910397" w:rsidRPr="008E0BAA">
              <w:rPr>
                <w:rFonts w:ascii="Arial Narrow" w:eastAsiaTheme="majorEastAsia" w:hAnsi="Arial Narrow" w:cstheme="majorBidi"/>
                <w:color w:val="000000"/>
                <w:spacing w:val="1"/>
                <w:sz w:val="20"/>
                <w:szCs w:val="20"/>
                <w:shd w:val="solid" w:color="000000" w:fill="000000"/>
                <w:fitText w:val="330" w:id="-663463166"/>
                <w14:textFill>
                  <w14:solidFill>
                    <w14:srgbClr w14:val="000000">
                      <w14:alpha w14:val="100000"/>
                    </w14:srgbClr>
                  </w14:solidFill>
                </w14:textFill>
              </w:rPr>
              <w:t>|</w:t>
            </w:r>
            <w:r w:rsidRPr="0098660A">
              <w:rPr>
                <w:rFonts w:ascii="Arial Narrow" w:eastAsiaTheme="majorEastAsia" w:hAnsi="Arial Narrow" w:cstheme="majorBidi"/>
                <w:sz w:val="20"/>
                <w:szCs w:val="20"/>
                <w:vertAlign w:val="superscript"/>
              </w:rPr>
              <w:t>b</w:t>
            </w:r>
          </w:p>
        </w:tc>
        <w:tc>
          <w:tcPr>
            <w:tcW w:w="1309" w:type="dxa"/>
            <w:vAlign w:val="center"/>
          </w:tcPr>
          <w:p w14:paraId="14783C1E" w14:textId="77777777" w:rsidR="00AD4F7C" w:rsidRPr="0098660A" w:rsidRDefault="00AD4F7C">
            <w:pPr>
              <w:keepLines/>
              <w:jc w:val="center"/>
              <w:rPr>
                <w:rFonts w:ascii="Arial Narrow" w:hAnsi="Arial Narrow"/>
                <w:bCs/>
                <w:sz w:val="20"/>
                <w:szCs w:val="20"/>
              </w:rPr>
            </w:pPr>
            <w:r w:rsidRPr="0098660A">
              <w:rPr>
                <w:rFonts w:ascii="Arial Narrow" w:hAnsi="Arial Narrow"/>
                <w:bCs/>
                <w:sz w:val="20"/>
                <w:szCs w:val="20"/>
              </w:rPr>
              <w:t>Published:</w:t>
            </w:r>
          </w:p>
          <w:p w14:paraId="3E46124E" w14:textId="03FD79AA" w:rsidR="00024D7E" w:rsidRPr="0098660A" w:rsidRDefault="00AD4F7C" w:rsidP="00024D7E">
            <w:pPr>
              <w:widowControl w:val="0"/>
              <w:jc w:val="center"/>
              <w:rPr>
                <w:rFonts w:ascii="Arial Narrow" w:eastAsiaTheme="majorEastAsia" w:hAnsi="Arial Narrow" w:cstheme="majorBidi"/>
                <w:sz w:val="20"/>
                <w:szCs w:val="20"/>
              </w:rPr>
            </w:pPr>
            <w:r w:rsidRPr="0098660A">
              <w:rPr>
                <w:rFonts w:ascii="Arial Narrow" w:hAnsi="Arial Narrow"/>
                <w:sz w:val="20"/>
                <w:szCs w:val="20"/>
              </w:rPr>
              <w:t>$4,392.</w:t>
            </w:r>
            <w:r w:rsidR="00024D7E" w:rsidRPr="0098660A">
              <w:rPr>
                <w:rFonts w:ascii="Arial Narrow" w:hAnsi="Arial Narrow"/>
                <w:sz w:val="20"/>
                <w:szCs w:val="20"/>
              </w:rPr>
              <w:t>5</w:t>
            </w:r>
            <w:r w:rsidRPr="0098660A">
              <w:rPr>
                <w:rFonts w:ascii="Arial Narrow" w:hAnsi="Arial Narrow"/>
                <w:sz w:val="20"/>
                <w:szCs w:val="20"/>
              </w:rPr>
              <w:t>3</w:t>
            </w:r>
            <w:r w:rsidR="00024D7E" w:rsidRPr="0098660A">
              <w:rPr>
                <w:rFonts w:ascii="Arial Narrow" w:hAnsi="Arial Narrow"/>
                <w:sz w:val="20"/>
                <w:szCs w:val="20"/>
                <w:vertAlign w:val="superscript"/>
              </w:rPr>
              <w:t>a</w:t>
            </w:r>
          </w:p>
          <w:p w14:paraId="63A7136D" w14:textId="1FDA1B69" w:rsidR="00AD4F7C" w:rsidRPr="0098660A" w:rsidRDefault="00024D7E" w:rsidP="00024D7E">
            <w:pPr>
              <w:keepLines/>
              <w:jc w:val="center"/>
              <w:rPr>
                <w:rFonts w:ascii="Arial Narrow" w:hAnsi="Arial Narrow"/>
                <w:sz w:val="20"/>
                <w:szCs w:val="20"/>
                <w:vertAlign w:val="superscript"/>
              </w:rPr>
            </w:pPr>
            <w:r w:rsidRPr="0098660A">
              <w:rPr>
                <w:rFonts w:ascii="Arial Narrow" w:eastAsiaTheme="majorEastAsia" w:hAnsi="Arial Narrow" w:cstheme="majorBidi"/>
                <w:sz w:val="20"/>
                <w:szCs w:val="20"/>
              </w:rPr>
              <w:t>Effective: $</w:t>
            </w:r>
            <w:r w:rsidR="00910397" w:rsidRPr="008E0BAA">
              <w:rPr>
                <w:rFonts w:ascii="Arial Narrow" w:eastAsiaTheme="majorEastAsia" w:hAnsi="Arial Narrow" w:cstheme="majorBidi"/>
                <w:color w:val="000000"/>
                <w:spacing w:val="53"/>
                <w:sz w:val="20"/>
                <w:szCs w:val="20"/>
                <w:shd w:val="solid" w:color="000000" w:fill="000000"/>
                <w:fitText w:val="330" w:id="-663463165"/>
                <w14:textFill>
                  <w14:solidFill>
                    <w14:srgbClr w14:val="000000">
                      <w14:alpha w14:val="100000"/>
                    </w14:srgbClr>
                  </w14:solidFill>
                </w14:textFill>
              </w:rPr>
              <w:t>|||</w:t>
            </w:r>
            <w:r w:rsidR="00910397" w:rsidRPr="008E0BAA">
              <w:rPr>
                <w:rFonts w:ascii="Arial Narrow" w:eastAsiaTheme="majorEastAsia" w:hAnsi="Arial Narrow" w:cstheme="majorBidi"/>
                <w:color w:val="000000"/>
                <w:spacing w:val="1"/>
                <w:sz w:val="20"/>
                <w:szCs w:val="20"/>
                <w:shd w:val="solid" w:color="000000" w:fill="000000"/>
                <w:fitText w:val="330" w:id="-663463165"/>
                <w14:textFill>
                  <w14:solidFill>
                    <w14:srgbClr w14:val="000000">
                      <w14:alpha w14:val="100000"/>
                    </w14:srgbClr>
                  </w14:solidFill>
                </w14:textFill>
              </w:rPr>
              <w:t>|</w:t>
            </w:r>
            <w:r w:rsidRPr="0098660A">
              <w:rPr>
                <w:rFonts w:ascii="Arial Narrow" w:eastAsiaTheme="majorEastAsia" w:hAnsi="Arial Narrow" w:cstheme="majorBidi"/>
                <w:sz w:val="20"/>
                <w:szCs w:val="20"/>
                <w:vertAlign w:val="superscript"/>
              </w:rPr>
              <w:t>b</w:t>
            </w:r>
          </w:p>
        </w:tc>
        <w:tc>
          <w:tcPr>
            <w:tcW w:w="873" w:type="dxa"/>
            <w:vAlign w:val="center"/>
          </w:tcPr>
          <w:p w14:paraId="1BA13635" w14:textId="77777777" w:rsidR="00AD4F7C" w:rsidRPr="0098660A" w:rsidRDefault="00AD4F7C">
            <w:pPr>
              <w:keepLines/>
              <w:jc w:val="center"/>
              <w:rPr>
                <w:rFonts w:ascii="Arial Narrow" w:hAnsi="Arial Narrow"/>
                <w:sz w:val="20"/>
                <w:szCs w:val="20"/>
              </w:rPr>
            </w:pPr>
            <w:r w:rsidRPr="0098660A">
              <w:rPr>
                <w:rFonts w:ascii="Arial Narrow" w:hAnsi="Arial Narrow"/>
                <w:sz w:val="20"/>
                <w:szCs w:val="20"/>
              </w:rPr>
              <w:t>1</w:t>
            </w:r>
          </w:p>
        </w:tc>
        <w:tc>
          <w:tcPr>
            <w:tcW w:w="872" w:type="dxa"/>
            <w:vAlign w:val="center"/>
          </w:tcPr>
          <w:p w14:paraId="12A96187" w14:textId="77777777" w:rsidR="00AD4F7C" w:rsidRPr="0098660A" w:rsidRDefault="00AD4F7C">
            <w:pPr>
              <w:keepLines/>
              <w:jc w:val="center"/>
              <w:rPr>
                <w:rFonts w:ascii="Arial Narrow" w:hAnsi="Arial Narrow"/>
                <w:sz w:val="20"/>
                <w:szCs w:val="20"/>
              </w:rPr>
            </w:pPr>
            <w:r w:rsidRPr="0098660A">
              <w:rPr>
                <w:rFonts w:ascii="Arial Narrow" w:hAnsi="Arial Narrow"/>
                <w:sz w:val="20"/>
                <w:szCs w:val="20"/>
              </w:rPr>
              <w:t>1</w:t>
            </w:r>
          </w:p>
        </w:tc>
        <w:tc>
          <w:tcPr>
            <w:tcW w:w="727" w:type="dxa"/>
            <w:vAlign w:val="center"/>
          </w:tcPr>
          <w:p w14:paraId="070F3C75" w14:textId="77777777" w:rsidR="00AD4F7C" w:rsidRPr="0098660A" w:rsidRDefault="00AD4F7C">
            <w:pPr>
              <w:keepLines/>
              <w:jc w:val="center"/>
              <w:rPr>
                <w:rFonts w:ascii="Arial Narrow" w:hAnsi="Arial Narrow"/>
                <w:sz w:val="20"/>
                <w:szCs w:val="20"/>
              </w:rPr>
            </w:pPr>
            <w:r w:rsidRPr="0098660A">
              <w:rPr>
                <w:rFonts w:ascii="Arial Narrow" w:hAnsi="Arial Narrow"/>
                <w:sz w:val="20"/>
                <w:szCs w:val="20"/>
              </w:rPr>
              <w:t>0</w:t>
            </w:r>
          </w:p>
        </w:tc>
        <w:tc>
          <w:tcPr>
            <w:tcW w:w="1164" w:type="dxa"/>
            <w:vAlign w:val="center"/>
          </w:tcPr>
          <w:p w14:paraId="6E8F01C2" w14:textId="77777777" w:rsidR="00AD4F7C" w:rsidRPr="0098660A" w:rsidRDefault="00AD4F7C">
            <w:pPr>
              <w:keepLines/>
              <w:rPr>
                <w:rFonts w:ascii="Arial Narrow" w:hAnsi="Arial Narrow"/>
                <w:bCs/>
                <w:sz w:val="20"/>
                <w:szCs w:val="20"/>
              </w:rPr>
            </w:pPr>
            <w:proofErr w:type="spellStart"/>
            <w:r w:rsidRPr="0098660A">
              <w:rPr>
                <w:rFonts w:ascii="Arial Narrow" w:hAnsi="Arial Narrow"/>
                <w:bCs/>
                <w:sz w:val="20"/>
                <w:szCs w:val="20"/>
              </w:rPr>
              <w:t>Empaveli</w:t>
            </w:r>
            <w:proofErr w:type="spellEnd"/>
            <w:r w:rsidRPr="0098660A">
              <w:rPr>
                <w:rFonts w:ascii="Arial Narrow" w:hAnsi="Arial Narrow"/>
                <w:bCs/>
                <w:sz w:val="20"/>
                <w:szCs w:val="20"/>
              </w:rPr>
              <w:t>®</w:t>
            </w:r>
          </w:p>
        </w:tc>
      </w:tr>
      <w:bookmarkEnd w:id="11"/>
      <w:tr w:rsidR="00AD4F7C" w:rsidRPr="0098660A" w14:paraId="297274B7" w14:textId="77777777" w:rsidTr="0032788C">
        <w:tblPrEx>
          <w:tblCellMar>
            <w:top w:w="15" w:type="dxa"/>
            <w:bottom w:w="15" w:type="dxa"/>
          </w:tblCellMar>
          <w:tblLook w:val="04A0" w:firstRow="1" w:lastRow="0" w:firstColumn="1" w:lastColumn="0" w:noHBand="0" w:noVBand="1"/>
        </w:tblPrEx>
        <w:trPr>
          <w:cantSplit/>
          <w:trHeight w:val="20"/>
        </w:trPr>
        <w:tc>
          <w:tcPr>
            <w:tcW w:w="9017" w:type="dxa"/>
            <w:gridSpan w:val="7"/>
          </w:tcPr>
          <w:p w14:paraId="60293F68" w14:textId="77777777" w:rsidR="00AD4F7C" w:rsidRPr="0098660A" w:rsidRDefault="00AD4F7C" w:rsidP="00DE6F46">
            <w:pPr>
              <w:pStyle w:val="TableText0"/>
            </w:pPr>
            <w:r w:rsidRPr="0098660A">
              <w:rPr>
                <w:b/>
              </w:rPr>
              <w:t>Category / Program</w:t>
            </w:r>
            <w:r w:rsidRPr="0098660A">
              <w:t>: Section 100 – Highly Specialised Drugs Program (Public/Private hospital)</w:t>
            </w:r>
          </w:p>
        </w:tc>
      </w:tr>
      <w:tr w:rsidR="00AD4F7C" w:rsidRPr="0098660A" w14:paraId="065E02F8" w14:textId="77777777" w:rsidTr="0032788C">
        <w:tblPrEx>
          <w:tblCellMar>
            <w:top w:w="15" w:type="dxa"/>
            <w:bottom w:w="15" w:type="dxa"/>
          </w:tblCellMar>
          <w:tblLook w:val="04A0" w:firstRow="1" w:lastRow="0" w:firstColumn="1" w:lastColumn="0" w:noHBand="0" w:noVBand="1"/>
        </w:tblPrEx>
        <w:trPr>
          <w:cantSplit/>
          <w:trHeight w:val="20"/>
        </w:trPr>
        <w:tc>
          <w:tcPr>
            <w:tcW w:w="9017" w:type="dxa"/>
            <w:gridSpan w:val="7"/>
          </w:tcPr>
          <w:p w14:paraId="26F45498" w14:textId="77777777" w:rsidR="00AD4F7C" w:rsidRPr="0098660A" w:rsidRDefault="00AD4F7C" w:rsidP="00DE6F46">
            <w:pPr>
              <w:pStyle w:val="TableText0"/>
            </w:pPr>
            <w:r w:rsidRPr="0098660A">
              <w:rPr>
                <w:b/>
              </w:rPr>
              <w:t>Prescriber type</w:t>
            </w:r>
            <w:r w:rsidRPr="0098660A">
              <w:t xml:space="preserve">: </w:t>
            </w:r>
            <w:r w:rsidRPr="0098660A">
              <w:fldChar w:fldCharType="begin">
                <w:ffData>
                  <w:name w:val="Check1"/>
                  <w:enabled/>
                  <w:calcOnExit w:val="0"/>
                  <w:checkBox>
                    <w:sizeAuto/>
                    <w:default w:val="0"/>
                  </w:checkBox>
                </w:ffData>
              </w:fldChar>
            </w:r>
            <w:r w:rsidRPr="0098660A">
              <w:instrText xml:space="preserve"> FORMCHECKBOX </w:instrText>
            </w:r>
            <w:r w:rsidRPr="0098660A">
              <w:fldChar w:fldCharType="separate"/>
            </w:r>
            <w:r w:rsidRPr="0098660A">
              <w:fldChar w:fldCharType="end"/>
            </w:r>
            <w:r w:rsidRPr="0098660A">
              <w:t xml:space="preserve">Dental </w:t>
            </w:r>
            <w:r w:rsidRPr="0098660A">
              <w:fldChar w:fldCharType="begin">
                <w:ffData>
                  <w:name w:val="Check5"/>
                  <w:enabled/>
                  <w:calcOnExit w:val="0"/>
                  <w:checkBox>
                    <w:sizeAuto/>
                    <w:default w:val="1"/>
                  </w:checkBox>
                </w:ffData>
              </w:fldChar>
            </w:r>
            <w:r w:rsidRPr="0098660A">
              <w:instrText xml:space="preserve"> FORMCHECKBOX </w:instrText>
            </w:r>
            <w:r w:rsidRPr="0098660A">
              <w:fldChar w:fldCharType="separate"/>
            </w:r>
            <w:r w:rsidRPr="0098660A">
              <w:fldChar w:fldCharType="end"/>
            </w:r>
            <w:r w:rsidRPr="0098660A">
              <w:t xml:space="preserve">Medical Practitioners </w:t>
            </w:r>
            <w:r w:rsidRPr="0098660A">
              <w:fldChar w:fldCharType="begin">
                <w:ffData>
                  <w:name w:val="Check3"/>
                  <w:enabled/>
                  <w:calcOnExit w:val="0"/>
                  <w:checkBox>
                    <w:sizeAuto/>
                    <w:default w:val="0"/>
                  </w:checkBox>
                </w:ffData>
              </w:fldChar>
            </w:r>
            <w:r w:rsidRPr="0098660A">
              <w:instrText xml:space="preserve"> FORMCHECKBOX </w:instrText>
            </w:r>
            <w:r w:rsidRPr="0098660A">
              <w:fldChar w:fldCharType="separate"/>
            </w:r>
            <w:r w:rsidRPr="0098660A">
              <w:fldChar w:fldCharType="end"/>
            </w:r>
            <w:r w:rsidRPr="0098660A">
              <w:t xml:space="preserve">Nurse practitioners </w:t>
            </w:r>
            <w:r w:rsidRPr="0098660A">
              <w:fldChar w:fldCharType="begin">
                <w:ffData>
                  <w:name w:val=""/>
                  <w:enabled/>
                  <w:calcOnExit w:val="0"/>
                  <w:checkBox>
                    <w:sizeAuto/>
                    <w:default w:val="0"/>
                  </w:checkBox>
                </w:ffData>
              </w:fldChar>
            </w:r>
            <w:r w:rsidRPr="0098660A">
              <w:instrText xml:space="preserve"> FORMCHECKBOX </w:instrText>
            </w:r>
            <w:r w:rsidRPr="0098660A">
              <w:fldChar w:fldCharType="separate"/>
            </w:r>
            <w:r w:rsidRPr="0098660A">
              <w:fldChar w:fldCharType="end"/>
            </w:r>
            <w:r w:rsidRPr="0098660A">
              <w:t xml:space="preserve">Optometrists </w:t>
            </w:r>
            <w:r w:rsidRPr="0098660A">
              <w:fldChar w:fldCharType="begin">
                <w:ffData>
                  <w:name w:val="Check5"/>
                  <w:enabled/>
                  <w:calcOnExit w:val="0"/>
                  <w:checkBox>
                    <w:sizeAuto/>
                    <w:default w:val="0"/>
                  </w:checkBox>
                </w:ffData>
              </w:fldChar>
            </w:r>
            <w:r w:rsidRPr="0098660A">
              <w:instrText xml:space="preserve"> FORMCHECKBOX </w:instrText>
            </w:r>
            <w:r w:rsidRPr="0098660A">
              <w:fldChar w:fldCharType="separate"/>
            </w:r>
            <w:r w:rsidRPr="0098660A">
              <w:fldChar w:fldCharType="end"/>
            </w:r>
            <w:r w:rsidRPr="0098660A">
              <w:t>Midwives</w:t>
            </w:r>
          </w:p>
        </w:tc>
      </w:tr>
      <w:tr w:rsidR="00AD4F7C" w:rsidRPr="0098660A" w14:paraId="49268466" w14:textId="77777777" w:rsidTr="0032788C">
        <w:tblPrEx>
          <w:tblCellMar>
            <w:top w:w="15" w:type="dxa"/>
            <w:bottom w:w="15" w:type="dxa"/>
          </w:tblCellMar>
          <w:tblLook w:val="04A0" w:firstRow="1" w:lastRow="0" w:firstColumn="1" w:lastColumn="0" w:noHBand="0" w:noVBand="1"/>
        </w:tblPrEx>
        <w:trPr>
          <w:cantSplit/>
          <w:trHeight w:val="20"/>
        </w:trPr>
        <w:tc>
          <w:tcPr>
            <w:tcW w:w="9017" w:type="dxa"/>
            <w:gridSpan w:val="7"/>
          </w:tcPr>
          <w:p w14:paraId="5FA49CF6" w14:textId="77777777" w:rsidR="00AD4F7C" w:rsidRPr="0098660A" w:rsidRDefault="00AD4F7C" w:rsidP="00DE6F46">
            <w:pPr>
              <w:pStyle w:val="TableText0"/>
            </w:pPr>
            <w:r w:rsidRPr="0098660A">
              <w:rPr>
                <w:b/>
              </w:rPr>
              <w:t>Restriction type</w:t>
            </w:r>
            <w:r w:rsidRPr="0098660A">
              <w:t>:</w:t>
            </w:r>
            <w:r w:rsidRPr="0098660A">
              <w:rPr>
                <w:color w:val="0066FF"/>
              </w:rPr>
              <w:br/>
            </w:r>
            <w:r w:rsidRPr="0098660A">
              <w:fldChar w:fldCharType="begin">
                <w:ffData>
                  <w:name w:val="Check1"/>
                  <w:enabled/>
                  <w:calcOnExit w:val="0"/>
                  <w:checkBox>
                    <w:sizeAuto/>
                    <w:default w:val="0"/>
                  </w:checkBox>
                </w:ffData>
              </w:fldChar>
            </w:r>
            <w:r w:rsidRPr="0098660A">
              <w:instrText xml:space="preserve"> FORMCHECKBOX </w:instrText>
            </w:r>
            <w:r w:rsidRPr="0098660A">
              <w:fldChar w:fldCharType="separate"/>
            </w:r>
            <w:r w:rsidRPr="0098660A">
              <w:fldChar w:fldCharType="end"/>
            </w:r>
            <w:r w:rsidRPr="0098660A">
              <w:t>Unrestricted benefit</w:t>
            </w:r>
            <w:r w:rsidRPr="0098660A">
              <w:br/>
            </w:r>
            <w:r w:rsidRPr="0098660A">
              <w:fldChar w:fldCharType="begin">
                <w:ffData>
                  <w:name w:val="Check1"/>
                  <w:enabled/>
                  <w:calcOnExit w:val="0"/>
                  <w:checkBox>
                    <w:sizeAuto/>
                    <w:default w:val="0"/>
                  </w:checkBox>
                </w:ffData>
              </w:fldChar>
            </w:r>
            <w:r w:rsidRPr="0098660A">
              <w:instrText xml:space="preserve"> FORMCHECKBOX </w:instrText>
            </w:r>
            <w:r w:rsidRPr="0098660A">
              <w:fldChar w:fldCharType="separate"/>
            </w:r>
            <w:r w:rsidRPr="0098660A">
              <w:fldChar w:fldCharType="end"/>
            </w:r>
            <w:r w:rsidRPr="0098660A">
              <w:t>Restricted benefit</w:t>
            </w:r>
            <w:r w:rsidRPr="0098660A">
              <w:br/>
            </w:r>
            <w:r w:rsidRPr="0098660A">
              <w:fldChar w:fldCharType="begin">
                <w:ffData>
                  <w:name w:val=""/>
                  <w:enabled/>
                  <w:calcOnExit w:val="0"/>
                  <w:checkBox>
                    <w:sizeAuto/>
                    <w:default w:val="0"/>
                  </w:checkBox>
                </w:ffData>
              </w:fldChar>
            </w:r>
            <w:r w:rsidRPr="0098660A">
              <w:instrText xml:space="preserve"> FORMCHECKBOX </w:instrText>
            </w:r>
            <w:r w:rsidRPr="0098660A">
              <w:fldChar w:fldCharType="separate"/>
            </w:r>
            <w:r w:rsidRPr="0098660A">
              <w:fldChar w:fldCharType="end"/>
            </w:r>
            <w:r w:rsidRPr="0098660A">
              <w:t xml:space="preserve">Authority Required (STREAMLINED) </w:t>
            </w:r>
            <w:r w:rsidRPr="0098660A">
              <w:br/>
            </w:r>
            <w:r w:rsidRPr="0098660A">
              <w:fldChar w:fldCharType="begin">
                <w:ffData>
                  <w:name w:val="Check3"/>
                  <w:enabled/>
                  <w:calcOnExit w:val="0"/>
                  <w:checkBox>
                    <w:sizeAuto/>
                    <w:default w:val="0"/>
                  </w:checkBox>
                </w:ffData>
              </w:fldChar>
            </w:r>
            <w:r w:rsidRPr="0098660A">
              <w:instrText xml:space="preserve"> FORMCHECKBOX </w:instrText>
            </w:r>
            <w:r w:rsidRPr="0098660A">
              <w:fldChar w:fldCharType="separate"/>
            </w:r>
            <w:r w:rsidRPr="0098660A">
              <w:fldChar w:fldCharType="end"/>
            </w:r>
            <w:r w:rsidRPr="0098660A">
              <w:t xml:space="preserve">Authority Required (telephone/online PBS Authorities system) </w:t>
            </w:r>
            <w:r w:rsidRPr="0098660A">
              <w:br/>
            </w:r>
            <w:r w:rsidRPr="0098660A">
              <w:fldChar w:fldCharType="begin">
                <w:ffData>
                  <w:name w:val="Check5"/>
                  <w:enabled/>
                  <w:calcOnExit w:val="0"/>
                  <w:checkBox>
                    <w:sizeAuto/>
                    <w:default w:val="1"/>
                  </w:checkBox>
                </w:ffData>
              </w:fldChar>
            </w:r>
            <w:r w:rsidRPr="0098660A">
              <w:instrText xml:space="preserve"> FORMCHECKBOX </w:instrText>
            </w:r>
            <w:r w:rsidRPr="0098660A">
              <w:fldChar w:fldCharType="separate"/>
            </w:r>
            <w:r w:rsidRPr="0098660A">
              <w:fldChar w:fldCharType="end"/>
            </w:r>
            <w:r w:rsidRPr="0098660A">
              <w:t>Authority Required - nonimmediate/delayed assessment by Services Australia (in-writing only via mail/postal service or electronic upload to Hobart; requires at least one concept ID to be marked as ‘FULL’ for full assessment by Services Australia)</w:t>
            </w:r>
          </w:p>
        </w:tc>
      </w:tr>
      <w:tr w:rsidR="00AD4F7C" w:rsidRPr="0098660A" w14:paraId="7D9AD00C" w14:textId="77777777" w:rsidTr="0032788C">
        <w:tblPrEx>
          <w:tblCellMar>
            <w:top w:w="15" w:type="dxa"/>
            <w:bottom w:w="15" w:type="dxa"/>
          </w:tblCellMar>
          <w:tblLook w:val="04A0" w:firstRow="1" w:lastRow="0" w:firstColumn="1" w:lastColumn="0" w:noHBand="0" w:noVBand="1"/>
        </w:tblPrEx>
        <w:trPr>
          <w:cantSplit/>
          <w:trHeight w:val="20"/>
        </w:trPr>
        <w:tc>
          <w:tcPr>
            <w:tcW w:w="9017" w:type="dxa"/>
            <w:gridSpan w:val="7"/>
            <w:vAlign w:val="center"/>
            <w:hideMark/>
          </w:tcPr>
          <w:p w14:paraId="65B220A2" w14:textId="77777777" w:rsidR="00AD4F7C" w:rsidRPr="0098660A" w:rsidRDefault="00AD4F7C" w:rsidP="00DE6F46">
            <w:pPr>
              <w:pStyle w:val="TableText0"/>
            </w:pPr>
            <w:r w:rsidRPr="0098660A">
              <w:rPr>
                <w:b/>
              </w:rPr>
              <w:t>Treatment Phase</w:t>
            </w:r>
            <w:r w:rsidRPr="0098660A">
              <w:t>: initial (complement inhibitor experienced)</w:t>
            </w:r>
          </w:p>
        </w:tc>
      </w:tr>
      <w:tr w:rsidR="00AD4F7C" w:rsidRPr="0098660A" w14:paraId="2325C501" w14:textId="77777777" w:rsidTr="0032788C">
        <w:tblPrEx>
          <w:tblCellMar>
            <w:top w:w="15" w:type="dxa"/>
            <w:bottom w:w="15" w:type="dxa"/>
          </w:tblCellMar>
          <w:tblLook w:val="04A0" w:firstRow="1" w:lastRow="0" w:firstColumn="1" w:lastColumn="0" w:noHBand="0" w:noVBand="1"/>
        </w:tblPrEx>
        <w:trPr>
          <w:cantSplit/>
          <w:trHeight w:val="998"/>
        </w:trPr>
        <w:tc>
          <w:tcPr>
            <w:tcW w:w="9017" w:type="dxa"/>
            <w:gridSpan w:val="7"/>
            <w:hideMark/>
          </w:tcPr>
          <w:p w14:paraId="372C5D76" w14:textId="77777777" w:rsidR="00AD4F7C" w:rsidRPr="0098660A" w:rsidRDefault="00AD4F7C" w:rsidP="00DE6F46">
            <w:pPr>
              <w:pStyle w:val="TableText0"/>
            </w:pPr>
            <w:r w:rsidRPr="0098660A">
              <w:t>Clinical criteria:</w:t>
            </w:r>
          </w:p>
          <w:p w14:paraId="3C0A5082" w14:textId="77777777" w:rsidR="00AD4F7C" w:rsidRPr="0098660A" w:rsidRDefault="00AD4F7C" w:rsidP="00DE6F46">
            <w:pPr>
              <w:pStyle w:val="TableText0"/>
            </w:pPr>
            <w:r w:rsidRPr="0098660A">
              <w:t>Patient must not have received prior treatment with this drug for this condition,</w:t>
            </w:r>
          </w:p>
          <w:p w14:paraId="72BF607E" w14:textId="77777777" w:rsidR="00AD4F7C" w:rsidRPr="0098660A" w:rsidRDefault="00AD4F7C" w:rsidP="00DE6F46">
            <w:pPr>
              <w:pStyle w:val="TableText0"/>
            </w:pPr>
            <w:r w:rsidRPr="0098660A">
              <w:t>AND</w:t>
            </w:r>
          </w:p>
          <w:p w14:paraId="32E5B6BD" w14:textId="77777777" w:rsidR="00AD4F7C" w:rsidRPr="0098660A" w:rsidRDefault="00AD4F7C" w:rsidP="00DE6F46">
            <w:pPr>
              <w:pStyle w:val="TableText0"/>
            </w:pPr>
            <w:r w:rsidRPr="0098660A">
              <w:t>Patient must have PNH granulocyte clone size equal to or greater than 10% within the last 3 months,</w:t>
            </w:r>
          </w:p>
          <w:p w14:paraId="31A038F8" w14:textId="77777777" w:rsidR="00AD4F7C" w:rsidRPr="0098660A" w:rsidRDefault="00AD4F7C" w:rsidP="00DE6F46">
            <w:pPr>
              <w:pStyle w:val="TableText0"/>
            </w:pPr>
            <w:r w:rsidRPr="0098660A">
              <w:t>AND</w:t>
            </w:r>
          </w:p>
          <w:p w14:paraId="6AB6406F" w14:textId="77777777" w:rsidR="00AD4F7C" w:rsidRPr="0098660A" w:rsidRDefault="00AD4F7C" w:rsidP="00DE6F46">
            <w:pPr>
              <w:pStyle w:val="TableText0"/>
            </w:pPr>
            <w:r w:rsidRPr="0098660A">
              <w:t>Patient must have received treatment with at least one C5i for at least 3 months before initiating treatment with this drug unless intolerance of severity necessitating permanent treatment withdrawal had occurred,</w:t>
            </w:r>
          </w:p>
          <w:p w14:paraId="6CD2C0F5" w14:textId="77777777" w:rsidR="00AD4F7C" w:rsidRPr="0098660A" w:rsidRDefault="00AD4F7C" w:rsidP="00DE6F46">
            <w:pPr>
              <w:pStyle w:val="TableText0"/>
            </w:pPr>
            <w:r w:rsidRPr="0098660A">
              <w:t>AND</w:t>
            </w:r>
          </w:p>
          <w:p w14:paraId="6C4160A7" w14:textId="77777777" w:rsidR="00AD4F7C" w:rsidRPr="0098660A" w:rsidRDefault="00AD4F7C" w:rsidP="00DE6F46">
            <w:pPr>
              <w:pStyle w:val="TableText0"/>
            </w:pPr>
            <w:r w:rsidRPr="0098660A">
              <w:t xml:space="preserve">The treatment must be in combination with one PBS-subsidised C5 inhibitor for a period of 4 weeks during initiation of therapy. </w:t>
            </w:r>
          </w:p>
        </w:tc>
      </w:tr>
      <w:tr w:rsidR="00AD4F7C" w:rsidRPr="0098660A" w14:paraId="562FFF0B" w14:textId="77777777" w:rsidTr="0032788C">
        <w:tblPrEx>
          <w:tblCellMar>
            <w:top w:w="15" w:type="dxa"/>
            <w:bottom w:w="15" w:type="dxa"/>
          </w:tblCellMar>
          <w:tblLook w:val="04A0" w:firstRow="1" w:lastRow="0" w:firstColumn="1" w:lastColumn="0" w:noHBand="0" w:noVBand="1"/>
        </w:tblPrEx>
        <w:trPr>
          <w:cantSplit/>
          <w:trHeight w:val="499"/>
        </w:trPr>
        <w:tc>
          <w:tcPr>
            <w:tcW w:w="9017" w:type="dxa"/>
            <w:gridSpan w:val="7"/>
            <w:vAlign w:val="center"/>
            <w:hideMark/>
          </w:tcPr>
          <w:p w14:paraId="7B038536" w14:textId="77777777" w:rsidR="00AD4F7C" w:rsidRPr="0098660A" w:rsidRDefault="00AD4F7C" w:rsidP="00DE6F46">
            <w:pPr>
              <w:pStyle w:val="TableText0"/>
            </w:pPr>
            <w:r w:rsidRPr="0098660A">
              <w:t xml:space="preserve">Treatment criteria: </w:t>
            </w:r>
          </w:p>
          <w:p w14:paraId="511A5E41" w14:textId="77777777" w:rsidR="00AD4F7C" w:rsidRPr="0098660A" w:rsidRDefault="00AD4F7C" w:rsidP="00DE6F46">
            <w:pPr>
              <w:pStyle w:val="TableText0"/>
            </w:pPr>
            <w:r w:rsidRPr="0098660A">
              <w:t xml:space="preserve">Must be treated by a haematologist, </w:t>
            </w:r>
          </w:p>
          <w:p w14:paraId="7B9EC458" w14:textId="77777777" w:rsidR="00AD4F7C" w:rsidRPr="0098660A" w:rsidRDefault="00AD4F7C" w:rsidP="00DE6F46">
            <w:pPr>
              <w:pStyle w:val="TableText0"/>
            </w:pPr>
            <w:r w:rsidRPr="0098660A">
              <w:t>OR</w:t>
            </w:r>
          </w:p>
          <w:p w14:paraId="14DF50EB" w14:textId="77777777" w:rsidR="00AD4F7C" w:rsidRPr="0098660A" w:rsidRDefault="00AD4F7C" w:rsidP="00DE6F46">
            <w:pPr>
              <w:pStyle w:val="TableText0"/>
            </w:pPr>
            <w:r w:rsidRPr="0098660A">
              <w:t>Must be treated by a non-specialist medical physician who has consulted a haematologist on the patient’s drug treatment details.</w:t>
            </w:r>
          </w:p>
        </w:tc>
      </w:tr>
      <w:tr w:rsidR="00AD4F7C" w:rsidRPr="0098660A" w14:paraId="7200E021" w14:textId="77777777" w:rsidTr="0032788C">
        <w:tblPrEx>
          <w:tblCellMar>
            <w:top w:w="15" w:type="dxa"/>
            <w:bottom w:w="15" w:type="dxa"/>
          </w:tblCellMar>
          <w:tblLook w:val="04A0" w:firstRow="1" w:lastRow="0" w:firstColumn="1" w:lastColumn="0" w:noHBand="0" w:noVBand="1"/>
        </w:tblPrEx>
        <w:trPr>
          <w:cantSplit/>
          <w:trHeight w:val="20"/>
        </w:trPr>
        <w:tc>
          <w:tcPr>
            <w:tcW w:w="9017" w:type="dxa"/>
            <w:gridSpan w:val="7"/>
            <w:vAlign w:val="center"/>
            <w:hideMark/>
          </w:tcPr>
          <w:p w14:paraId="0A582144" w14:textId="77777777" w:rsidR="00AD4F7C" w:rsidRPr="0098660A" w:rsidRDefault="00AD4F7C" w:rsidP="00DE6F46">
            <w:pPr>
              <w:pStyle w:val="TableText0"/>
            </w:pPr>
            <w:r w:rsidRPr="0098660A">
              <w:rPr>
                <w:b/>
              </w:rPr>
              <w:t>Population criteria</w:t>
            </w:r>
            <w:r w:rsidRPr="0098660A">
              <w:t>: Patient must be at least 18 years of age</w:t>
            </w:r>
          </w:p>
        </w:tc>
      </w:tr>
      <w:tr w:rsidR="00AD4F7C" w:rsidRPr="0098660A" w14:paraId="3D99E016" w14:textId="77777777" w:rsidTr="0032788C">
        <w:tblPrEx>
          <w:tblCellMar>
            <w:top w:w="15" w:type="dxa"/>
            <w:bottom w:w="15" w:type="dxa"/>
          </w:tblCellMar>
          <w:tblLook w:val="04A0" w:firstRow="1" w:lastRow="0" w:firstColumn="1" w:lastColumn="0" w:noHBand="0" w:noVBand="1"/>
        </w:tblPrEx>
        <w:trPr>
          <w:cantSplit/>
          <w:trHeight w:val="20"/>
        </w:trPr>
        <w:tc>
          <w:tcPr>
            <w:tcW w:w="9017" w:type="dxa"/>
            <w:gridSpan w:val="7"/>
            <w:vAlign w:val="center"/>
            <w:hideMark/>
          </w:tcPr>
          <w:p w14:paraId="26A33532" w14:textId="77777777" w:rsidR="00AD4F7C" w:rsidRPr="0098660A" w:rsidRDefault="00AD4F7C" w:rsidP="00DE6F46">
            <w:pPr>
              <w:pStyle w:val="TableText0"/>
            </w:pPr>
            <w:r w:rsidRPr="0098660A">
              <w:t xml:space="preserve">Caution: </w:t>
            </w:r>
          </w:p>
          <w:p w14:paraId="5E3C8585" w14:textId="77777777" w:rsidR="00AD4F7C" w:rsidRPr="0098660A" w:rsidRDefault="00AD4F7C" w:rsidP="00DE6F46">
            <w:pPr>
              <w:pStyle w:val="TableText0"/>
            </w:pPr>
            <w:r w:rsidRPr="0098660A">
              <w:t>This drug increases the risk of encapsulated bacterial infections.</w:t>
            </w:r>
          </w:p>
          <w:p w14:paraId="52DB2EA9" w14:textId="77777777" w:rsidR="00AD4F7C" w:rsidRPr="0098660A" w:rsidRDefault="00AD4F7C" w:rsidP="00DE6F46">
            <w:pPr>
              <w:pStyle w:val="TableText0"/>
            </w:pPr>
            <w:r w:rsidRPr="0098660A">
              <w:t>Consult the approved PI for information about vaccination against meningococcal, pneumococcal and Haemophilus influenzae type B (Hib) infection.</w:t>
            </w:r>
          </w:p>
        </w:tc>
      </w:tr>
    </w:tbl>
    <w:p w14:paraId="6972A1AC" w14:textId="77777777" w:rsidR="0032788C" w:rsidRPr="0098660A" w:rsidRDefault="0032788C" w:rsidP="0032788C">
      <w:pPr>
        <w:pStyle w:val="FooterTableFigure"/>
      </w:pPr>
      <w:r w:rsidRPr="0098660A">
        <w:t>Source: Table 1-9, p28 of the submission</w:t>
      </w:r>
    </w:p>
    <w:p w14:paraId="6DB1250A" w14:textId="77777777" w:rsidR="0032788C" w:rsidRPr="0098660A" w:rsidRDefault="0032788C" w:rsidP="0032788C">
      <w:pPr>
        <w:pStyle w:val="FooterTableFigure"/>
      </w:pPr>
      <w:r w:rsidRPr="0098660A">
        <w:t>C5i = complement 5 inhibitor; PNH = paroxysmal nocturnal haematuria</w:t>
      </w:r>
    </w:p>
    <w:p w14:paraId="0CFEF84D" w14:textId="08BC97C7" w:rsidR="00B403A0" w:rsidRPr="0098660A" w:rsidRDefault="00B403A0" w:rsidP="00B403A0">
      <w:pPr>
        <w:pStyle w:val="FooterTableFigure"/>
        <w:spacing w:after="0"/>
      </w:pPr>
      <w:proofErr w:type="spellStart"/>
      <w:r w:rsidRPr="0098660A">
        <w:rPr>
          <w:vertAlign w:val="superscript"/>
        </w:rPr>
        <w:t>a</w:t>
      </w:r>
      <w:proofErr w:type="spellEnd"/>
      <w:r w:rsidRPr="0098660A">
        <w:rPr>
          <w:vertAlign w:val="superscript"/>
        </w:rPr>
        <w:t xml:space="preserve"> </w:t>
      </w:r>
      <w:r w:rsidRPr="0098660A">
        <w:t>The published dispensed price in a private hospital setting has been updated using the current markup and dispensing fee.</w:t>
      </w:r>
    </w:p>
    <w:p w14:paraId="365492EB" w14:textId="505AF6F0" w:rsidR="0032788C" w:rsidRPr="0098660A" w:rsidRDefault="00B403A0" w:rsidP="002068DC">
      <w:pPr>
        <w:pStyle w:val="FooterTableFigure"/>
      </w:pPr>
      <w:r w:rsidRPr="0098660A">
        <w:rPr>
          <w:vertAlign w:val="superscript"/>
        </w:rPr>
        <w:t xml:space="preserve">b </w:t>
      </w:r>
      <w:r w:rsidRPr="0098660A">
        <w:t>The sponsor request</w:t>
      </w:r>
      <w:r w:rsidR="00D04605" w:rsidRPr="0098660A">
        <w:t>ed</w:t>
      </w:r>
      <w:r w:rsidRPr="0098660A">
        <w:t xml:space="preserve"> the same effective price for pegcetacoplan as it is currently listed on the PBS. The effective dispensed price in a private hospital setting has been </w:t>
      </w:r>
      <w:r w:rsidR="00024D7E" w:rsidRPr="0098660A">
        <w:t xml:space="preserve">calculated </w:t>
      </w:r>
      <w:r w:rsidRPr="0098660A">
        <w:t>using the current markup and dispensing fee.</w:t>
      </w:r>
      <w:r w:rsidR="002068DC" w:rsidRPr="0098660A">
        <w:t xml:space="preserve"> </w:t>
      </w:r>
      <w:r w:rsidR="004D092C" w:rsidRPr="0098660A">
        <w:t xml:space="preserve"> </w:t>
      </w:r>
    </w:p>
    <w:p w14:paraId="120F5A7B" w14:textId="6F146673" w:rsidR="0032788C" w:rsidRPr="0098660A" w:rsidRDefault="0032788C" w:rsidP="00ED5440">
      <w:pPr>
        <w:keepNext/>
        <w:spacing w:before="60"/>
        <w:rPr>
          <w:rFonts w:ascii="Arial Narrow" w:eastAsiaTheme="minorHAnsi" w:hAnsi="Arial Narrow" w:cstheme="minorBidi"/>
          <w:bCs/>
          <w:sz w:val="20"/>
          <w:szCs w:val="20"/>
        </w:rPr>
      </w:pPr>
      <w:r w:rsidRPr="0098660A">
        <w:rPr>
          <w:rFonts w:ascii="Arial Narrow" w:eastAsiaTheme="minorHAnsi" w:hAnsi="Arial Narrow" w:cstheme="minorBidi"/>
          <w:b/>
          <w:bCs/>
          <w:sz w:val="20"/>
          <w:szCs w:val="20"/>
        </w:rPr>
        <w:lastRenderedPageBreak/>
        <w:t xml:space="preserve">Requested listing – first continuing </w:t>
      </w: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3"/>
        <w:gridCol w:w="1308"/>
        <w:gridCol w:w="1310"/>
        <w:gridCol w:w="873"/>
        <w:gridCol w:w="871"/>
        <w:gridCol w:w="727"/>
        <w:gridCol w:w="1163"/>
      </w:tblGrid>
      <w:tr w:rsidR="00461C55" w:rsidRPr="0098660A" w14:paraId="18C05FF7" w14:textId="77777777" w:rsidTr="009141CB">
        <w:trPr>
          <w:cantSplit/>
          <w:trHeight w:val="20"/>
        </w:trPr>
        <w:tc>
          <w:tcPr>
            <w:tcW w:w="2762" w:type="dxa"/>
            <w:vAlign w:val="center"/>
          </w:tcPr>
          <w:p w14:paraId="720EE9F6" w14:textId="77777777" w:rsidR="0032788C" w:rsidRPr="0098660A" w:rsidRDefault="0032788C" w:rsidP="00ED5440">
            <w:pPr>
              <w:keepNext/>
              <w:keepLines/>
              <w:ind w:left="-113"/>
              <w:rPr>
                <w:rFonts w:ascii="Arial Narrow" w:hAnsi="Arial Narrow"/>
                <w:b/>
                <w:bCs/>
                <w:sz w:val="20"/>
                <w:szCs w:val="20"/>
              </w:rPr>
            </w:pPr>
            <w:r w:rsidRPr="0098660A">
              <w:rPr>
                <w:rFonts w:ascii="Arial Narrow" w:hAnsi="Arial Narrow"/>
                <w:b/>
                <w:bCs/>
                <w:sz w:val="20"/>
                <w:szCs w:val="20"/>
              </w:rPr>
              <w:t>MEDICINAL PRODUCT</w:t>
            </w:r>
          </w:p>
          <w:p w14:paraId="413274EF" w14:textId="77777777" w:rsidR="0032788C" w:rsidRPr="0098660A" w:rsidRDefault="0032788C" w:rsidP="00ED5440">
            <w:pPr>
              <w:keepNext/>
              <w:keepLines/>
              <w:ind w:left="-113"/>
              <w:rPr>
                <w:rFonts w:ascii="Arial Narrow" w:hAnsi="Arial Narrow"/>
                <w:b/>
                <w:sz w:val="20"/>
                <w:szCs w:val="20"/>
              </w:rPr>
            </w:pPr>
            <w:r w:rsidRPr="0098660A">
              <w:rPr>
                <w:rFonts w:ascii="Arial Narrow" w:hAnsi="Arial Narrow"/>
                <w:b/>
                <w:bCs/>
                <w:sz w:val="20"/>
                <w:szCs w:val="20"/>
              </w:rPr>
              <w:t>medicinal product pack</w:t>
            </w:r>
          </w:p>
        </w:tc>
        <w:tc>
          <w:tcPr>
            <w:tcW w:w="1308" w:type="dxa"/>
            <w:vAlign w:val="center"/>
          </w:tcPr>
          <w:p w14:paraId="47BCC453" w14:textId="7A177DCF" w:rsidR="0032788C" w:rsidRPr="0098660A" w:rsidRDefault="0032788C" w:rsidP="00ED5440">
            <w:pPr>
              <w:keepNext/>
              <w:widowControl w:val="0"/>
              <w:jc w:val="left"/>
              <w:rPr>
                <w:rFonts w:ascii="Arial Narrow" w:eastAsiaTheme="majorEastAsia" w:hAnsi="Arial Narrow" w:cstheme="majorBidi"/>
                <w:b/>
                <w:bCs/>
                <w:sz w:val="20"/>
                <w:szCs w:val="20"/>
              </w:rPr>
            </w:pPr>
            <w:r w:rsidRPr="0098660A">
              <w:rPr>
                <w:rFonts w:ascii="Arial Narrow" w:eastAsiaTheme="majorEastAsia" w:hAnsi="Arial Narrow" w:cstheme="majorBidi"/>
                <w:b/>
                <w:bCs/>
                <w:snapToGrid w:val="0"/>
                <w:sz w:val="20"/>
              </w:rPr>
              <w:t>Dispensed Price for Max. Qty (public)</w:t>
            </w:r>
          </w:p>
        </w:tc>
        <w:tc>
          <w:tcPr>
            <w:tcW w:w="1309" w:type="dxa"/>
          </w:tcPr>
          <w:p w14:paraId="2FC47347" w14:textId="77777777" w:rsidR="0032788C" w:rsidRPr="0098660A" w:rsidRDefault="0032788C" w:rsidP="00ED5440">
            <w:pPr>
              <w:keepNext/>
              <w:keepLines/>
              <w:jc w:val="center"/>
              <w:rPr>
                <w:rFonts w:ascii="Arial Narrow" w:hAnsi="Arial Narrow"/>
                <w:b/>
                <w:sz w:val="20"/>
                <w:szCs w:val="20"/>
              </w:rPr>
            </w:pPr>
            <w:r w:rsidRPr="0098660A">
              <w:rPr>
                <w:rFonts w:ascii="Arial Narrow" w:eastAsiaTheme="majorEastAsia" w:hAnsi="Arial Narrow" w:cstheme="majorBidi"/>
                <w:b/>
                <w:bCs/>
                <w:snapToGrid w:val="0"/>
                <w:sz w:val="20"/>
              </w:rPr>
              <w:t>Dispensed Price for Max. Qty (private)</w:t>
            </w:r>
          </w:p>
        </w:tc>
        <w:tc>
          <w:tcPr>
            <w:tcW w:w="873" w:type="dxa"/>
            <w:vAlign w:val="center"/>
          </w:tcPr>
          <w:p w14:paraId="1E873D71" w14:textId="77777777" w:rsidR="0032788C" w:rsidRPr="0098660A" w:rsidRDefault="0032788C" w:rsidP="00ED5440">
            <w:pPr>
              <w:keepNext/>
              <w:keepLines/>
              <w:jc w:val="center"/>
              <w:rPr>
                <w:rFonts w:ascii="Arial Narrow" w:hAnsi="Arial Narrow"/>
                <w:b/>
                <w:sz w:val="20"/>
                <w:szCs w:val="20"/>
              </w:rPr>
            </w:pPr>
            <w:r w:rsidRPr="0098660A">
              <w:rPr>
                <w:rFonts w:ascii="Arial Narrow" w:hAnsi="Arial Narrow"/>
                <w:b/>
                <w:sz w:val="20"/>
                <w:szCs w:val="20"/>
              </w:rPr>
              <w:t>Max. qty packs</w:t>
            </w:r>
          </w:p>
        </w:tc>
        <w:tc>
          <w:tcPr>
            <w:tcW w:w="872" w:type="dxa"/>
            <w:vAlign w:val="center"/>
          </w:tcPr>
          <w:p w14:paraId="454CD8F0" w14:textId="77777777" w:rsidR="0032788C" w:rsidRPr="0098660A" w:rsidRDefault="0032788C" w:rsidP="00ED5440">
            <w:pPr>
              <w:keepNext/>
              <w:keepLines/>
              <w:jc w:val="center"/>
              <w:rPr>
                <w:rFonts w:ascii="Arial Narrow" w:hAnsi="Arial Narrow"/>
                <w:b/>
                <w:sz w:val="20"/>
                <w:szCs w:val="20"/>
              </w:rPr>
            </w:pPr>
            <w:r w:rsidRPr="0098660A">
              <w:rPr>
                <w:rFonts w:ascii="Arial Narrow" w:hAnsi="Arial Narrow"/>
                <w:b/>
                <w:sz w:val="20"/>
                <w:szCs w:val="20"/>
              </w:rPr>
              <w:t>Max. qty units</w:t>
            </w:r>
          </w:p>
        </w:tc>
        <w:tc>
          <w:tcPr>
            <w:tcW w:w="727" w:type="dxa"/>
            <w:vAlign w:val="center"/>
          </w:tcPr>
          <w:p w14:paraId="302B5491" w14:textId="77777777" w:rsidR="0032788C" w:rsidRPr="0098660A" w:rsidRDefault="0032788C" w:rsidP="00ED5440">
            <w:pPr>
              <w:keepNext/>
              <w:keepLines/>
              <w:jc w:val="center"/>
              <w:rPr>
                <w:rFonts w:ascii="Arial Narrow" w:hAnsi="Arial Narrow"/>
                <w:b/>
                <w:sz w:val="20"/>
                <w:szCs w:val="20"/>
              </w:rPr>
            </w:pPr>
            <w:r w:rsidRPr="0098660A">
              <w:rPr>
                <w:rFonts w:ascii="Arial Narrow" w:hAnsi="Arial Narrow"/>
                <w:b/>
                <w:sz w:val="20"/>
                <w:szCs w:val="20"/>
              </w:rPr>
              <w:t>№.of</w:t>
            </w:r>
          </w:p>
          <w:p w14:paraId="09580F4D" w14:textId="77777777" w:rsidR="0032788C" w:rsidRPr="0098660A" w:rsidRDefault="0032788C" w:rsidP="00ED5440">
            <w:pPr>
              <w:keepNext/>
              <w:keepLines/>
              <w:jc w:val="center"/>
              <w:rPr>
                <w:rFonts w:ascii="Arial Narrow" w:hAnsi="Arial Narrow"/>
                <w:b/>
                <w:sz w:val="20"/>
                <w:szCs w:val="20"/>
              </w:rPr>
            </w:pPr>
            <w:proofErr w:type="spellStart"/>
            <w:r w:rsidRPr="0098660A">
              <w:rPr>
                <w:rFonts w:ascii="Arial Narrow" w:hAnsi="Arial Narrow"/>
                <w:b/>
                <w:sz w:val="20"/>
                <w:szCs w:val="20"/>
              </w:rPr>
              <w:t>Rpts</w:t>
            </w:r>
            <w:proofErr w:type="spellEnd"/>
          </w:p>
        </w:tc>
        <w:tc>
          <w:tcPr>
            <w:tcW w:w="1164" w:type="dxa"/>
            <w:vAlign w:val="center"/>
          </w:tcPr>
          <w:p w14:paraId="124FC189" w14:textId="77777777" w:rsidR="0032788C" w:rsidRPr="0098660A" w:rsidRDefault="0032788C" w:rsidP="00ED5440">
            <w:pPr>
              <w:keepNext/>
              <w:keepLines/>
              <w:rPr>
                <w:rFonts w:ascii="Arial Narrow" w:hAnsi="Arial Narrow"/>
                <w:b/>
                <w:sz w:val="20"/>
                <w:szCs w:val="20"/>
              </w:rPr>
            </w:pPr>
            <w:r w:rsidRPr="0098660A">
              <w:rPr>
                <w:rFonts w:ascii="Arial Narrow" w:hAnsi="Arial Narrow"/>
                <w:b/>
                <w:sz w:val="20"/>
                <w:szCs w:val="20"/>
              </w:rPr>
              <w:t>Available brands</w:t>
            </w:r>
          </w:p>
        </w:tc>
      </w:tr>
      <w:tr w:rsidR="00461C55" w:rsidRPr="0098660A" w14:paraId="6A1F689B" w14:textId="77777777" w:rsidTr="009141CB">
        <w:trPr>
          <w:cantSplit/>
          <w:trHeight w:val="435"/>
        </w:trPr>
        <w:tc>
          <w:tcPr>
            <w:tcW w:w="2762" w:type="dxa"/>
            <w:vAlign w:val="center"/>
          </w:tcPr>
          <w:p w14:paraId="272E4D3D" w14:textId="77777777" w:rsidR="0032788C" w:rsidRPr="0098660A" w:rsidRDefault="0032788C">
            <w:pPr>
              <w:keepLines/>
              <w:ind w:left="-113"/>
              <w:jc w:val="left"/>
              <w:rPr>
                <w:rFonts w:ascii="Arial Narrow" w:hAnsi="Arial Narrow"/>
                <w:color w:val="0066FF"/>
                <w:sz w:val="20"/>
                <w:szCs w:val="20"/>
              </w:rPr>
            </w:pPr>
            <w:r w:rsidRPr="0098660A">
              <w:rPr>
                <w:rFonts w:ascii="Arial Narrow" w:hAnsi="Arial Narrow"/>
                <w:color w:val="000000" w:themeColor="text1"/>
                <w:sz w:val="20"/>
                <w:szCs w:val="20"/>
              </w:rPr>
              <w:t>Pegcetacoplan; Classic PNH; Solution for subcutaneous infusion; 1,080 mg/20 mL; 20 mL</w:t>
            </w:r>
          </w:p>
        </w:tc>
        <w:tc>
          <w:tcPr>
            <w:tcW w:w="1308" w:type="dxa"/>
            <w:vAlign w:val="center"/>
          </w:tcPr>
          <w:p w14:paraId="29803ED8" w14:textId="77777777" w:rsidR="0032788C" w:rsidRPr="0098660A" w:rsidRDefault="0032788C">
            <w:pPr>
              <w:widowControl w:val="0"/>
              <w:jc w:val="center"/>
              <w:rPr>
                <w:rFonts w:ascii="Arial Narrow" w:eastAsiaTheme="majorEastAsia" w:hAnsi="Arial Narrow" w:cstheme="majorBidi"/>
                <w:sz w:val="20"/>
                <w:szCs w:val="20"/>
              </w:rPr>
            </w:pPr>
            <w:r w:rsidRPr="0098660A">
              <w:rPr>
                <w:rFonts w:ascii="Arial Narrow" w:eastAsiaTheme="majorEastAsia" w:hAnsi="Arial Narrow" w:cstheme="majorBidi"/>
                <w:sz w:val="20"/>
                <w:szCs w:val="20"/>
              </w:rPr>
              <w:t>Published: $4,343.86</w:t>
            </w:r>
          </w:p>
          <w:p w14:paraId="3655F414" w14:textId="7A64EE34" w:rsidR="00CD269C" w:rsidRPr="0098660A" w:rsidRDefault="00CD269C">
            <w:pPr>
              <w:widowControl w:val="0"/>
              <w:jc w:val="center"/>
              <w:rPr>
                <w:rFonts w:ascii="Arial Narrow" w:eastAsiaTheme="majorEastAsia" w:hAnsi="Arial Narrow" w:cstheme="majorBidi"/>
                <w:sz w:val="20"/>
                <w:szCs w:val="20"/>
                <w:vertAlign w:val="superscript"/>
              </w:rPr>
            </w:pPr>
            <w:r w:rsidRPr="0098660A">
              <w:rPr>
                <w:rFonts w:ascii="Arial Narrow" w:eastAsiaTheme="majorEastAsia" w:hAnsi="Arial Narrow" w:cstheme="majorBidi"/>
                <w:sz w:val="20"/>
                <w:szCs w:val="20"/>
              </w:rPr>
              <w:t>Effective: $</w:t>
            </w:r>
            <w:r w:rsidR="00910397" w:rsidRPr="00910397">
              <w:rPr>
                <w:rFonts w:ascii="Arial Narrow" w:eastAsiaTheme="majorEastAsia" w:hAnsi="Arial Narrow" w:cstheme="majorBidi"/>
                <w:color w:val="000000"/>
                <w:spacing w:val="53"/>
                <w:sz w:val="20"/>
                <w:szCs w:val="20"/>
                <w:shd w:val="solid" w:color="000000" w:fill="000000"/>
                <w:fitText w:val="330" w:id="-663463164"/>
                <w14:textFill>
                  <w14:solidFill>
                    <w14:srgbClr w14:val="000000">
                      <w14:alpha w14:val="100000"/>
                    </w14:srgbClr>
                  </w14:solidFill>
                </w14:textFill>
              </w:rPr>
              <w:t>|||</w:t>
            </w:r>
            <w:r w:rsidR="00910397" w:rsidRPr="00910397">
              <w:rPr>
                <w:rFonts w:ascii="Arial Narrow" w:eastAsiaTheme="majorEastAsia" w:hAnsi="Arial Narrow" w:cstheme="majorBidi"/>
                <w:color w:val="000000"/>
                <w:spacing w:val="1"/>
                <w:sz w:val="20"/>
                <w:szCs w:val="20"/>
                <w:shd w:val="solid" w:color="000000" w:fill="000000"/>
                <w:fitText w:val="330" w:id="-663463164"/>
                <w14:textFill>
                  <w14:solidFill>
                    <w14:srgbClr w14:val="000000">
                      <w14:alpha w14:val="100000"/>
                    </w14:srgbClr>
                  </w14:solidFill>
                </w14:textFill>
              </w:rPr>
              <w:t>|</w:t>
            </w:r>
            <w:r w:rsidR="00024D7E" w:rsidRPr="0098660A">
              <w:rPr>
                <w:rFonts w:ascii="Arial Narrow" w:eastAsiaTheme="majorEastAsia" w:hAnsi="Arial Narrow" w:cstheme="majorBidi"/>
                <w:sz w:val="20"/>
                <w:szCs w:val="20"/>
                <w:vertAlign w:val="superscript"/>
              </w:rPr>
              <w:t>b</w:t>
            </w:r>
          </w:p>
        </w:tc>
        <w:tc>
          <w:tcPr>
            <w:tcW w:w="1309" w:type="dxa"/>
            <w:vAlign w:val="center"/>
          </w:tcPr>
          <w:p w14:paraId="1A8171B8" w14:textId="77777777" w:rsidR="0032788C" w:rsidRPr="0098660A" w:rsidRDefault="0032788C">
            <w:pPr>
              <w:keepLines/>
              <w:jc w:val="center"/>
              <w:rPr>
                <w:rFonts w:ascii="Arial Narrow" w:hAnsi="Arial Narrow"/>
                <w:bCs/>
                <w:sz w:val="20"/>
                <w:szCs w:val="20"/>
              </w:rPr>
            </w:pPr>
            <w:r w:rsidRPr="0098660A">
              <w:rPr>
                <w:rFonts w:ascii="Arial Narrow" w:hAnsi="Arial Narrow"/>
                <w:bCs/>
                <w:sz w:val="20"/>
                <w:szCs w:val="20"/>
              </w:rPr>
              <w:t>Published:</w:t>
            </w:r>
          </w:p>
          <w:p w14:paraId="7A96C750" w14:textId="2B5E9A2E" w:rsidR="0032788C" w:rsidRPr="0098660A" w:rsidRDefault="0032788C">
            <w:pPr>
              <w:keepLines/>
              <w:jc w:val="center"/>
              <w:rPr>
                <w:rFonts w:ascii="Arial Narrow" w:hAnsi="Arial Narrow"/>
                <w:sz w:val="20"/>
                <w:szCs w:val="20"/>
                <w:vertAlign w:val="superscript"/>
              </w:rPr>
            </w:pPr>
            <w:r w:rsidRPr="0098660A">
              <w:rPr>
                <w:rFonts w:ascii="Arial Narrow" w:hAnsi="Arial Narrow"/>
                <w:sz w:val="20"/>
                <w:szCs w:val="20"/>
              </w:rPr>
              <w:t>$4,392.</w:t>
            </w:r>
            <w:r w:rsidR="00024D7E" w:rsidRPr="0098660A">
              <w:rPr>
                <w:rFonts w:ascii="Arial Narrow" w:hAnsi="Arial Narrow"/>
                <w:sz w:val="20"/>
                <w:szCs w:val="20"/>
              </w:rPr>
              <w:t>5</w:t>
            </w:r>
            <w:r w:rsidRPr="0098660A">
              <w:rPr>
                <w:rFonts w:ascii="Arial Narrow" w:hAnsi="Arial Narrow"/>
                <w:sz w:val="20"/>
                <w:szCs w:val="20"/>
              </w:rPr>
              <w:t>3</w:t>
            </w:r>
            <w:r w:rsidR="00024D7E" w:rsidRPr="0098660A">
              <w:rPr>
                <w:rFonts w:ascii="Arial Narrow" w:hAnsi="Arial Narrow"/>
                <w:sz w:val="20"/>
                <w:szCs w:val="20"/>
                <w:vertAlign w:val="superscript"/>
              </w:rPr>
              <w:t>a</w:t>
            </w:r>
          </w:p>
          <w:p w14:paraId="72F45A23" w14:textId="7371C19C" w:rsidR="00CD269C" w:rsidRPr="0098660A" w:rsidRDefault="00CD269C">
            <w:pPr>
              <w:keepLines/>
              <w:jc w:val="center"/>
              <w:rPr>
                <w:rFonts w:ascii="Arial Narrow" w:hAnsi="Arial Narrow"/>
                <w:sz w:val="20"/>
                <w:szCs w:val="20"/>
                <w:vertAlign w:val="superscript"/>
              </w:rPr>
            </w:pPr>
            <w:r w:rsidRPr="0098660A">
              <w:rPr>
                <w:rFonts w:ascii="Arial Narrow" w:hAnsi="Arial Narrow"/>
                <w:sz w:val="20"/>
                <w:szCs w:val="20"/>
              </w:rPr>
              <w:t xml:space="preserve">Effective: </w:t>
            </w:r>
            <w:r w:rsidR="00024D7E" w:rsidRPr="0098660A">
              <w:rPr>
                <w:rFonts w:ascii="Arial Narrow" w:hAnsi="Arial Narrow"/>
                <w:sz w:val="20"/>
                <w:szCs w:val="20"/>
              </w:rPr>
              <w:t>$</w:t>
            </w:r>
            <w:r w:rsidR="00910397" w:rsidRPr="00910397">
              <w:rPr>
                <w:rFonts w:ascii="Arial Narrow" w:hAnsi="Arial Narrow"/>
                <w:color w:val="000000"/>
                <w:spacing w:val="53"/>
                <w:sz w:val="20"/>
                <w:szCs w:val="20"/>
                <w:shd w:val="solid" w:color="000000" w:fill="000000"/>
                <w:fitText w:val="330" w:id="-663463163"/>
                <w14:textFill>
                  <w14:solidFill>
                    <w14:srgbClr w14:val="000000">
                      <w14:alpha w14:val="100000"/>
                    </w14:srgbClr>
                  </w14:solidFill>
                </w14:textFill>
              </w:rPr>
              <w:t>|||</w:t>
            </w:r>
            <w:r w:rsidR="00910397" w:rsidRPr="00910397">
              <w:rPr>
                <w:rFonts w:ascii="Arial Narrow" w:hAnsi="Arial Narrow"/>
                <w:color w:val="000000"/>
                <w:spacing w:val="1"/>
                <w:sz w:val="20"/>
                <w:szCs w:val="20"/>
                <w:shd w:val="solid" w:color="000000" w:fill="000000"/>
                <w:fitText w:val="330" w:id="-663463163"/>
                <w14:textFill>
                  <w14:solidFill>
                    <w14:srgbClr w14:val="000000">
                      <w14:alpha w14:val="100000"/>
                    </w14:srgbClr>
                  </w14:solidFill>
                </w14:textFill>
              </w:rPr>
              <w:t>|</w:t>
            </w:r>
            <w:r w:rsidR="00024D7E" w:rsidRPr="0098660A">
              <w:rPr>
                <w:rFonts w:ascii="Arial Narrow" w:hAnsi="Arial Narrow"/>
                <w:sz w:val="20"/>
                <w:szCs w:val="20"/>
                <w:vertAlign w:val="superscript"/>
              </w:rPr>
              <w:t>b</w:t>
            </w:r>
          </w:p>
        </w:tc>
        <w:tc>
          <w:tcPr>
            <w:tcW w:w="873" w:type="dxa"/>
            <w:vAlign w:val="center"/>
          </w:tcPr>
          <w:p w14:paraId="2332D6B2" w14:textId="77777777" w:rsidR="0032788C" w:rsidRPr="0098660A" w:rsidRDefault="0032788C">
            <w:pPr>
              <w:keepLines/>
              <w:jc w:val="center"/>
              <w:rPr>
                <w:rFonts w:ascii="Arial Narrow" w:hAnsi="Arial Narrow"/>
                <w:sz w:val="20"/>
                <w:szCs w:val="20"/>
              </w:rPr>
            </w:pPr>
            <w:r w:rsidRPr="0098660A">
              <w:rPr>
                <w:rFonts w:ascii="Arial Narrow" w:hAnsi="Arial Narrow"/>
                <w:sz w:val="20"/>
                <w:szCs w:val="20"/>
              </w:rPr>
              <w:t>1</w:t>
            </w:r>
          </w:p>
        </w:tc>
        <w:tc>
          <w:tcPr>
            <w:tcW w:w="872" w:type="dxa"/>
            <w:vAlign w:val="center"/>
          </w:tcPr>
          <w:p w14:paraId="70632661" w14:textId="77777777" w:rsidR="0032788C" w:rsidRPr="0098660A" w:rsidRDefault="0032788C">
            <w:pPr>
              <w:keepLines/>
              <w:jc w:val="center"/>
              <w:rPr>
                <w:rFonts w:ascii="Arial Narrow" w:hAnsi="Arial Narrow"/>
                <w:sz w:val="20"/>
                <w:szCs w:val="20"/>
              </w:rPr>
            </w:pPr>
            <w:r w:rsidRPr="0098660A">
              <w:rPr>
                <w:rFonts w:ascii="Arial Narrow" w:hAnsi="Arial Narrow"/>
                <w:sz w:val="20"/>
                <w:szCs w:val="20"/>
              </w:rPr>
              <w:t>1</w:t>
            </w:r>
          </w:p>
        </w:tc>
        <w:tc>
          <w:tcPr>
            <w:tcW w:w="727" w:type="dxa"/>
            <w:vAlign w:val="center"/>
          </w:tcPr>
          <w:p w14:paraId="26C44E87" w14:textId="128A1D8C" w:rsidR="0032788C" w:rsidRPr="0098660A" w:rsidRDefault="0032788C">
            <w:pPr>
              <w:keepLines/>
              <w:jc w:val="center"/>
              <w:rPr>
                <w:rFonts w:ascii="Arial Narrow" w:hAnsi="Arial Narrow"/>
                <w:sz w:val="20"/>
                <w:szCs w:val="20"/>
              </w:rPr>
            </w:pPr>
            <w:r w:rsidRPr="0098660A">
              <w:rPr>
                <w:rFonts w:ascii="Arial Narrow" w:hAnsi="Arial Narrow"/>
                <w:sz w:val="20"/>
                <w:szCs w:val="20"/>
              </w:rPr>
              <w:t>5</w:t>
            </w:r>
          </w:p>
        </w:tc>
        <w:tc>
          <w:tcPr>
            <w:tcW w:w="1164" w:type="dxa"/>
            <w:vAlign w:val="center"/>
          </w:tcPr>
          <w:p w14:paraId="54054B1D" w14:textId="77777777" w:rsidR="0032788C" w:rsidRPr="0098660A" w:rsidRDefault="0032788C">
            <w:pPr>
              <w:keepLines/>
              <w:rPr>
                <w:rFonts w:ascii="Arial Narrow" w:hAnsi="Arial Narrow"/>
                <w:bCs/>
                <w:sz w:val="20"/>
                <w:szCs w:val="20"/>
              </w:rPr>
            </w:pPr>
            <w:proofErr w:type="spellStart"/>
            <w:r w:rsidRPr="0098660A">
              <w:rPr>
                <w:rFonts w:ascii="Arial Narrow" w:hAnsi="Arial Narrow"/>
                <w:bCs/>
                <w:sz w:val="20"/>
                <w:szCs w:val="20"/>
              </w:rPr>
              <w:t>Empaveli</w:t>
            </w:r>
            <w:proofErr w:type="spellEnd"/>
            <w:r w:rsidRPr="0098660A">
              <w:rPr>
                <w:rFonts w:ascii="Arial Narrow" w:hAnsi="Arial Narrow"/>
                <w:bCs/>
                <w:sz w:val="20"/>
                <w:szCs w:val="20"/>
              </w:rPr>
              <w:t>®</w:t>
            </w:r>
          </w:p>
        </w:tc>
      </w:tr>
      <w:tr w:rsidR="0032788C" w:rsidRPr="0098660A" w14:paraId="5D0DCD20" w14:textId="77777777">
        <w:tblPrEx>
          <w:tblCellMar>
            <w:top w:w="15" w:type="dxa"/>
            <w:bottom w:w="15" w:type="dxa"/>
          </w:tblCellMar>
          <w:tblLook w:val="04A0" w:firstRow="1" w:lastRow="0" w:firstColumn="1" w:lastColumn="0" w:noHBand="0" w:noVBand="1"/>
        </w:tblPrEx>
        <w:trPr>
          <w:cantSplit/>
          <w:trHeight w:val="20"/>
        </w:trPr>
        <w:tc>
          <w:tcPr>
            <w:tcW w:w="5000" w:type="pct"/>
            <w:gridSpan w:val="7"/>
          </w:tcPr>
          <w:p w14:paraId="0790E780" w14:textId="77777777" w:rsidR="0032788C" w:rsidRPr="0098660A" w:rsidRDefault="0032788C" w:rsidP="00DE6F46">
            <w:pPr>
              <w:pStyle w:val="TableText0"/>
            </w:pPr>
            <w:r w:rsidRPr="0098660A">
              <w:rPr>
                <w:b/>
              </w:rPr>
              <w:t>Category / Program</w:t>
            </w:r>
            <w:r w:rsidRPr="0098660A">
              <w:t>: Section 100 – Highly Specialised Drugs Program (Public/Private hospital)</w:t>
            </w:r>
          </w:p>
        </w:tc>
      </w:tr>
      <w:tr w:rsidR="0032788C" w:rsidRPr="0098660A" w14:paraId="4311E2F2" w14:textId="77777777">
        <w:tblPrEx>
          <w:tblCellMar>
            <w:top w:w="15" w:type="dxa"/>
            <w:bottom w:w="15" w:type="dxa"/>
          </w:tblCellMar>
          <w:tblLook w:val="04A0" w:firstRow="1" w:lastRow="0" w:firstColumn="1" w:lastColumn="0" w:noHBand="0" w:noVBand="1"/>
        </w:tblPrEx>
        <w:trPr>
          <w:cantSplit/>
          <w:trHeight w:val="20"/>
        </w:trPr>
        <w:tc>
          <w:tcPr>
            <w:tcW w:w="5000" w:type="pct"/>
            <w:gridSpan w:val="7"/>
          </w:tcPr>
          <w:p w14:paraId="7583243B" w14:textId="77777777" w:rsidR="0032788C" w:rsidRPr="0098660A" w:rsidRDefault="0032788C" w:rsidP="00DE6F46">
            <w:pPr>
              <w:pStyle w:val="TableText0"/>
            </w:pPr>
            <w:r w:rsidRPr="0098660A">
              <w:rPr>
                <w:b/>
              </w:rPr>
              <w:t>Prescriber type</w:t>
            </w:r>
            <w:r w:rsidRPr="0098660A">
              <w:t xml:space="preserve">: </w:t>
            </w:r>
            <w:r w:rsidRPr="0098660A">
              <w:fldChar w:fldCharType="begin">
                <w:ffData>
                  <w:name w:val="Check1"/>
                  <w:enabled/>
                  <w:calcOnExit w:val="0"/>
                  <w:checkBox>
                    <w:sizeAuto/>
                    <w:default w:val="0"/>
                  </w:checkBox>
                </w:ffData>
              </w:fldChar>
            </w:r>
            <w:r w:rsidRPr="0098660A">
              <w:instrText xml:space="preserve"> FORMCHECKBOX </w:instrText>
            </w:r>
            <w:r w:rsidRPr="0098660A">
              <w:fldChar w:fldCharType="separate"/>
            </w:r>
            <w:r w:rsidRPr="0098660A">
              <w:fldChar w:fldCharType="end"/>
            </w:r>
            <w:r w:rsidRPr="0098660A">
              <w:t xml:space="preserve">Dental </w:t>
            </w:r>
            <w:r w:rsidRPr="0098660A">
              <w:fldChar w:fldCharType="begin">
                <w:ffData>
                  <w:name w:val="Check5"/>
                  <w:enabled/>
                  <w:calcOnExit w:val="0"/>
                  <w:checkBox>
                    <w:sizeAuto/>
                    <w:default w:val="1"/>
                  </w:checkBox>
                </w:ffData>
              </w:fldChar>
            </w:r>
            <w:r w:rsidRPr="0098660A">
              <w:instrText xml:space="preserve"> FORMCHECKBOX </w:instrText>
            </w:r>
            <w:r w:rsidRPr="0098660A">
              <w:fldChar w:fldCharType="separate"/>
            </w:r>
            <w:r w:rsidRPr="0098660A">
              <w:fldChar w:fldCharType="end"/>
            </w:r>
            <w:r w:rsidRPr="0098660A">
              <w:t xml:space="preserve">Medical Practitioners </w:t>
            </w:r>
            <w:r w:rsidRPr="0098660A">
              <w:fldChar w:fldCharType="begin">
                <w:ffData>
                  <w:name w:val="Check3"/>
                  <w:enabled/>
                  <w:calcOnExit w:val="0"/>
                  <w:checkBox>
                    <w:sizeAuto/>
                    <w:default w:val="0"/>
                  </w:checkBox>
                </w:ffData>
              </w:fldChar>
            </w:r>
            <w:r w:rsidRPr="0098660A">
              <w:instrText xml:space="preserve"> FORMCHECKBOX </w:instrText>
            </w:r>
            <w:r w:rsidRPr="0098660A">
              <w:fldChar w:fldCharType="separate"/>
            </w:r>
            <w:r w:rsidRPr="0098660A">
              <w:fldChar w:fldCharType="end"/>
            </w:r>
            <w:r w:rsidRPr="0098660A">
              <w:t xml:space="preserve">Nurse practitioners </w:t>
            </w:r>
            <w:r w:rsidRPr="0098660A">
              <w:fldChar w:fldCharType="begin">
                <w:ffData>
                  <w:name w:val=""/>
                  <w:enabled/>
                  <w:calcOnExit w:val="0"/>
                  <w:checkBox>
                    <w:sizeAuto/>
                    <w:default w:val="0"/>
                  </w:checkBox>
                </w:ffData>
              </w:fldChar>
            </w:r>
            <w:r w:rsidRPr="0098660A">
              <w:instrText xml:space="preserve"> FORMCHECKBOX </w:instrText>
            </w:r>
            <w:r w:rsidRPr="0098660A">
              <w:fldChar w:fldCharType="separate"/>
            </w:r>
            <w:r w:rsidRPr="0098660A">
              <w:fldChar w:fldCharType="end"/>
            </w:r>
            <w:r w:rsidRPr="0098660A">
              <w:t xml:space="preserve">Optometrists </w:t>
            </w:r>
            <w:r w:rsidRPr="0098660A">
              <w:fldChar w:fldCharType="begin">
                <w:ffData>
                  <w:name w:val="Check5"/>
                  <w:enabled/>
                  <w:calcOnExit w:val="0"/>
                  <w:checkBox>
                    <w:sizeAuto/>
                    <w:default w:val="0"/>
                  </w:checkBox>
                </w:ffData>
              </w:fldChar>
            </w:r>
            <w:r w:rsidRPr="0098660A">
              <w:instrText xml:space="preserve"> FORMCHECKBOX </w:instrText>
            </w:r>
            <w:r w:rsidRPr="0098660A">
              <w:fldChar w:fldCharType="separate"/>
            </w:r>
            <w:r w:rsidRPr="0098660A">
              <w:fldChar w:fldCharType="end"/>
            </w:r>
            <w:r w:rsidRPr="0098660A">
              <w:t>Midwives</w:t>
            </w:r>
          </w:p>
        </w:tc>
      </w:tr>
      <w:tr w:rsidR="0032788C" w:rsidRPr="0098660A" w14:paraId="3F95CB69" w14:textId="77777777">
        <w:tblPrEx>
          <w:tblCellMar>
            <w:top w:w="15" w:type="dxa"/>
            <w:bottom w:w="15" w:type="dxa"/>
          </w:tblCellMar>
          <w:tblLook w:val="04A0" w:firstRow="1" w:lastRow="0" w:firstColumn="1" w:lastColumn="0" w:noHBand="0" w:noVBand="1"/>
        </w:tblPrEx>
        <w:trPr>
          <w:cantSplit/>
          <w:trHeight w:val="20"/>
        </w:trPr>
        <w:tc>
          <w:tcPr>
            <w:tcW w:w="5000" w:type="pct"/>
            <w:gridSpan w:val="7"/>
          </w:tcPr>
          <w:p w14:paraId="203C2CF7" w14:textId="77777777" w:rsidR="0032788C" w:rsidRPr="0098660A" w:rsidRDefault="0032788C" w:rsidP="00DE6F46">
            <w:pPr>
              <w:pStyle w:val="TableText0"/>
            </w:pPr>
            <w:r w:rsidRPr="0098660A">
              <w:rPr>
                <w:b/>
              </w:rPr>
              <w:t>Restriction type</w:t>
            </w:r>
            <w:r w:rsidRPr="0098660A">
              <w:t>:</w:t>
            </w:r>
            <w:r w:rsidRPr="0098660A">
              <w:rPr>
                <w:color w:val="0066FF"/>
              </w:rPr>
              <w:br/>
            </w:r>
            <w:r w:rsidRPr="0098660A">
              <w:fldChar w:fldCharType="begin">
                <w:ffData>
                  <w:name w:val="Check1"/>
                  <w:enabled/>
                  <w:calcOnExit w:val="0"/>
                  <w:checkBox>
                    <w:sizeAuto/>
                    <w:default w:val="0"/>
                  </w:checkBox>
                </w:ffData>
              </w:fldChar>
            </w:r>
            <w:r w:rsidRPr="0098660A">
              <w:instrText xml:space="preserve"> FORMCHECKBOX </w:instrText>
            </w:r>
            <w:r w:rsidRPr="0098660A">
              <w:fldChar w:fldCharType="separate"/>
            </w:r>
            <w:r w:rsidRPr="0098660A">
              <w:fldChar w:fldCharType="end"/>
            </w:r>
            <w:r w:rsidRPr="0098660A">
              <w:t>Unrestricted benefit</w:t>
            </w:r>
            <w:r w:rsidRPr="0098660A">
              <w:br/>
            </w:r>
            <w:r w:rsidRPr="0098660A">
              <w:fldChar w:fldCharType="begin">
                <w:ffData>
                  <w:name w:val="Check1"/>
                  <w:enabled/>
                  <w:calcOnExit w:val="0"/>
                  <w:checkBox>
                    <w:sizeAuto/>
                    <w:default w:val="0"/>
                  </w:checkBox>
                </w:ffData>
              </w:fldChar>
            </w:r>
            <w:r w:rsidRPr="0098660A">
              <w:instrText xml:space="preserve"> FORMCHECKBOX </w:instrText>
            </w:r>
            <w:r w:rsidRPr="0098660A">
              <w:fldChar w:fldCharType="separate"/>
            </w:r>
            <w:r w:rsidRPr="0098660A">
              <w:fldChar w:fldCharType="end"/>
            </w:r>
            <w:r w:rsidRPr="0098660A">
              <w:t>Restricted benefit</w:t>
            </w:r>
            <w:r w:rsidRPr="0098660A">
              <w:br/>
            </w:r>
            <w:r w:rsidRPr="0098660A">
              <w:fldChar w:fldCharType="begin">
                <w:ffData>
                  <w:name w:val=""/>
                  <w:enabled/>
                  <w:calcOnExit w:val="0"/>
                  <w:checkBox>
                    <w:sizeAuto/>
                    <w:default w:val="0"/>
                  </w:checkBox>
                </w:ffData>
              </w:fldChar>
            </w:r>
            <w:r w:rsidRPr="0098660A">
              <w:instrText xml:space="preserve"> FORMCHECKBOX </w:instrText>
            </w:r>
            <w:r w:rsidRPr="0098660A">
              <w:fldChar w:fldCharType="separate"/>
            </w:r>
            <w:r w:rsidRPr="0098660A">
              <w:fldChar w:fldCharType="end"/>
            </w:r>
            <w:r w:rsidRPr="0098660A">
              <w:t xml:space="preserve">Authority Required (STREAMLINED) </w:t>
            </w:r>
            <w:r w:rsidRPr="0098660A">
              <w:br/>
            </w:r>
            <w:r w:rsidRPr="0098660A">
              <w:fldChar w:fldCharType="begin">
                <w:ffData>
                  <w:name w:val="Check3"/>
                  <w:enabled/>
                  <w:calcOnExit w:val="0"/>
                  <w:checkBox>
                    <w:sizeAuto/>
                    <w:default w:val="0"/>
                  </w:checkBox>
                </w:ffData>
              </w:fldChar>
            </w:r>
            <w:r w:rsidRPr="0098660A">
              <w:instrText xml:space="preserve"> FORMCHECKBOX </w:instrText>
            </w:r>
            <w:r w:rsidRPr="0098660A">
              <w:fldChar w:fldCharType="separate"/>
            </w:r>
            <w:r w:rsidRPr="0098660A">
              <w:fldChar w:fldCharType="end"/>
            </w:r>
            <w:r w:rsidRPr="0098660A">
              <w:t xml:space="preserve">Authority Required (telephone/online PBS Authorities system) </w:t>
            </w:r>
            <w:r w:rsidRPr="0098660A">
              <w:br/>
            </w:r>
            <w:r w:rsidRPr="0098660A">
              <w:fldChar w:fldCharType="begin">
                <w:ffData>
                  <w:name w:val="Check5"/>
                  <w:enabled/>
                  <w:calcOnExit w:val="0"/>
                  <w:checkBox>
                    <w:sizeAuto/>
                    <w:default w:val="1"/>
                  </w:checkBox>
                </w:ffData>
              </w:fldChar>
            </w:r>
            <w:r w:rsidRPr="0098660A">
              <w:instrText xml:space="preserve"> FORMCHECKBOX </w:instrText>
            </w:r>
            <w:r w:rsidRPr="0098660A">
              <w:fldChar w:fldCharType="separate"/>
            </w:r>
            <w:r w:rsidRPr="0098660A">
              <w:fldChar w:fldCharType="end"/>
            </w:r>
            <w:r w:rsidRPr="0098660A">
              <w:t>Authority Required - nonimmediate/delayed assessment by Services Australia (in-writing only via mail/postal service or electronic upload to Hobart; requires at least one concept ID to be marked as ‘FULL’ for full assessment by Services Australia)</w:t>
            </w:r>
          </w:p>
        </w:tc>
      </w:tr>
      <w:tr w:rsidR="0032788C" w:rsidRPr="0098660A" w14:paraId="469A33DA" w14:textId="77777777">
        <w:tblPrEx>
          <w:tblCellMar>
            <w:top w:w="15" w:type="dxa"/>
            <w:bottom w:w="15" w:type="dxa"/>
          </w:tblCellMar>
          <w:tblLook w:val="04A0" w:firstRow="1" w:lastRow="0" w:firstColumn="1" w:lastColumn="0" w:noHBand="0" w:noVBand="1"/>
        </w:tblPrEx>
        <w:trPr>
          <w:cantSplit/>
          <w:trHeight w:val="998"/>
        </w:trPr>
        <w:tc>
          <w:tcPr>
            <w:tcW w:w="5000" w:type="pct"/>
            <w:gridSpan w:val="7"/>
            <w:hideMark/>
          </w:tcPr>
          <w:p w14:paraId="70A94027" w14:textId="77777777" w:rsidR="0032788C" w:rsidRPr="0098660A" w:rsidRDefault="0032788C" w:rsidP="00DE6F46">
            <w:pPr>
              <w:pStyle w:val="TableText0"/>
            </w:pPr>
            <w:r w:rsidRPr="0098660A">
              <w:t>Clinical criteria:</w:t>
            </w:r>
          </w:p>
          <w:p w14:paraId="280EFD2C" w14:textId="77777777" w:rsidR="0032788C" w:rsidRPr="0098660A" w:rsidRDefault="0032788C" w:rsidP="00DE6F46">
            <w:pPr>
              <w:pStyle w:val="TableText0"/>
            </w:pPr>
            <w:r w:rsidRPr="0098660A">
              <w:t>Patient must have received PBS-subsidised treatment with this drug for PNH under the ‘Initial (complement inhibitor experienced)’ or ‘Initial (complement inhibitor inexperienced)’ or ‘Grandfather’ treatment restriction,</w:t>
            </w:r>
          </w:p>
          <w:p w14:paraId="62135521" w14:textId="77777777" w:rsidR="0032788C" w:rsidRPr="0098660A" w:rsidRDefault="0032788C" w:rsidP="00DE6F46">
            <w:pPr>
              <w:pStyle w:val="TableText0"/>
            </w:pPr>
            <w:r w:rsidRPr="0098660A">
              <w:t>AND</w:t>
            </w:r>
          </w:p>
          <w:p w14:paraId="1AB5AC28" w14:textId="77777777" w:rsidR="0032788C" w:rsidRPr="0098660A" w:rsidRDefault="0032788C" w:rsidP="00DE6F46">
            <w:pPr>
              <w:pStyle w:val="TableText0"/>
            </w:pPr>
            <w:r w:rsidRPr="0098660A">
              <w:t>The treatment must not be in combination with a C5i</w:t>
            </w:r>
          </w:p>
        </w:tc>
      </w:tr>
      <w:tr w:rsidR="0032788C" w:rsidRPr="0098660A" w14:paraId="4A66678F" w14:textId="77777777">
        <w:tblPrEx>
          <w:tblCellMar>
            <w:top w:w="15" w:type="dxa"/>
            <w:bottom w:w="15" w:type="dxa"/>
          </w:tblCellMar>
          <w:tblLook w:val="04A0" w:firstRow="1" w:lastRow="0" w:firstColumn="1" w:lastColumn="0" w:noHBand="0" w:noVBand="1"/>
        </w:tblPrEx>
        <w:trPr>
          <w:cantSplit/>
          <w:trHeight w:val="499"/>
        </w:trPr>
        <w:tc>
          <w:tcPr>
            <w:tcW w:w="5000" w:type="pct"/>
            <w:gridSpan w:val="7"/>
            <w:vAlign w:val="center"/>
            <w:hideMark/>
          </w:tcPr>
          <w:p w14:paraId="24C40A50" w14:textId="77777777" w:rsidR="0032788C" w:rsidRPr="0098660A" w:rsidRDefault="0032788C" w:rsidP="00DE6F46">
            <w:pPr>
              <w:pStyle w:val="TableText0"/>
            </w:pPr>
            <w:r w:rsidRPr="0098660A">
              <w:t xml:space="preserve">Treatment criteria: </w:t>
            </w:r>
          </w:p>
          <w:p w14:paraId="0FCC69EB" w14:textId="77777777" w:rsidR="0032788C" w:rsidRPr="0098660A" w:rsidRDefault="0032788C" w:rsidP="00DE6F46">
            <w:pPr>
              <w:pStyle w:val="TableText0"/>
            </w:pPr>
            <w:r w:rsidRPr="0098660A">
              <w:t xml:space="preserve">Must be treated by a haematologist, </w:t>
            </w:r>
          </w:p>
          <w:p w14:paraId="30082175" w14:textId="77777777" w:rsidR="0032788C" w:rsidRPr="0098660A" w:rsidRDefault="0032788C" w:rsidP="00DE6F46">
            <w:pPr>
              <w:pStyle w:val="TableText0"/>
            </w:pPr>
            <w:r w:rsidRPr="0098660A">
              <w:t>OR</w:t>
            </w:r>
          </w:p>
          <w:p w14:paraId="42F84B1D" w14:textId="77777777" w:rsidR="0032788C" w:rsidRPr="0098660A" w:rsidRDefault="0032788C" w:rsidP="00DE6F46">
            <w:pPr>
              <w:pStyle w:val="TableText0"/>
            </w:pPr>
            <w:r w:rsidRPr="0098660A">
              <w:t>Must be treated by a non-specialist medical physician who has consulted a haematologist on the patient’s drug treatment details.</w:t>
            </w:r>
          </w:p>
        </w:tc>
      </w:tr>
      <w:tr w:rsidR="0032788C" w:rsidRPr="0098660A" w14:paraId="6A8F4192"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14:paraId="559FB27D" w14:textId="77777777" w:rsidR="0032788C" w:rsidRPr="0098660A" w:rsidRDefault="0032788C" w:rsidP="00DE6F46">
            <w:pPr>
              <w:pStyle w:val="TableText0"/>
            </w:pPr>
            <w:r w:rsidRPr="0098660A">
              <w:rPr>
                <w:b/>
              </w:rPr>
              <w:t>Population criteria</w:t>
            </w:r>
            <w:r w:rsidRPr="0098660A">
              <w:t>: Patient must be at least 18 years of age</w:t>
            </w:r>
          </w:p>
        </w:tc>
      </w:tr>
      <w:tr w:rsidR="0032788C" w:rsidRPr="0098660A" w14:paraId="1733C664"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14:paraId="14D367EA" w14:textId="77777777" w:rsidR="0032788C" w:rsidRPr="0098660A" w:rsidRDefault="0032788C" w:rsidP="00DE6F46">
            <w:pPr>
              <w:pStyle w:val="TableText0"/>
            </w:pPr>
            <w:r w:rsidRPr="0098660A">
              <w:t xml:space="preserve">Caution: </w:t>
            </w:r>
          </w:p>
          <w:p w14:paraId="0D4648BD" w14:textId="77777777" w:rsidR="0032788C" w:rsidRPr="0098660A" w:rsidRDefault="0032788C" w:rsidP="00DE6F46">
            <w:pPr>
              <w:pStyle w:val="TableText0"/>
            </w:pPr>
            <w:r w:rsidRPr="0098660A">
              <w:t>This drug increases the risk of encapsulated bacterial infections.</w:t>
            </w:r>
          </w:p>
          <w:p w14:paraId="5C612E22" w14:textId="77777777" w:rsidR="0032788C" w:rsidRPr="0098660A" w:rsidRDefault="0032788C" w:rsidP="00DE6F46">
            <w:pPr>
              <w:pStyle w:val="TableText0"/>
            </w:pPr>
            <w:r w:rsidRPr="0098660A">
              <w:t>Consult the approved PI for information about vaccination against meningococcal, pneumococcal and Haemophilus influenzae type B (Hib) infection.</w:t>
            </w:r>
          </w:p>
        </w:tc>
      </w:tr>
    </w:tbl>
    <w:p w14:paraId="7CA035AC" w14:textId="77777777" w:rsidR="0032788C" w:rsidRPr="0098660A" w:rsidRDefault="0032788C" w:rsidP="0032788C">
      <w:pPr>
        <w:pStyle w:val="FooterTableFigure"/>
        <w:spacing w:after="0"/>
      </w:pPr>
      <w:r w:rsidRPr="0098660A">
        <w:t>Source: Table 1-11, p29 of the submission</w:t>
      </w:r>
    </w:p>
    <w:p w14:paraId="6BFE87CE" w14:textId="29380238" w:rsidR="0032788C" w:rsidRPr="0098660A" w:rsidRDefault="0032788C" w:rsidP="0032788C">
      <w:pPr>
        <w:pStyle w:val="FooterTableFigure"/>
        <w:spacing w:after="0"/>
      </w:pPr>
      <w:r w:rsidRPr="0098660A">
        <w:t>C5i = complement 5 inhibitor; PNH = paroxysmal nocturnal haematuria</w:t>
      </w:r>
    </w:p>
    <w:p w14:paraId="32B83675" w14:textId="0D0BA318" w:rsidR="00B403A0" w:rsidRPr="0098660A" w:rsidRDefault="00B403A0" w:rsidP="00B403A0">
      <w:pPr>
        <w:pStyle w:val="FooterTableFigure"/>
        <w:spacing w:after="0"/>
      </w:pPr>
      <w:proofErr w:type="spellStart"/>
      <w:r w:rsidRPr="0098660A">
        <w:rPr>
          <w:vertAlign w:val="superscript"/>
        </w:rPr>
        <w:t>a</w:t>
      </w:r>
      <w:proofErr w:type="spellEnd"/>
      <w:r w:rsidRPr="0098660A">
        <w:rPr>
          <w:vertAlign w:val="superscript"/>
        </w:rPr>
        <w:t xml:space="preserve"> </w:t>
      </w:r>
      <w:r w:rsidRPr="0098660A">
        <w:t>The published dispensed price in a private hospital setting has been updated using the current markup and dispensing fee.</w:t>
      </w:r>
    </w:p>
    <w:p w14:paraId="686ACC85" w14:textId="2AC38B21" w:rsidR="0032788C" w:rsidRPr="0098660A" w:rsidRDefault="00B403A0" w:rsidP="0037472F">
      <w:pPr>
        <w:pStyle w:val="FooterTableFigure"/>
      </w:pPr>
      <w:r w:rsidRPr="0098660A">
        <w:t>b The sponsor request</w:t>
      </w:r>
      <w:r w:rsidR="00D04605" w:rsidRPr="0098660A">
        <w:t>ed</w:t>
      </w:r>
      <w:r w:rsidRPr="0098660A">
        <w:t xml:space="preserve"> the same effective price for pegcetacoplan as it is currently listed on the PBS. The effective dispensed price in a private hospital setting has been </w:t>
      </w:r>
      <w:r w:rsidR="00024D7E" w:rsidRPr="0098660A">
        <w:t xml:space="preserve">calculated </w:t>
      </w:r>
      <w:r w:rsidRPr="0098660A">
        <w:t>using the current markup and dispensing fee.</w:t>
      </w:r>
    </w:p>
    <w:p w14:paraId="156369F3" w14:textId="0E3738E1" w:rsidR="0032788C" w:rsidRPr="0098660A" w:rsidRDefault="0032788C" w:rsidP="0032788C">
      <w:pPr>
        <w:spacing w:before="60"/>
        <w:rPr>
          <w:rFonts w:ascii="Arial Narrow" w:eastAsiaTheme="minorHAnsi" w:hAnsi="Arial Narrow" w:cstheme="minorBidi"/>
          <w:bCs/>
          <w:sz w:val="20"/>
          <w:szCs w:val="20"/>
        </w:rPr>
      </w:pPr>
      <w:r w:rsidRPr="0098660A">
        <w:rPr>
          <w:rFonts w:ascii="Arial Narrow" w:eastAsiaTheme="minorHAnsi" w:hAnsi="Arial Narrow" w:cstheme="minorBidi"/>
          <w:b/>
          <w:bCs/>
          <w:sz w:val="20"/>
          <w:szCs w:val="20"/>
        </w:rPr>
        <w:t xml:space="preserve">Requested listing – subsequent continuing </w:t>
      </w: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2"/>
        <w:gridCol w:w="1308"/>
        <w:gridCol w:w="1309"/>
        <w:gridCol w:w="873"/>
        <w:gridCol w:w="872"/>
        <w:gridCol w:w="727"/>
        <w:gridCol w:w="1164"/>
      </w:tblGrid>
      <w:tr w:rsidR="00461C55" w:rsidRPr="0098660A" w14:paraId="53624EF3" w14:textId="77777777" w:rsidTr="00CD269C">
        <w:trPr>
          <w:cantSplit/>
          <w:trHeight w:val="20"/>
        </w:trPr>
        <w:tc>
          <w:tcPr>
            <w:tcW w:w="2762" w:type="dxa"/>
            <w:vAlign w:val="center"/>
          </w:tcPr>
          <w:p w14:paraId="21E45005" w14:textId="77777777" w:rsidR="0032788C" w:rsidRPr="0098660A" w:rsidRDefault="0032788C">
            <w:pPr>
              <w:keepLines/>
              <w:ind w:left="-113"/>
              <w:rPr>
                <w:rFonts w:ascii="Arial Narrow" w:hAnsi="Arial Narrow"/>
                <w:b/>
                <w:bCs/>
                <w:sz w:val="20"/>
                <w:szCs w:val="20"/>
              </w:rPr>
            </w:pPr>
            <w:r w:rsidRPr="0098660A">
              <w:rPr>
                <w:rFonts w:ascii="Arial Narrow" w:hAnsi="Arial Narrow"/>
                <w:b/>
                <w:bCs/>
                <w:sz w:val="20"/>
                <w:szCs w:val="20"/>
              </w:rPr>
              <w:t>MEDICINAL PRODUCT</w:t>
            </w:r>
          </w:p>
          <w:p w14:paraId="4EDE8C65" w14:textId="77777777" w:rsidR="0032788C" w:rsidRPr="0098660A" w:rsidRDefault="0032788C">
            <w:pPr>
              <w:keepLines/>
              <w:ind w:left="-113"/>
              <w:rPr>
                <w:rFonts w:ascii="Arial Narrow" w:hAnsi="Arial Narrow"/>
                <w:b/>
                <w:sz w:val="20"/>
                <w:szCs w:val="20"/>
              </w:rPr>
            </w:pPr>
            <w:r w:rsidRPr="0098660A">
              <w:rPr>
                <w:rFonts w:ascii="Arial Narrow" w:hAnsi="Arial Narrow"/>
                <w:b/>
                <w:bCs/>
                <w:sz w:val="20"/>
                <w:szCs w:val="20"/>
              </w:rPr>
              <w:t>medicinal product pack</w:t>
            </w:r>
          </w:p>
        </w:tc>
        <w:tc>
          <w:tcPr>
            <w:tcW w:w="1308" w:type="dxa"/>
            <w:vAlign w:val="center"/>
          </w:tcPr>
          <w:p w14:paraId="4ABCE634" w14:textId="77777777" w:rsidR="0032788C" w:rsidRPr="0098660A" w:rsidRDefault="0032788C">
            <w:pPr>
              <w:widowControl w:val="0"/>
              <w:jc w:val="left"/>
              <w:rPr>
                <w:rFonts w:ascii="Arial Narrow" w:eastAsiaTheme="majorEastAsia" w:hAnsi="Arial Narrow" w:cstheme="majorBidi"/>
                <w:b/>
                <w:bCs/>
                <w:sz w:val="20"/>
                <w:szCs w:val="20"/>
              </w:rPr>
            </w:pPr>
            <w:r w:rsidRPr="0098660A">
              <w:rPr>
                <w:rFonts w:ascii="Arial Narrow" w:eastAsiaTheme="majorEastAsia" w:hAnsi="Arial Narrow" w:cstheme="majorBidi"/>
                <w:b/>
                <w:bCs/>
                <w:snapToGrid w:val="0"/>
                <w:sz w:val="20"/>
              </w:rPr>
              <w:t>Dispensed Price for Max. Qty (public)</w:t>
            </w:r>
          </w:p>
        </w:tc>
        <w:tc>
          <w:tcPr>
            <w:tcW w:w="1309" w:type="dxa"/>
          </w:tcPr>
          <w:p w14:paraId="4BD84370" w14:textId="77777777" w:rsidR="0032788C" w:rsidRPr="0098660A" w:rsidRDefault="0032788C">
            <w:pPr>
              <w:keepLines/>
              <w:jc w:val="center"/>
              <w:rPr>
                <w:rFonts w:ascii="Arial Narrow" w:hAnsi="Arial Narrow"/>
                <w:b/>
                <w:sz w:val="20"/>
                <w:szCs w:val="20"/>
              </w:rPr>
            </w:pPr>
            <w:r w:rsidRPr="0098660A">
              <w:rPr>
                <w:rFonts w:ascii="Arial Narrow" w:eastAsiaTheme="majorEastAsia" w:hAnsi="Arial Narrow" w:cstheme="majorBidi"/>
                <w:b/>
                <w:bCs/>
                <w:snapToGrid w:val="0"/>
                <w:sz w:val="20"/>
              </w:rPr>
              <w:t>Dispensed Price for Max. Qty (private)</w:t>
            </w:r>
          </w:p>
        </w:tc>
        <w:tc>
          <w:tcPr>
            <w:tcW w:w="873" w:type="dxa"/>
            <w:vAlign w:val="center"/>
          </w:tcPr>
          <w:p w14:paraId="42A004C4" w14:textId="77777777" w:rsidR="0032788C" w:rsidRPr="0098660A" w:rsidRDefault="0032788C">
            <w:pPr>
              <w:keepLines/>
              <w:jc w:val="center"/>
              <w:rPr>
                <w:rFonts w:ascii="Arial Narrow" w:hAnsi="Arial Narrow"/>
                <w:b/>
                <w:sz w:val="20"/>
                <w:szCs w:val="20"/>
              </w:rPr>
            </w:pPr>
            <w:r w:rsidRPr="0098660A">
              <w:rPr>
                <w:rFonts w:ascii="Arial Narrow" w:hAnsi="Arial Narrow"/>
                <w:b/>
                <w:sz w:val="20"/>
                <w:szCs w:val="20"/>
              </w:rPr>
              <w:t>Max. qty packs</w:t>
            </w:r>
          </w:p>
        </w:tc>
        <w:tc>
          <w:tcPr>
            <w:tcW w:w="872" w:type="dxa"/>
            <w:vAlign w:val="center"/>
          </w:tcPr>
          <w:p w14:paraId="0FE3AE52" w14:textId="77777777" w:rsidR="0032788C" w:rsidRPr="0098660A" w:rsidRDefault="0032788C">
            <w:pPr>
              <w:keepLines/>
              <w:jc w:val="center"/>
              <w:rPr>
                <w:rFonts w:ascii="Arial Narrow" w:hAnsi="Arial Narrow"/>
                <w:b/>
                <w:sz w:val="20"/>
                <w:szCs w:val="20"/>
              </w:rPr>
            </w:pPr>
            <w:r w:rsidRPr="0098660A">
              <w:rPr>
                <w:rFonts w:ascii="Arial Narrow" w:hAnsi="Arial Narrow"/>
                <w:b/>
                <w:sz w:val="20"/>
                <w:szCs w:val="20"/>
              </w:rPr>
              <w:t>Max. qty units</w:t>
            </w:r>
          </w:p>
        </w:tc>
        <w:tc>
          <w:tcPr>
            <w:tcW w:w="727" w:type="dxa"/>
            <w:vAlign w:val="center"/>
          </w:tcPr>
          <w:p w14:paraId="2CA32E79" w14:textId="77777777" w:rsidR="0032788C" w:rsidRPr="0098660A" w:rsidRDefault="0032788C">
            <w:pPr>
              <w:keepLines/>
              <w:jc w:val="center"/>
              <w:rPr>
                <w:rFonts w:ascii="Arial Narrow" w:hAnsi="Arial Narrow"/>
                <w:b/>
                <w:sz w:val="20"/>
                <w:szCs w:val="20"/>
              </w:rPr>
            </w:pPr>
            <w:r w:rsidRPr="0098660A">
              <w:rPr>
                <w:rFonts w:ascii="Arial Narrow" w:hAnsi="Arial Narrow"/>
                <w:b/>
                <w:sz w:val="20"/>
                <w:szCs w:val="20"/>
              </w:rPr>
              <w:t>№.of</w:t>
            </w:r>
          </w:p>
          <w:p w14:paraId="0B3A91A8" w14:textId="77777777" w:rsidR="0032788C" w:rsidRPr="0098660A" w:rsidRDefault="0032788C">
            <w:pPr>
              <w:keepLines/>
              <w:jc w:val="center"/>
              <w:rPr>
                <w:rFonts w:ascii="Arial Narrow" w:hAnsi="Arial Narrow"/>
                <w:b/>
                <w:sz w:val="20"/>
                <w:szCs w:val="20"/>
              </w:rPr>
            </w:pPr>
            <w:proofErr w:type="spellStart"/>
            <w:r w:rsidRPr="0098660A">
              <w:rPr>
                <w:rFonts w:ascii="Arial Narrow" w:hAnsi="Arial Narrow"/>
                <w:b/>
                <w:sz w:val="20"/>
                <w:szCs w:val="20"/>
              </w:rPr>
              <w:t>Rpts</w:t>
            </w:r>
            <w:proofErr w:type="spellEnd"/>
          </w:p>
        </w:tc>
        <w:tc>
          <w:tcPr>
            <w:tcW w:w="1164" w:type="dxa"/>
            <w:vAlign w:val="center"/>
          </w:tcPr>
          <w:p w14:paraId="60F28843" w14:textId="77777777" w:rsidR="0032788C" w:rsidRPr="0098660A" w:rsidRDefault="0032788C">
            <w:pPr>
              <w:keepLines/>
              <w:rPr>
                <w:rFonts w:ascii="Arial Narrow" w:hAnsi="Arial Narrow"/>
                <w:b/>
                <w:sz w:val="20"/>
                <w:szCs w:val="20"/>
              </w:rPr>
            </w:pPr>
            <w:r w:rsidRPr="0098660A">
              <w:rPr>
                <w:rFonts w:ascii="Arial Narrow" w:hAnsi="Arial Narrow"/>
                <w:b/>
                <w:sz w:val="20"/>
                <w:szCs w:val="20"/>
              </w:rPr>
              <w:t>Available brands</w:t>
            </w:r>
          </w:p>
        </w:tc>
      </w:tr>
      <w:tr w:rsidR="00461C55" w:rsidRPr="0098660A" w14:paraId="0DC0E50A" w14:textId="77777777" w:rsidTr="00CD269C">
        <w:trPr>
          <w:cantSplit/>
          <w:trHeight w:val="435"/>
        </w:trPr>
        <w:tc>
          <w:tcPr>
            <w:tcW w:w="2762" w:type="dxa"/>
            <w:vAlign w:val="center"/>
          </w:tcPr>
          <w:p w14:paraId="7D7BAD98" w14:textId="77777777" w:rsidR="0032788C" w:rsidRPr="0098660A" w:rsidRDefault="0032788C">
            <w:pPr>
              <w:keepLines/>
              <w:ind w:left="-113"/>
              <w:jc w:val="left"/>
              <w:rPr>
                <w:rFonts w:ascii="Arial Narrow" w:hAnsi="Arial Narrow"/>
                <w:color w:val="0066FF"/>
                <w:sz w:val="20"/>
                <w:szCs w:val="20"/>
              </w:rPr>
            </w:pPr>
            <w:r w:rsidRPr="0098660A">
              <w:rPr>
                <w:rFonts w:ascii="Arial Narrow" w:hAnsi="Arial Narrow"/>
                <w:color w:val="000000" w:themeColor="text1"/>
                <w:sz w:val="20"/>
                <w:szCs w:val="20"/>
              </w:rPr>
              <w:t>Pegcetacoplan; Classic PNH; Solution for subcutaneous infusion; 1,080 mg/20 mL; 20 mL</w:t>
            </w:r>
          </w:p>
        </w:tc>
        <w:tc>
          <w:tcPr>
            <w:tcW w:w="1308" w:type="dxa"/>
            <w:vAlign w:val="center"/>
          </w:tcPr>
          <w:p w14:paraId="78FDAA3E" w14:textId="77777777" w:rsidR="00024D7E" w:rsidRPr="0098660A" w:rsidRDefault="0032788C" w:rsidP="00024D7E">
            <w:pPr>
              <w:widowControl w:val="0"/>
              <w:jc w:val="center"/>
              <w:rPr>
                <w:rFonts w:ascii="Arial Narrow" w:eastAsiaTheme="majorEastAsia" w:hAnsi="Arial Narrow" w:cstheme="majorBidi"/>
                <w:sz w:val="20"/>
                <w:szCs w:val="20"/>
              </w:rPr>
            </w:pPr>
            <w:r w:rsidRPr="0098660A">
              <w:rPr>
                <w:rFonts w:ascii="Arial Narrow" w:eastAsiaTheme="majorEastAsia" w:hAnsi="Arial Narrow" w:cstheme="majorBidi"/>
                <w:sz w:val="20"/>
                <w:szCs w:val="20"/>
              </w:rPr>
              <w:t>Published: $4,343.86</w:t>
            </w:r>
          </w:p>
          <w:p w14:paraId="0CBFA0F3" w14:textId="364C374D" w:rsidR="0032788C" w:rsidRPr="0098660A" w:rsidRDefault="00024D7E" w:rsidP="00024D7E">
            <w:pPr>
              <w:widowControl w:val="0"/>
              <w:jc w:val="center"/>
              <w:rPr>
                <w:rFonts w:ascii="Arial Narrow" w:eastAsiaTheme="majorEastAsia" w:hAnsi="Arial Narrow" w:cstheme="majorBidi"/>
                <w:sz w:val="20"/>
                <w:szCs w:val="20"/>
              </w:rPr>
            </w:pPr>
            <w:r w:rsidRPr="0098660A">
              <w:rPr>
                <w:rFonts w:ascii="Arial Narrow" w:eastAsiaTheme="majorEastAsia" w:hAnsi="Arial Narrow" w:cstheme="majorBidi"/>
                <w:sz w:val="20"/>
                <w:szCs w:val="20"/>
              </w:rPr>
              <w:t>Effective: $</w:t>
            </w:r>
            <w:r w:rsidR="00910397" w:rsidRPr="00910397">
              <w:rPr>
                <w:rFonts w:ascii="Arial Narrow" w:eastAsiaTheme="majorEastAsia" w:hAnsi="Arial Narrow" w:cstheme="majorBidi"/>
                <w:color w:val="000000"/>
                <w:spacing w:val="53"/>
                <w:sz w:val="20"/>
                <w:szCs w:val="20"/>
                <w:shd w:val="solid" w:color="000000" w:fill="000000"/>
                <w:fitText w:val="330" w:id="-663463162"/>
                <w14:textFill>
                  <w14:solidFill>
                    <w14:srgbClr w14:val="000000">
                      <w14:alpha w14:val="100000"/>
                    </w14:srgbClr>
                  </w14:solidFill>
                </w14:textFill>
              </w:rPr>
              <w:t>|||</w:t>
            </w:r>
            <w:r w:rsidR="00910397" w:rsidRPr="00910397">
              <w:rPr>
                <w:rFonts w:ascii="Arial Narrow" w:eastAsiaTheme="majorEastAsia" w:hAnsi="Arial Narrow" w:cstheme="majorBidi"/>
                <w:color w:val="000000"/>
                <w:spacing w:val="1"/>
                <w:sz w:val="20"/>
                <w:szCs w:val="20"/>
                <w:shd w:val="solid" w:color="000000" w:fill="000000"/>
                <w:fitText w:val="330" w:id="-663463162"/>
                <w14:textFill>
                  <w14:solidFill>
                    <w14:srgbClr w14:val="000000">
                      <w14:alpha w14:val="100000"/>
                    </w14:srgbClr>
                  </w14:solidFill>
                </w14:textFill>
              </w:rPr>
              <w:t>|</w:t>
            </w:r>
            <w:r w:rsidRPr="0098660A">
              <w:rPr>
                <w:rFonts w:ascii="Arial Narrow" w:eastAsiaTheme="majorEastAsia" w:hAnsi="Arial Narrow" w:cstheme="majorBidi"/>
                <w:sz w:val="20"/>
                <w:szCs w:val="20"/>
                <w:vertAlign w:val="superscript"/>
              </w:rPr>
              <w:t>b</w:t>
            </w:r>
          </w:p>
        </w:tc>
        <w:tc>
          <w:tcPr>
            <w:tcW w:w="1309" w:type="dxa"/>
            <w:vAlign w:val="center"/>
          </w:tcPr>
          <w:p w14:paraId="2E8E4027" w14:textId="77777777" w:rsidR="0032788C" w:rsidRPr="0098660A" w:rsidRDefault="0032788C">
            <w:pPr>
              <w:keepLines/>
              <w:jc w:val="center"/>
              <w:rPr>
                <w:rFonts w:ascii="Arial Narrow" w:hAnsi="Arial Narrow"/>
                <w:bCs/>
                <w:sz w:val="20"/>
                <w:szCs w:val="20"/>
              </w:rPr>
            </w:pPr>
            <w:r w:rsidRPr="0098660A">
              <w:rPr>
                <w:rFonts w:ascii="Arial Narrow" w:hAnsi="Arial Narrow"/>
                <w:bCs/>
                <w:sz w:val="20"/>
                <w:szCs w:val="20"/>
              </w:rPr>
              <w:t>Published:</w:t>
            </w:r>
          </w:p>
          <w:p w14:paraId="09EA9B3D" w14:textId="3171CD30" w:rsidR="00024D7E" w:rsidRPr="0098660A" w:rsidRDefault="0032788C" w:rsidP="00024D7E">
            <w:pPr>
              <w:widowControl w:val="0"/>
              <w:jc w:val="center"/>
              <w:rPr>
                <w:rFonts w:ascii="Arial Narrow" w:eastAsiaTheme="majorEastAsia" w:hAnsi="Arial Narrow" w:cstheme="majorBidi"/>
                <w:sz w:val="20"/>
                <w:szCs w:val="20"/>
              </w:rPr>
            </w:pPr>
            <w:r w:rsidRPr="0098660A">
              <w:rPr>
                <w:rFonts w:ascii="Arial Narrow" w:hAnsi="Arial Narrow"/>
                <w:sz w:val="20"/>
                <w:szCs w:val="20"/>
              </w:rPr>
              <w:t>$4,392.</w:t>
            </w:r>
            <w:r w:rsidR="00B403A0" w:rsidRPr="0098660A">
              <w:rPr>
                <w:rFonts w:ascii="Arial Narrow" w:hAnsi="Arial Narrow"/>
                <w:sz w:val="20"/>
                <w:szCs w:val="20"/>
              </w:rPr>
              <w:t>5</w:t>
            </w:r>
            <w:r w:rsidRPr="0098660A">
              <w:rPr>
                <w:rFonts w:ascii="Arial Narrow" w:hAnsi="Arial Narrow"/>
                <w:sz w:val="20"/>
                <w:szCs w:val="20"/>
              </w:rPr>
              <w:t>3</w:t>
            </w:r>
            <w:r w:rsidR="00B403A0" w:rsidRPr="0098660A">
              <w:rPr>
                <w:rFonts w:ascii="Arial Narrow" w:hAnsi="Arial Narrow"/>
                <w:sz w:val="20"/>
                <w:szCs w:val="20"/>
                <w:vertAlign w:val="superscript"/>
              </w:rPr>
              <w:t>a</w:t>
            </w:r>
          </w:p>
          <w:p w14:paraId="223FE2A6" w14:textId="6BAB965D" w:rsidR="0032788C" w:rsidRPr="0098660A" w:rsidRDefault="00024D7E" w:rsidP="00024D7E">
            <w:pPr>
              <w:keepLines/>
              <w:jc w:val="center"/>
              <w:rPr>
                <w:rFonts w:ascii="Arial Narrow" w:hAnsi="Arial Narrow"/>
                <w:sz w:val="20"/>
                <w:szCs w:val="20"/>
                <w:vertAlign w:val="superscript"/>
              </w:rPr>
            </w:pPr>
            <w:r w:rsidRPr="0098660A">
              <w:rPr>
                <w:rFonts w:ascii="Arial Narrow" w:eastAsiaTheme="majorEastAsia" w:hAnsi="Arial Narrow" w:cstheme="majorBidi"/>
                <w:sz w:val="20"/>
                <w:szCs w:val="20"/>
              </w:rPr>
              <w:t>Effective: $</w:t>
            </w:r>
            <w:r w:rsidR="00910397" w:rsidRPr="00910397">
              <w:rPr>
                <w:rFonts w:ascii="Arial Narrow" w:eastAsiaTheme="majorEastAsia" w:hAnsi="Arial Narrow" w:cstheme="majorBidi"/>
                <w:color w:val="000000"/>
                <w:spacing w:val="53"/>
                <w:sz w:val="20"/>
                <w:szCs w:val="20"/>
                <w:shd w:val="solid" w:color="000000" w:fill="000000"/>
                <w:fitText w:val="330" w:id="-663463161"/>
                <w14:textFill>
                  <w14:solidFill>
                    <w14:srgbClr w14:val="000000">
                      <w14:alpha w14:val="100000"/>
                    </w14:srgbClr>
                  </w14:solidFill>
                </w14:textFill>
              </w:rPr>
              <w:t>|||</w:t>
            </w:r>
            <w:r w:rsidR="00910397" w:rsidRPr="00910397">
              <w:rPr>
                <w:rFonts w:ascii="Arial Narrow" w:eastAsiaTheme="majorEastAsia" w:hAnsi="Arial Narrow" w:cstheme="majorBidi"/>
                <w:color w:val="000000"/>
                <w:spacing w:val="1"/>
                <w:sz w:val="20"/>
                <w:szCs w:val="20"/>
                <w:shd w:val="solid" w:color="000000" w:fill="000000"/>
                <w:fitText w:val="330" w:id="-663463161"/>
                <w14:textFill>
                  <w14:solidFill>
                    <w14:srgbClr w14:val="000000">
                      <w14:alpha w14:val="100000"/>
                    </w14:srgbClr>
                  </w14:solidFill>
                </w14:textFill>
              </w:rPr>
              <w:t>|</w:t>
            </w:r>
            <w:r w:rsidRPr="0098660A">
              <w:rPr>
                <w:rFonts w:ascii="Arial Narrow" w:eastAsiaTheme="majorEastAsia" w:hAnsi="Arial Narrow" w:cstheme="majorBidi"/>
                <w:sz w:val="20"/>
                <w:szCs w:val="20"/>
                <w:vertAlign w:val="superscript"/>
              </w:rPr>
              <w:t>b</w:t>
            </w:r>
          </w:p>
        </w:tc>
        <w:tc>
          <w:tcPr>
            <w:tcW w:w="873" w:type="dxa"/>
            <w:vAlign w:val="center"/>
          </w:tcPr>
          <w:p w14:paraId="07E6C2EA" w14:textId="77777777" w:rsidR="0032788C" w:rsidRPr="0098660A" w:rsidRDefault="0032788C">
            <w:pPr>
              <w:keepLines/>
              <w:jc w:val="center"/>
              <w:rPr>
                <w:rFonts w:ascii="Arial Narrow" w:hAnsi="Arial Narrow"/>
                <w:sz w:val="20"/>
                <w:szCs w:val="20"/>
              </w:rPr>
            </w:pPr>
            <w:r w:rsidRPr="0098660A">
              <w:rPr>
                <w:rFonts w:ascii="Arial Narrow" w:hAnsi="Arial Narrow"/>
                <w:sz w:val="20"/>
                <w:szCs w:val="20"/>
              </w:rPr>
              <w:t>1</w:t>
            </w:r>
          </w:p>
        </w:tc>
        <w:tc>
          <w:tcPr>
            <w:tcW w:w="872" w:type="dxa"/>
            <w:vAlign w:val="center"/>
          </w:tcPr>
          <w:p w14:paraId="3AD03EDC" w14:textId="77777777" w:rsidR="0032788C" w:rsidRPr="0098660A" w:rsidRDefault="0032788C">
            <w:pPr>
              <w:keepLines/>
              <w:jc w:val="center"/>
              <w:rPr>
                <w:rFonts w:ascii="Arial Narrow" w:hAnsi="Arial Narrow"/>
                <w:sz w:val="20"/>
                <w:szCs w:val="20"/>
              </w:rPr>
            </w:pPr>
            <w:r w:rsidRPr="0098660A">
              <w:rPr>
                <w:rFonts w:ascii="Arial Narrow" w:hAnsi="Arial Narrow"/>
                <w:sz w:val="20"/>
                <w:szCs w:val="20"/>
              </w:rPr>
              <w:t>1</w:t>
            </w:r>
          </w:p>
        </w:tc>
        <w:tc>
          <w:tcPr>
            <w:tcW w:w="727" w:type="dxa"/>
            <w:vAlign w:val="center"/>
          </w:tcPr>
          <w:p w14:paraId="62084C12" w14:textId="1F096FA8" w:rsidR="0032788C" w:rsidRPr="0098660A" w:rsidRDefault="0032788C">
            <w:pPr>
              <w:keepLines/>
              <w:jc w:val="center"/>
              <w:rPr>
                <w:rFonts w:ascii="Arial Narrow" w:hAnsi="Arial Narrow"/>
                <w:sz w:val="20"/>
                <w:szCs w:val="20"/>
              </w:rPr>
            </w:pPr>
            <w:r w:rsidRPr="0098660A">
              <w:rPr>
                <w:rFonts w:ascii="Arial Narrow" w:hAnsi="Arial Narrow"/>
                <w:sz w:val="20"/>
                <w:szCs w:val="20"/>
              </w:rPr>
              <w:t>5</w:t>
            </w:r>
          </w:p>
        </w:tc>
        <w:tc>
          <w:tcPr>
            <w:tcW w:w="1164" w:type="dxa"/>
            <w:vAlign w:val="center"/>
          </w:tcPr>
          <w:p w14:paraId="735B39AF" w14:textId="77777777" w:rsidR="0032788C" w:rsidRPr="0098660A" w:rsidRDefault="0032788C">
            <w:pPr>
              <w:keepLines/>
              <w:rPr>
                <w:rFonts w:ascii="Arial Narrow" w:hAnsi="Arial Narrow"/>
                <w:bCs/>
                <w:sz w:val="20"/>
                <w:szCs w:val="20"/>
              </w:rPr>
            </w:pPr>
            <w:proofErr w:type="spellStart"/>
            <w:r w:rsidRPr="0098660A">
              <w:rPr>
                <w:rFonts w:ascii="Arial Narrow" w:hAnsi="Arial Narrow"/>
                <w:bCs/>
                <w:sz w:val="20"/>
                <w:szCs w:val="20"/>
              </w:rPr>
              <w:t>Empaveli</w:t>
            </w:r>
            <w:proofErr w:type="spellEnd"/>
            <w:r w:rsidRPr="0098660A">
              <w:rPr>
                <w:rFonts w:ascii="Arial Narrow" w:hAnsi="Arial Narrow"/>
                <w:bCs/>
                <w:sz w:val="20"/>
                <w:szCs w:val="20"/>
              </w:rPr>
              <w:t>®</w:t>
            </w:r>
          </w:p>
        </w:tc>
      </w:tr>
    </w:tbl>
    <w:p w14:paraId="0170E289" w14:textId="5172FC28" w:rsidR="00B403A0" w:rsidRPr="0098660A" w:rsidRDefault="00CD269C" w:rsidP="00CD269C">
      <w:pPr>
        <w:pStyle w:val="FooterTableFigure"/>
        <w:spacing w:after="0"/>
      </w:pPr>
      <w:proofErr w:type="spellStart"/>
      <w:r w:rsidRPr="0098660A">
        <w:rPr>
          <w:vertAlign w:val="superscript"/>
        </w:rPr>
        <w:t>a</w:t>
      </w:r>
      <w:proofErr w:type="spellEnd"/>
      <w:r w:rsidRPr="0098660A">
        <w:rPr>
          <w:vertAlign w:val="superscript"/>
        </w:rPr>
        <w:t xml:space="preserve"> </w:t>
      </w:r>
      <w:r w:rsidR="00B403A0" w:rsidRPr="0098660A">
        <w:t xml:space="preserve">The published dispensed price in a private hospital setting has been updated using the current markup and dispensing fee.  </w:t>
      </w:r>
    </w:p>
    <w:p w14:paraId="61828641" w14:textId="2DF8EE99" w:rsidR="0032788C" w:rsidRPr="0098660A" w:rsidRDefault="00B403A0" w:rsidP="009141CB">
      <w:pPr>
        <w:pStyle w:val="FooterTableFigure"/>
      </w:pPr>
      <w:r w:rsidRPr="0098660A">
        <w:rPr>
          <w:vertAlign w:val="superscript"/>
        </w:rPr>
        <w:t xml:space="preserve">b </w:t>
      </w:r>
      <w:r w:rsidR="00CD269C" w:rsidRPr="0098660A">
        <w:t xml:space="preserve">The </w:t>
      </w:r>
      <w:r w:rsidRPr="0098660A">
        <w:t>s</w:t>
      </w:r>
      <w:r w:rsidR="00CD269C" w:rsidRPr="0098660A">
        <w:t>ponsor request</w:t>
      </w:r>
      <w:r w:rsidR="00D04605" w:rsidRPr="0098660A">
        <w:t>ed</w:t>
      </w:r>
      <w:r w:rsidR="00CD269C" w:rsidRPr="0098660A">
        <w:t xml:space="preserve"> the same effective price for pegcetacoplan as it is currently listed on the PBS</w:t>
      </w:r>
      <w:r w:rsidRPr="0098660A">
        <w:t xml:space="preserve">. The effective dispensed price in a private hospital setting has been </w:t>
      </w:r>
      <w:r w:rsidR="00024D7E" w:rsidRPr="0098660A">
        <w:t>calculated</w:t>
      </w:r>
      <w:r w:rsidRPr="0098660A">
        <w:t xml:space="preserve"> using the current markup and dispensing fee.</w:t>
      </w:r>
    </w:p>
    <w:p w14:paraId="60EC4A1A" w14:textId="127C94F5" w:rsidR="0032788C" w:rsidRPr="0098660A" w:rsidRDefault="00B25076" w:rsidP="00F9393E">
      <w:pPr>
        <w:pStyle w:val="3-BodyText"/>
        <w:rPr>
          <w:color w:val="000000" w:themeColor="text1"/>
        </w:rPr>
      </w:pPr>
      <w:r w:rsidRPr="0098660A">
        <w:rPr>
          <w:color w:val="000000" w:themeColor="text1"/>
        </w:rPr>
        <w:t xml:space="preserve">The requested initiation restrictions included the following patient groups: (1) adult patients with confirmed PNH who have not received any C5i therapy within 3 months before the initiation of pegcetacoplan, (2) adult patients with confirmed PNH who </w:t>
      </w:r>
      <w:r w:rsidR="00D050B5" w:rsidRPr="0098660A">
        <w:rPr>
          <w:color w:val="000000" w:themeColor="text1"/>
        </w:rPr>
        <w:lastRenderedPageBreak/>
        <w:t>have been</w:t>
      </w:r>
      <w:r w:rsidRPr="0098660A">
        <w:rPr>
          <w:color w:val="000000" w:themeColor="text1"/>
        </w:rPr>
        <w:t xml:space="preserve"> receiving a C5i treatment for at least 3 months before the initiation of pegcetacoplan, but switching from C5i to </w:t>
      </w:r>
      <w:r w:rsidR="00D050B5" w:rsidRPr="0098660A">
        <w:rPr>
          <w:color w:val="000000" w:themeColor="text1"/>
        </w:rPr>
        <w:t xml:space="preserve">pegcetacoplan at the treating clinicians and patients’ discretion, regardless of the response to the current C5i therapy, and (3) adult patients with PNH, both C5i-naïve and experienced, who are currently receiving pegcetacoplan as treatment. </w:t>
      </w:r>
    </w:p>
    <w:p w14:paraId="5269AC34" w14:textId="5A1FA9BE" w:rsidR="00D27E91" w:rsidRPr="0098660A" w:rsidRDefault="00D27E91" w:rsidP="00D27E91">
      <w:pPr>
        <w:pStyle w:val="3-BodyText"/>
        <w:rPr>
          <w:color w:val="000000" w:themeColor="text1"/>
        </w:rPr>
      </w:pPr>
      <w:bookmarkStart w:id="12" w:name="_Ref190076277"/>
      <w:r w:rsidRPr="0098660A">
        <w:rPr>
          <w:color w:val="000000" w:themeColor="text1"/>
        </w:rPr>
        <w:t>The</w:t>
      </w:r>
      <w:r w:rsidR="006357C4" w:rsidRPr="0098660A">
        <w:rPr>
          <w:color w:val="000000" w:themeColor="text1"/>
        </w:rPr>
        <w:t xml:space="preserve"> submission proposed a published </w:t>
      </w:r>
      <w:r w:rsidR="000312F8" w:rsidRPr="0098660A">
        <w:rPr>
          <w:color w:val="000000" w:themeColor="text1"/>
        </w:rPr>
        <w:t xml:space="preserve">dispensed </w:t>
      </w:r>
      <w:r w:rsidR="006357C4" w:rsidRPr="0098660A">
        <w:rPr>
          <w:color w:val="000000" w:themeColor="text1"/>
        </w:rPr>
        <w:t xml:space="preserve">price of $4,343.86 for public hospital and $4,392.23 for private hospital. The submission requested the same effective price for pegcetacoplan as </w:t>
      </w:r>
      <w:r w:rsidR="008F42E8" w:rsidRPr="0098660A">
        <w:rPr>
          <w:color w:val="000000" w:themeColor="text1"/>
        </w:rPr>
        <w:t>wa</w:t>
      </w:r>
      <w:r w:rsidR="006357C4" w:rsidRPr="0098660A">
        <w:rPr>
          <w:color w:val="000000" w:themeColor="text1"/>
        </w:rPr>
        <w:t>s currently in place for second-line use of pegcetacoplan</w:t>
      </w:r>
      <w:r w:rsidR="003D5BCF" w:rsidRPr="0098660A">
        <w:rPr>
          <w:color w:val="000000" w:themeColor="text1"/>
        </w:rPr>
        <w:t xml:space="preserve"> </w:t>
      </w:r>
      <w:r w:rsidR="003D5BCF" w:rsidRPr="0098660A">
        <w:rPr>
          <w:iCs/>
          <w:color w:val="000000" w:themeColor="text1"/>
        </w:rPr>
        <w:t>(</w:t>
      </w:r>
      <w:r w:rsidR="00353C1C" w:rsidRPr="0098660A">
        <w:rPr>
          <w:iCs/>
          <w:color w:val="000000" w:themeColor="text1"/>
        </w:rPr>
        <w:t>$</w:t>
      </w:r>
      <w:r w:rsidR="00910397" w:rsidRPr="00910397">
        <w:rPr>
          <w:iCs/>
          <w:color w:val="000000" w:themeColor="text1"/>
          <w:w w:val="60"/>
          <w:shd w:val="solid" w:color="000000" w:fill="000000"/>
          <w:fitText w:val="470" w:id="-663463160"/>
          <w14:textFill>
            <w14:solidFill>
              <w14:schemeClr w14:val="tx1">
                <w14:alpha w14:val="100000"/>
              </w14:schemeClr>
            </w14:solidFill>
          </w14:textFill>
        </w:rPr>
        <w:t>|||  ||</w:t>
      </w:r>
      <w:r w:rsidR="00910397" w:rsidRPr="00910397">
        <w:rPr>
          <w:iCs/>
          <w:color w:val="000000" w:themeColor="text1"/>
          <w:spacing w:val="6"/>
          <w:w w:val="60"/>
          <w:shd w:val="solid" w:color="000000" w:fill="000000"/>
          <w:fitText w:val="470" w:id="-663463160"/>
          <w14:textFill>
            <w14:solidFill>
              <w14:schemeClr w14:val="tx1">
                <w14:alpha w14:val="100000"/>
              </w14:schemeClr>
            </w14:solidFill>
          </w14:textFill>
        </w:rPr>
        <w:t>|</w:t>
      </w:r>
      <w:r w:rsidR="00353C1C" w:rsidRPr="0098660A">
        <w:rPr>
          <w:iCs/>
          <w:color w:val="000000" w:themeColor="text1"/>
        </w:rPr>
        <w:t xml:space="preserve"> for public hospital and </w:t>
      </w:r>
      <w:r w:rsidR="003D5BCF" w:rsidRPr="0098660A">
        <w:rPr>
          <w:iCs/>
          <w:color w:val="000000" w:themeColor="text1"/>
        </w:rPr>
        <w:t>$</w:t>
      </w:r>
      <w:r w:rsidR="00910397" w:rsidRPr="00910397">
        <w:rPr>
          <w:iCs/>
          <w:color w:val="000000" w:themeColor="text1"/>
          <w:w w:val="60"/>
          <w:shd w:val="solid" w:color="000000" w:fill="000000"/>
          <w:fitText w:val="470" w:id="-663463159"/>
          <w14:textFill>
            <w14:solidFill>
              <w14:schemeClr w14:val="tx1">
                <w14:alpha w14:val="100000"/>
              </w14:schemeClr>
            </w14:solidFill>
          </w14:textFill>
        </w:rPr>
        <w:t>|||  ||</w:t>
      </w:r>
      <w:r w:rsidR="00910397" w:rsidRPr="00910397">
        <w:rPr>
          <w:iCs/>
          <w:color w:val="000000" w:themeColor="text1"/>
          <w:spacing w:val="6"/>
          <w:w w:val="60"/>
          <w:shd w:val="solid" w:color="000000" w:fill="000000"/>
          <w:fitText w:val="470" w:id="-663463159"/>
          <w14:textFill>
            <w14:solidFill>
              <w14:schemeClr w14:val="tx1">
                <w14:alpha w14:val="100000"/>
              </w14:schemeClr>
            </w14:solidFill>
          </w14:textFill>
        </w:rPr>
        <w:t>|</w:t>
      </w:r>
      <w:r w:rsidR="00353C1C" w:rsidRPr="0098660A">
        <w:rPr>
          <w:iCs/>
          <w:color w:val="000000" w:themeColor="text1"/>
        </w:rPr>
        <w:t xml:space="preserve"> for private hospital)</w:t>
      </w:r>
      <w:r w:rsidR="006357C4" w:rsidRPr="0098660A">
        <w:rPr>
          <w:color w:val="000000" w:themeColor="text1"/>
        </w:rPr>
        <w:t xml:space="preserve">. The current PBS restriction for initiation of pegcetacoplan treatment in C5i-experienced patients who show inadequate response or intolerance to the C5i is associated with a Special Pricing Arrangement (SPA) to ensure pegcetacoplan is cost-neutral for those switching from C5is. There is a </w:t>
      </w:r>
      <w:r w:rsidR="00910397" w:rsidRPr="00910397">
        <w:rPr>
          <w:color w:val="000000" w:themeColor="text1"/>
          <w:w w:val="62"/>
          <w:shd w:val="solid" w:color="000000" w:fill="000000"/>
          <w:fitText w:val="480" w:id="-663463158"/>
          <w14:textFill>
            <w14:solidFill>
              <w14:schemeClr w14:val="tx1">
                <w14:alpha w14:val="100000"/>
              </w14:schemeClr>
            </w14:solidFill>
          </w14:textFill>
        </w:rPr>
        <w:t>|||  ||</w:t>
      </w:r>
      <w:r w:rsidR="00910397" w:rsidRPr="00910397">
        <w:rPr>
          <w:color w:val="000000" w:themeColor="text1"/>
          <w:spacing w:val="2"/>
          <w:w w:val="62"/>
          <w:shd w:val="solid" w:color="000000" w:fill="000000"/>
          <w:fitText w:val="480" w:id="-663463158"/>
          <w14:textFill>
            <w14:solidFill>
              <w14:schemeClr w14:val="tx1">
                <w14:alpha w14:val="100000"/>
              </w14:schemeClr>
            </w14:solidFill>
          </w14:textFill>
        </w:rPr>
        <w:t>|</w:t>
      </w:r>
      <w:r w:rsidR="006357C4" w:rsidRPr="0098660A">
        <w:rPr>
          <w:color w:val="000000" w:themeColor="text1"/>
        </w:rPr>
        <w:t xml:space="preserve">% price rebate (via SPA) for </w:t>
      </w:r>
      <w:r w:rsidR="00910397" w:rsidRPr="00910397">
        <w:rPr>
          <w:color w:val="000000" w:themeColor="text1"/>
          <w:w w:val="62"/>
          <w:shd w:val="solid" w:color="000000" w:fill="000000"/>
          <w:fitText w:val="480" w:id="-663463157"/>
          <w14:textFill>
            <w14:solidFill>
              <w14:schemeClr w14:val="tx1">
                <w14:alpha w14:val="100000"/>
              </w14:schemeClr>
            </w14:solidFill>
          </w14:textFill>
        </w:rPr>
        <w:t>|||  ||</w:t>
      </w:r>
      <w:r w:rsidR="00910397" w:rsidRPr="00910397">
        <w:rPr>
          <w:color w:val="000000" w:themeColor="text1"/>
          <w:spacing w:val="2"/>
          <w:w w:val="62"/>
          <w:shd w:val="solid" w:color="000000" w:fill="000000"/>
          <w:fitText w:val="480" w:id="-663463157"/>
          <w14:textFill>
            <w14:solidFill>
              <w14:schemeClr w14:val="tx1">
                <w14:alpha w14:val="100000"/>
              </w14:schemeClr>
            </w14:solidFill>
          </w14:textFill>
        </w:rPr>
        <w:t>|</w:t>
      </w:r>
      <w:r w:rsidR="003A72D2" w:rsidRPr="003A72D2">
        <w:rPr>
          <w:color w:val="000000" w:themeColor="text1"/>
        </w:rPr>
        <w:t xml:space="preserve"> </w:t>
      </w:r>
      <w:r w:rsidR="00910397" w:rsidRPr="00910397">
        <w:rPr>
          <w:color w:val="000000" w:themeColor="text1"/>
          <w:w w:val="62"/>
          <w:shd w:val="solid" w:color="000000" w:fill="000000"/>
          <w:fitText w:val="480" w:id="-663463156"/>
          <w14:textFill>
            <w14:solidFill>
              <w14:schemeClr w14:val="tx1">
                <w14:alpha w14:val="100000"/>
              </w14:schemeClr>
            </w14:solidFill>
          </w14:textFill>
        </w:rPr>
        <w:t>|||  ||</w:t>
      </w:r>
      <w:r w:rsidR="00910397" w:rsidRPr="00910397">
        <w:rPr>
          <w:color w:val="000000" w:themeColor="text1"/>
          <w:spacing w:val="2"/>
          <w:w w:val="62"/>
          <w:shd w:val="solid" w:color="000000" w:fill="000000"/>
          <w:fitText w:val="480" w:id="-663463156"/>
          <w14:textFill>
            <w14:solidFill>
              <w14:schemeClr w14:val="tx1">
                <w14:alpha w14:val="100000"/>
              </w14:schemeClr>
            </w14:solidFill>
          </w14:textFill>
        </w:rPr>
        <w:t>|</w:t>
      </w:r>
      <w:r w:rsidR="003A72D2" w:rsidRPr="003A72D2">
        <w:rPr>
          <w:color w:val="000000" w:themeColor="text1"/>
        </w:rPr>
        <w:t xml:space="preserve"> </w:t>
      </w:r>
      <w:r w:rsidR="00910397" w:rsidRPr="00910397">
        <w:rPr>
          <w:color w:val="000000" w:themeColor="text1"/>
          <w:w w:val="60"/>
          <w:shd w:val="solid" w:color="000000" w:fill="000000"/>
          <w:fitText w:val="470" w:id="-663463155"/>
          <w14:textFill>
            <w14:solidFill>
              <w14:schemeClr w14:val="tx1">
                <w14:alpha w14:val="100000"/>
              </w14:schemeClr>
            </w14:solidFill>
          </w14:textFill>
        </w:rPr>
        <w:t>|||  ||</w:t>
      </w:r>
      <w:r w:rsidR="00910397" w:rsidRPr="00910397">
        <w:rPr>
          <w:color w:val="000000" w:themeColor="text1"/>
          <w:spacing w:val="6"/>
          <w:w w:val="60"/>
          <w:shd w:val="solid" w:color="000000" w:fill="000000"/>
          <w:fitText w:val="470" w:id="-663463155"/>
          <w14:textFill>
            <w14:solidFill>
              <w14:schemeClr w14:val="tx1">
                <w14:alpha w14:val="100000"/>
              </w14:schemeClr>
            </w14:solidFill>
          </w14:textFill>
        </w:rPr>
        <w:t>|</w:t>
      </w:r>
      <w:r w:rsidR="003A72D2" w:rsidRPr="003A72D2">
        <w:rPr>
          <w:color w:val="000000" w:themeColor="text1"/>
        </w:rPr>
        <w:t xml:space="preserve"> </w:t>
      </w:r>
      <w:r w:rsidR="00910397" w:rsidRPr="00910397">
        <w:rPr>
          <w:color w:val="000000" w:themeColor="text1"/>
          <w:w w:val="60"/>
          <w:shd w:val="solid" w:color="000000" w:fill="000000"/>
          <w:fitText w:val="470" w:id="-663463154"/>
          <w14:textFill>
            <w14:solidFill>
              <w14:schemeClr w14:val="tx1">
                <w14:alpha w14:val="100000"/>
              </w14:schemeClr>
            </w14:solidFill>
          </w14:textFill>
        </w:rPr>
        <w:t>|||  ||</w:t>
      </w:r>
      <w:r w:rsidR="00910397" w:rsidRPr="00910397">
        <w:rPr>
          <w:color w:val="000000" w:themeColor="text1"/>
          <w:spacing w:val="6"/>
          <w:w w:val="60"/>
          <w:shd w:val="solid" w:color="000000" w:fill="000000"/>
          <w:fitText w:val="470" w:id="-663463154"/>
          <w14:textFill>
            <w14:solidFill>
              <w14:schemeClr w14:val="tx1">
                <w14:alpha w14:val="100000"/>
              </w14:schemeClr>
            </w14:solidFill>
          </w14:textFill>
        </w:rPr>
        <w:t>|</w:t>
      </w:r>
      <w:r w:rsidR="003A72D2" w:rsidRPr="003A72D2">
        <w:rPr>
          <w:color w:val="000000" w:themeColor="text1"/>
        </w:rPr>
        <w:t xml:space="preserve"> </w:t>
      </w:r>
      <w:r w:rsidR="00910397" w:rsidRPr="008E0BAA">
        <w:rPr>
          <w:color w:val="000000" w:themeColor="text1"/>
          <w:w w:val="60"/>
          <w:shd w:val="solid" w:color="000000" w:fill="000000"/>
          <w:fitText w:val="470" w:id="-663463153"/>
          <w14:textFill>
            <w14:solidFill>
              <w14:schemeClr w14:val="tx1">
                <w14:alpha w14:val="100000"/>
              </w14:schemeClr>
            </w14:solidFill>
          </w14:textFill>
        </w:rPr>
        <w:t>|||  ||</w:t>
      </w:r>
      <w:r w:rsidR="00910397" w:rsidRPr="008E0BAA">
        <w:rPr>
          <w:color w:val="000000" w:themeColor="text1"/>
          <w:spacing w:val="6"/>
          <w:w w:val="60"/>
          <w:shd w:val="solid" w:color="000000" w:fill="000000"/>
          <w:fitText w:val="470" w:id="-663463153"/>
          <w14:textFill>
            <w14:solidFill>
              <w14:schemeClr w14:val="tx1">
                <w14:alpha w14:val="100000"/>
              </w14:schemeClr>
            </w14:solidFill>
          </w14:textFill>
        </w:rPr>
        <w:t>|</w:t>
      </w:r>
      <w:r w:rsidR="006357C4" w:rsidRPr="0098660A">
        <w:rPr>
          <w:color w:val="000000" w:themeColor="text1"/>
        </w:rPr>
        <w:t xml:space="preserve"> when pegcetacoplan is used in addition to C5i treatment. The submission continued to request a SPA for the initiation of the drug in patients switching from a C5i as determined by their treating clinicians, regardless of their response to the C5i therapy.</w:t>
      </w:r>
      <w:r w:rsidRPr="0098660A">
        <w:rPr>
          <w:color w:val="000000" w:themeColor="text1"/>
        </w:rPr>
        <w:t xml:space="preserve"> </w:t>
      </w:r>
      <w:bookmarkEnd w:id="12"/>
    </w:p>
    <w:p w14:paraId="316EC74B" w14:textId="506B282F" w:rsidR="00DA4024" w:rsidRPr="0098660A" w:rsidRDefault="009A7778" w:rsidP="000E2127">
      <w:pPr>
        <w:pStyle w:val="3-BodyText"/>
      </w:pPr>
      <w:r w:rsidRPr="0098660A">
        <w:t>T</w:t>
      </w:r>
      <w:r w:rsidR="005F3E2D" w:rsidRPr="0098660A">
        <w:t xml:space="preserve">he proportion of PNH patients who would switch to pegcetacoplan from the current C5i treatment </w:t>
      </w:r>
      <w:r w:rsidRPr="0098660A">
        <w:t xml:space="preserve">was uncertain and </w:t>
      </w:r>
      <w:r w:rsidR="005F3E2D" w:rsidRPr="0098660A">
        <w:t xml:space="preserve">there was no restriction proposed for patients who switch. </w:t>
      </w:r>
      <w:r w:rsidR="00EB3D57" w:rsidRPr="0098660A">
        <w:t xml:space="preserve">This has been </w:t>
      </w:r>
      <w:r w:rsidR="00A27E84" w:rsidRPr="0098660A">
        <w:t>clarified</w:t>
      </w:r>
      <w:r w:rsidR="00EB3D57" w:rsidRPr="0098660A">
        <w:t xml:space="preserve"> in proposed </w:t>
      </w:r>
      <w:r w:rsidR="00A27E84" w:rsidRPr="0098660A">
        <w:t>restriction changes</w:t>
      </w:r>
      <w:r w:rsidR="00DD1B15" w:rsidRPr="0098660A">
        <w:t>,</w:t>
      </w:r>
      <w:r w:rsidR="00A27E84" w:rsidRPr="0098660A">
        <w:t xml:space="preserve"> </w:t>
      </w:r>
      <w:proofErr w:type="gramStart"/>
      <w:r w:rsidR="00200111" w:rsidRPr="0098660A">
        <w:t xml:space="preserve">from </w:t>
      </w:r>
      <w:r w:rsidR="00A27E84" w:rsidRPr="0098660A">
        <w:t>the Secretariat</w:t>
      </w:r>
      <w:r w:rsidR="00200111" w:rsidRPr="0098660A">
        <w:t>,</w:t>
      </w:r>
      <w:proofErr w:type="gramEnd"/>
      <w:r w:rsidR="00200111" w:rsidRPr="0098660A">
        <w:t xml:space="preserve"> </w:t>
      </w:r>
      <w:r w:rsidR="000A1713" w:rsidRPr="0098660A">
        <w:t xml:space="preserve">to </w:t>
      </w:r>
      <w:r w:rsidR="0055651A" w:rsidRPr="0098660A">
        <w:t xml:space="preserve">an </w:t>
      </w:r>
      <w:r w:rsidR="00741EDC" w:rsidRPr="0098660A">
        <w:t>‘</w:t>
      </w:r>
      <w:r w:rsidR="00C50A1E" w:rsidRPr="0098660A">
        <w:t>Initial 1</w:t>
      </w:r>
      <w:r w:rsidR="00741EDC" w:rsidRPr="0098660A">
        <w:t xml:space="preserve"> treatment</w:t>
      </w:r>
      <w:r w:rsidR="00C50A1E" w:rsidRPr="0098660A">
        <w:t xml:space="preserve"> (</w:t>
      </w:r>
      <w:r w:rsidR="00741EDC" w:rsidRPr="0098660A">
        <w:rPr>
          <w:snapToGrid w:val="0"/>
        </w:rPr>
        <w:t>complement inhibitor untreated patients</w:t>
      </w:r>
      <w:r w:rsidR="00C50A1E" w:rsidRPr="0098660A">
        <w:t>)</w:t>
      </w:r>
      <w:r w:rsidR="00DA3988" w:rsidRPr="0098660A">
        <w:t>’</w:t>
      </w:r>
      <w:r w:rsidR="00C50A1E" w:rsidRPr="0098660A">
        <w:t xml:space="preserve"> restriction with wording aligned with existing new untreated patient listings for ravulizumab and eculizumab, and</w:t>
      </w:r>
      <w:r w:rsidR="0055651A" w:rsidRPr="0098660A">
        <w:t xml:space="preserve"> an</w:t>
      </w:r>
      <w:r w:rsidR="00C50A1E" w:rsidRPr="0098660A">
        <w:t xml:space="preserve"> ‘Initial 2 (</w:t>
      </w:r>
      <w:r w:rsidR="00DA3988" w:rsidRPr="0098660A">
        <w:rPr>
          <w:snapToGrid w:val="0"/>
        </w:rPr>
        <w:t>complement inhibitor experienced patients</w:t>
      </w:r>
      <w:r w:rsidR="00C50A1E" w:rsidRPr="0098660A">
        <w:t>)’ restriction, with the removal of the haemoglobin threshold.</w:t>
      </w:r>
      <w:r w:rsidR="00200111" w:rsidRPr="0098660A">
        <w:t xml:space="preserve"> </w:t>
      </w:r>
      <w:r w:rsidR="005F3E2D" w:rsidRPr="0098660A">
        <w:t xml:space="preserve">For PNH patients who are C5i-naïve and less able to attend treatment centres / hospitals for </w:t>
      </w:r>
      <w:r w:rsidR="00C678F3" w:rsidRPr="0098660A">
        <w:t>intravenous (</w:t>
      </w:r>
      <w:r w:rsidR="005F3E2D" w:rsidRPr="0098660A">
        <w:t>IV</w:t>
      </w:r>
      <w:r w:rsidR="00C678F3" w:rsidRPr="0098660A">
        <w:t>)</w:t>
      </w:r>
      <w:r w:rsidR="005F3E2D" w:rsidRPr="0098660A">
        <w:t xml:space="preserve"> infusions, there may be a preference for the use of pegcetacoplan due to the ability to self-administer.</w:t>
      </w:r>
      <w:r w:rsidR="00DA4024" w:rsidRPr="0098660A">
        <w:t xml:space="preserve"> </w:t>
      </w:r>
    </w:p>
    <w:p w14:paraId="6FC33BC1" w14:textId="048C627E" w:rsidR="00DA4024" w:rsidRPr="0098660A" w:rsidRDefault="00DA4024" w:rsidP="00E9736B">
      <w:pPr>
        <w:pStyle w:val="3-BodyText"/>
      </w:pPr>
      <w:r w:rsidRPr="0098660A">
        <w:t>The PBS restrictions for ravulizumab and eculizumab require eligible patients to have at least one of the following: (1) experienced a thrombotic/embolic event that required anticoagulant therapy, (2) transfusion with ≥ 4 units of packed red blood cell (PRBC) in the prior 12 months, (3) chronic/recurrent anaemia with multiple haemoglobin measurements not exceeding 7.</w:t>
      </w:r>
      <w:r w:rsidR="00762F3D" w:rsidRPr="0098660A">
        <w:t>0 </w:t>
      </w:r>
      <w:r w:rsidRPr="0098660A">
        <w:t>g/dL in the absence of anaemia symptoms, (4) chronic/recurrent anaemia with multiple haemoglobin measurements not exceeding 10</w:t>
      </w:r>
      <w:r w:rsidR="00762F3D" w:rsidRPr="0098660A">
        <w:t> </w:t>
      </w:r>
      <w:r w:rsidRPr="0098660A">
        <w:t>g/dL in addition to having anaemia symptoms, (5) debilitating shortness of breath/chest pain resulting in limitation of normal activity and/or established diagnosis of pulmonary arterial hypertension, (6) a history of renal insufficiency, demonstrated by an estimated glomerular filtration rate (eGFR) ≤</w:t>
      </w:r>
      <w:r w:rsidR="00762F3D" w:rsidRPr="0098660A">
        <w:t> </w:t>
      </w:r>
      <w:r w:rsidRPr="0098660A">
        <w:t>60</w:t>
      </w:r>
      <w:r w:rsidR="00762F3D" w:rsidRPr="0098660A">
        <w:t> </w:t>
      </w:r>
      <w:r w:rsidRPr="0098660A">
        <w:t>mL/min/1.73m</w:t>
      </w:r>
      <w:r w:rsidRPr="0098660A">
        <w:rPr>
          <w:vertAlign w:val="superscript"/>
        </w:rPr>
        <w:t>2</w:t>
      </w:r>
      <w:r w:rsidRPr="0098660A">
        <w:t>, or (7) recurrent episodes of severe pain requiring hospitalisation and/or narcotic analgesia.</w:t>
      </w:r>
      <w:r w:rsidR="00E9736B" w:rsidRPr="0098660A">
        <w:t xml:space="preserve"> </w:t>
      </w:r>
      <w:r w:rsidRPr="0098660A">
        <w:t xml:space="preserve">These criteria were not included in the proposed restriction for pegcetacoplan. </w:t>
      </w:r>
      <w:r w:rsidR="00C56B0E" w:rsidRPr="0098660A">
        <w:t>This may result in</w:t>
      </w:r>
      <w:r w:rsidRPr="0098660A">
        <w:t xml:space="preserve"> PNH patients with milder symptoms </w:t>
      </w:r>
      <w:r w:rsidR="00C56B0E" w:rsidRPr="0098660A">
        <w:t xml:space="preserve">being </w:t>
      </w:r>
      <w:r w:rsidRPr="0098660A">
        <w:t xml:space="preserve">treated with pegcetacoplan resulting in an </w:t>
      </w:r>
      <w:r w:rsidR="008D1066" w:rsidRPr="0098660A">
        <w:t>expanded</w:t>
      </w:r>
      <w:r w:rsidRPr="0098660A">
        <w:t xml:space="preserve"> market. The cost-effectiveness of pegcetacoplan in patients with milder PNH symptoms </w:t>
      </w:r>
      <w:r w:rsidR="00F660F6" w:rsidRPr="0098660A">
        <w:t>wa</w:t>
      </w:r>
      <w:r w:rsidRPr="0098660A">
        <w:t>s unknown.</w:t>
      </w:r>
      <w:r w:rsidR="00D615A6" w:rsidRPr="0098660A">
        <w:t xml:space="preserve"> </w:t>
      </w:r>
      <w:r w:rsidR="009539EF" w:rsidRPr="0098660A">
        <w:rPr>
          <w:iCs/>
        </w:rPr>
        <w:t xml:space="preserve">The ESC advised </w:t>
      </w:r>
      <w:r w:rsidR="00F660F6" w:rsidRPr="0098660A">
        <w:rPr>
          <w:iCs/>
        </w:rPr>
        <w:t xml:space="preserve">that </w:t>
      </w:r>
      <w:r w:rsidR="009539EF" w:rsidRPr="0098660A">
        <w:rPr>
          <w:iCs/>
        </w:rPr>
        <w:t xml:space="preserve">the </w:t>
      </w:r>
      <w:r w:rsidR="00762F3D" w:rsidRPr="0098660A">
        <w:rPr>
          <w:iCs/>
        </w:rPr>
        <w:t>pegcetacoplan</w:t>
      </w:r>
      <w:r w:rsidR="009539EF" w:rsidRPr="0098660A">
        <w:rPr>
          <w:iCs/>
        </w:rPr>
        <w:t xml:space="preserve"> restriction should align with the C5i PBS listings for </w:t>
      </w:r>
      <w:r w:rsidR="009539EF" w:rsidRPr="0098660A">
        <w:rPr>
          <w:iCs/>
        </w:rPr>
        <w:lastRenderedPageBreak/>
        <w:t xml:space="preserve">PNH. </w:t>
      </w:r>
      <w:r w:rsidR="00D615A6" w:rsidRPr="0098660A">
        <w:rPr>
          <w:iCs/>
        </w:rPr>
        <w:t>The pre-sub-committee response (PSCR) clarified that the removal of haemoglobin level criteria was intended for the ‘Initial 2 (switching from Complement 5 inhibitor)’ restriction; the ESC agreed with the Secretariat proposed changes to align with the C5</w:t>
      </w:r>
      <w:r w:rsidR="003F6159" w:rsidRPr="0098660A">
        <w:rPr>
          <w:iCs/>
        </w:rPr>
        <w:t>i</w:t>
      </w:r>
      <w:r w:rsidR="00D615A6" w:rsidRPr="0098660A">
        <w:rPr>
          <w:iCs/>
        </w:rPr>
        <w:t xml:space="preserve"> PBS restrictions and noted the PSCR agreed with Secretariat revised wording for ‘Initial 1’ and ‘Initial 2’ restrictions.</w:t>
      </w:r>
    </w:p>
    <w:p w14:paraId="0055B905" w14:textId="384C112C" w:rsidR="001B489F" w:rsidRPr="0098660A" w:rsidRDefault="000B72B2" w:rsidP="00555D73">
      <w:pPr>
        <w:pStyle w:val="3-BodyText"/>
        <w:rPr>
          <w:i/>
          <w:iCs/>
        </w:rPr>
      </w:pPr>
      <w:bookmarkStart w:id="13" w:name="_Ref198032641"/>
      <w:r w:rsidRPr="0098660A">
        <w:t>The pre-PBAC response rai</w:t>
      </w:r>
      <w:r w:rsidR="008C1F19" w:rsidRPr="0098660A">
        <w:t>s</w:t>
      </w:r>
      <w:r w:rsidRPr="0098660A">
        <w:t xml:space="preserve">ed that </w:t>
      </w:r>
      <w:r w:rsidR="00077F6D" w:rsidRPr="0098660A">
        <w:t>the sponsor</w:t>
      </w:r>
      <w:r w:rsidRPr="0098660A">
        <w:t xml:space="preserve"> ha</w:t>
      </w:r>
      <w:r w:rsidR="00077F6D" w:rsidRPr="0098660A">
        <w:t>d</w:t>
      </w:r>
      <w:r w:rsidRPr="0098660A">
        <w:t xml:space="preserve"> recently initiated an early access program for patients who are naïve to C5i therapy and for patients who are C5i experienced with a haemoglobin level ≥10.5 g/dL. These patients would meet the eligibility criteria under the proposed PBS listing. As such, grandfather restrictions are requested for the two aforementioned indications, to allow these patients to transition to PBS-subsidised pegcetacoplan upon PBS listing. It </w:t>
      </w:r>
      <w:r w:rsidR="00A834CA" w:rsidRPr="0098660A">
        <w:t>wa</w:t>
      </w:r>
      <w:r w:rsidRPr="0098660A">
        <w:t>s proposed that the clinical criteria for the Grandfather restriction align with the Continuing Treatment criteria</w:t>
      </w:r>
      <w:r w:rsidR="00077F6D" w:rsidRPr="0098660A">
        <w:t>.</w:t>
      </w:r>
      <w:bookmarkEnd w:id="13"/>
    </w:p>
    <w:p w14:paraId="7E55D0FA" w14:textId="057F5111" w:rsidR="00020AB4" w:rsidRPr="0098660A" w:rsidRDefault="001B489F" w:rsidP="00020AB4">
      <w:pPr>
        <w:pStyle w:val="3-BodyText"/>
        <w:numPr>
          <w:ilvl w:val="0"/>
          <w:numId w:val="0"/>
        </w:numPr>
        <w:ind w:left="720"/>
        <w:rPr>
          <w:i/>
          <w:iCs/>
        </w:rPr>
      </w:pPr>
      <w:r w:rsidRPr="0098660A">
        <w:rPr>
          <w:i/>
          <w:iCs/>
        </w:rPr>
        <w:t>For more detail on PBAC’s view, see section 7 PBAC outcome.</w:t>
      </w:r>
    </w:p>
    <w:p w14:paraId="7075B85C" w14:textId="62A47B7B" w:rsidR="00B50DB8" w:rsidRPr="0098660A" w:rsidDel="00195452" w:rsidRDefault="00203181" w:rsidP="004E18E9">
      <w:pPr>
        <w:pStyle w:val="2-SectionHeading"/>
      </w:pPr>
      <w:bookmarkStart w:id="14" w:name="_Toc193368015"/>
      <w:r w:rsidRPr="0098660A" w:rsidDel="00195452">
        <w:t xml:space="preserve">Population and </w:t>
      </w:r>
      <w:r w:rsidR="008E0D3C" w:rsidRPr="0098660A" w:rsidDel="00195452">
        <w:t>d</w:t>
      </w:r>
      <w:r w:rsidRPr="0098660A" w:rsidDel="00195452">
        <w:t>isease</w:t>
      </w:r>
      <w:bookmarkEnd w:id="14"/>
    </w:p>
    <w:p w14:paraId="4680140F" w14:textId="39F18138" w:rsidR="00D27E91" w:rsidRPr="0098660A" w:rsidRDefault="00D27E91" w:rsidP="00D27E91">
      <w:pPr>
        <w:pStyle w:val="3-BodyText"/>
        <w:numPr>
          <w:ilvl w:val="1"/>
          <w:numId w:val="1"/>
        </w:numPr>
        <w:spacing w:before="0"/>
      </w:pPr>
      <w:bookmarkStart w:id="15" w:name="_Ref191394309"/>
      <w:r w:rsidRPr="0098660A">
        <w:t>PNH is a rare, chronic, and life-threatening blood disease that is most often diagnosed in young adults 30 to 40 years of age. The disease has been reported worldwide and affects male and female equally. Some studies reported that PNH-associated thrombosis occurred more frequently in patients in the western countries (in up to 30% of patients with PNH) compared to in less than 15% of patients in Asian countries</w:t>
      </w:r>
      <w:r w:rsidR="000312F8" w:rsidRPr="0098660A">
        <w:t>.</w:t>
      </w:r>
      <w:r w:rsidRPr="0098660A">
        <w:rPr>
          <w:rStyle w:val="FootnoteReference"/>
        </w:rPr>
        <w:footnoteReference w:id="3"/>
      </w:r>
      <w:r w:rsidRPr="0098660A">
        <w:rPr>
          <w:vertAlign w:val="superscript"/>
        </w:rPr>
        <w:t>,</w:t>
      </w:r>
      <w:r w:rsidRPr="0098660A">
        <w:rPr>
          <w:rStyle w:val="FootnoteReference"/>
        </w:rPr>
        <w:footnoteReference w:id="4"/>
      </w:r>
      <w:bookmarkEnd w:id="15"/>
      <w:r w:rsidR="00757565" w:rsidRPr="0098660A">
        <w:t xml:space="preserve"> </w:t>
      </w:r>
      <w:r w:rsidR="009223AE" w:rsidRPr="0098660A">
        <w:rPr>
          <w:iCs/>
        </w:rPr>
        <w:t>The ESC</w:t>
      </w:r>
      <w:r w:rsidR="002858F2" w:rsidRPr="0098660A">
        <w:rPr>
          <w:iCs/>
        </w:rPr>
        <w:t xml:space="preserve"> </w:t>
      </w:r>
      <w:r w:rsidR="00624781" w:rsidRPr="0098660A">
        <w:rPr>
          <w:iCs/>
        </w:rPr>
        <w:t>advis</w:t>
      </w:r>
      <w:r w:rsidR="002858F2" w:rsidRPr="0098660A">
        <w:rPr>
          <w:iCs/>
        </w:rPr>
        <w:t xml:space="preserve">ed the </w:t>
      </w:r>
      <w:r w:rsidR="009223AE" w:rsidRPr="0098660A">
        <w:rPr>
          <w:iCs/>
        </w:rPr>
        <w:t>theory that patients from different ethnic groups have different thrombosis risks has been refuted by a study demonstrating no correlation</w:t>
      </w:r>
      <w:r w:rsidR="00624781" w:rsidRPr="0098660A">
        <w:rPr>
          <w:iCs/>
        </w:rPr>
        <w:t>,</w:t>
      </w:r>
      <w:r w:rsidR="009223AE" w:rsidRPr="0098660A">
        <w:rPr>
          <w:iCs/>
        </w:rPr>
        <w:t xml:space="preserve"> and hence </w:t>
      </w:r>
      <w:r w:rsidR="002858F2" w:rsidRPr="0098660A">
        <w:rPr>
          <w:iCs/>
        </w:rPr>
        <w:t xml:space="preserve">treatment modification based on </w:t>
      </w:r>
      <w:r w:rsidR="005D0A1B" w:rsidRPr="0098660A">
        <w:rPr>
          <w:iCs/>
        </w:rPr>
        <w:t xml:space="preserve">Asian decent </w:t>
      </w:r>
      <w:r w:rsidR="00624781" w:rsidRPr="0098660A">
        <w:rPr>
          <w:iCs/>
        </w:rPr>
        <w:t>wa</w:t>
      </w:r>
      <w:r w:rsidR="009223AE" w:rsidRPr="0098660A">
        <w:rPr>
          <w:iCs/>
        </w:rPr>
        <w:t xml:space="preserve">s </w:t>
      </w:r>
      <w:r w:rsidR="0029002A" w:rsidRPr="0098660A">
        <w:rPr>
          <w:iCs/>
        </w:rPr>
        <w:t>not clear</w:t>
      </w:r>
      <w:r w:rsidR="00AB7C9A" w:rsidRPr="0098660A">
        <w:rPr>
          <w:iCs/>
        </w:rPr>
        <w:t>.</w:t>
      </w:r>
      <w:r w:rsidR="00E359AA" w:rsidRPr="0098660A">
        <w:rPr>
          <w:rStyle w:val="FootnoteReference"/>
          <w:iCs/>
        </w:rPr>
        <w:t xml:space="preserve"> </w:t>
      </w:r>
      <w:r w:rsidR="00E359AA" w:rsidRPr="0098660A">
        <w:rPr>
          <w:rStyle w:val="FootnoteReference"/>
          <w:iCs/>
        </w:rPr>
        <w:footnoteReference w:id="5"/>
      </w:r>
      <w:r w:rsidR="009223AE" w:rsidRPr="0098660A">
        <w:rPr>
          <w:iCs/>
        </w:rPr>
        <w:t xml:space="preserve"> </w:t>
      </w:r>
      <w:r w:rsidR="0059021C" w:rsidRPr="0098660A">
        <w:rPr>
          <w:iCs/>
        </w:rPr>
        <w:t xml:space="preserve">Furthermore, </w:t>
      </w:r>
      <w:r w:rsidR="00BC3CFC" w:rsidRPr="0098660A">
        <w:rPr>
          <w:iCs/>
        </w:rPr>
        <w:t>i</w:t>
      </w:r>
      <w:r w:rsidR="009223AE" w:rsidRPr="0098660A">
        <w:rPr>
          <w:iCs/>
        </w:rPr>
        <w:t xml:space="preserve">t </w:t>
      </w:r>
      <w:r w:rsidR="00624781" w:rsidRPr="0098660A">
        <w:rPr>
          <w:iCs/>
        </w:rPr>
        <w:t>wa</w:t>
      </w:r>
      <w:r w:rsidR="009223AE" w:rsidRPr="0098660A">
        <w:rPr>
          <w:iCs/>
        </w:rPr>
        <w:t>s understood through a number of clinical studies that there is no clear difference in PNH phenotype across different ethnic groups.</w:t>
      </w:r>
      <w:r w:rsidR="00AB7C9A" w:rsidRPr="0098660A">
        <w:rPr>
          <w:rStyle w:val="FootnoteReference"/>
          <w:iCs/>
        </w:rPr>
        <w:footnoteReference w:id="6"/>
      </w:r>
      <w:r w:rsidR="001A5D3A" w:rsidRPr="0098660A">
        <w:rPr>
          <w:iCs/>
        </w:rPr>
        <w:t xml:space="preserve"> </w:t>
      </w:r>
      <w:r w:rsidR="00CF7DC2" w:rsidRPr="0098660A">
        <w:rPr>
          <w:rStyle w:val="FootnoteReference"/>
          <w:iCs/>
        </w:rPr>
        <w:footnoteReference w:id="7"/>
      </w:r>
      <w:r w:rsidR="00152C66" w:rsidRPr="0098660A">
        <w:rPr>
          <w:iCs/>
        </w:rPr>
        <w:t xml:space="preserve"> </w:t>
      </w:r>
      <w:r w:rsidR="001A5D3A" w:rsidRPr="0098660A">
        <w:rPr>
          <w:rStyle w:val="FootnoteReference"/>
          <w:iCs/>
        </w:rPr>
        <w:footnoteReference w:id="8"/>
      </w:r>
    </w:p>
    <w:p w14:paraId="3A8E5619" w14:textId="77777777" w:rsidR="00D27E91" w:rsidRPr="0098660A" w:rsidRDefault="00D27E91" w:rsidP="00D27E91">
      <w:pPr>
        <w:pStyle w:val="3-BodyText"/>
        <w:numPr>
          <w:ilvl w:val="1"/>
          <w:numId w:val="1"/>
        </w:numPr>
        <w:spacing w:before="0"/>
      </w:pPr>
      <w:r w:rsidRPr="0098660A">
        <w:lastRenderedPageBreak/>
        <w:t xml:space="preserve">PNH occurs due to an acquired mutation in the phosphatidylinositol glycan A (PIG-A) gene which results in a lack of terminal complement inhibitor proteins (CD55 and CD59) on cell surfaces. Their absence in blood cells results in uncontrolled complement activation and systemic complications which include intravascular haemolysis, bone marrow dysfunction, and thrombosis. </w:t>
      </w:r>
    </w:p>
    <w:p w14:paraId="0189BDF9" w14:textId="5F0F58E9" w:rsidR="00D27E91" w:rsidRPr="0098660A" w:rsidRDefault="00D27E91" w:rsidP="00D27E91">
      <w:pPr>
        <w:pStyle w:val="3-BodyText"/>
        <w:numPr>
          <w:ilvl w:val="1"/>
          <w:numId w:val="1"/>
        </w:numPr>
        <w:spacing w:before="0"/>
      </w:pPr>
      <w:r w:rsidRPr="0098660A">
        <w:t xml:space="preserve">Confirmation of PNH utilises the flow cytometry to measure the percentage of CD55-negative and CD59-negative cells. Clinically, the manifestation of PNH is heterogeneous, with various degrees of thrombophilia (i.e., tendency of blood clot formation), haemolysis, </w:t>
      </w:r>
      <w:r w:rsidR="00B348D2" w:rsidRPr="0098660A">
        <w:t>haemoglobinuria</w:t>
      </w:r>
      <w:r w:rsidRPr="0098660A">
        <w:t xml:space="preserve">, and bone marrow dysfunction. In classic PNH, patients typically present with clinically significant complement driven haemolysis. Other PNH associated symptoms include abdominal/back pain, oesophageal spasm, difficulty swallowing, and erectile dysfunction in males. Intravascular haemolysis also results in jaundice, haemoglobinuria, and elevated levels of lactate dehydrogenase (LDH). Anaemia-related symptoms include fatigue, weakness, and dyspnoea on exertion. Bone marrow failure in patients </w:t>
      </w:r>
      <w:r w:rsidR="00370982" w:rsidRPr="0098660A">
        <w:t xml:space="preserve">with </w:t>
      </w:r>
      <w:r w:rsidRPr="0098660A">
        <w:t>classic PNH is uncommon and is usually a result of another concomitant bone marrow disorder (such as aplastic anaemia). Morbidities and mortality of PNH are mostly associated with complement driven intravascular haemolysis, thrombosis, and bone marrow failure.</w:t>
      </w:r>
    </w:p>
    <w:p w14:paraId="1C49B879" w14:textId="6DB2CBCE" w:rsidR="00D27E91" w:rsidRPr="0098660A" w:rsidRDefault="00370982" w:rsidP="00D27E91">
      <w:pPr>
        <w:pStyle w:val="3-BodyText"/>
      </w:pPr>
      <w:bookmarkStart w:id="16" w:name="_Ref191471861"/>
      <w:r w:rsidRPr="0098660A">
        <w:t xml:space="preserve">Before the availability of </w:t>
      </w:r>
      <w:r w:rsidR="00FF5B88" w:rsidRPr="0098660A">
        <w:t xml:space="preserve">complement </w:t>
      </w:r>
      <w:r w:rsidRPr="0098660A">
        <w:t xml:space="preserve">inhibitor therapy, </w:t>
      </w:r>
      <w:r w:rsidR="00D27E91" w:rsidRPr="0098660A">
        <w:t xml:space="preserve">PNH had been managed mainly by supportive care with repeated blood transfusions, anticoagulants, corticosteroids, and supplements including iron, folate, and vitamin B12. </w:t>
      </w:r>
      <w:r w:rsidRPr="0098660A">
        <w:t xml:space="preserve">Haematopoietic stem cell transplantation has the potential for cure. However, this is rarely used as it is associated with a high level of morbidity and mortality (paragraph 4.2, pegcetacoplan PBAC </w:t>
      </w:r>
      <w:r w:rsidR="0002091D" w:rsidRPr="0098660A">
        <w:t>p</w:t>
      </w:r>
      <w:r w:rsidR="00C678F3" w:rsidRPr="0098660A">
        <w:t xml:space="preserve">ublic </w:t>
      </w:r>
      <w:r w:rsidR="0002091D" w:rsidRPr="0098660A">
        <w:t>s</w:t>
      </w:r>
      <w:r w:rsidR="00C678F3" w:rsidRPr="0098660A">
        <w:t xml:space="preserve">ummary </w:t>
      </w:r>
      <w:r w:rsidR="0002091D" w:rsidRPr="0098660A">
        <w:t>d</w:t>
      </w:r>
      <w:r w:rsidR="00C678F3" w:rsidRPr="0098660A">
        <w:t>ocument (</w:t>
      </w:r>
      <w:r w:rsidRPr="0098660A">
        <w:t>PSD</w:t>
      </w:r>
      <w:r w:rsidR="00C678F3" w:rsidRPr="0098660A">
        <w:t>)</w:t>
      </w:r>
      <w:r w:rsidRPr="0098660A">
        <w:t xml:space="preserve">, March 2022 PBAC meeting). </w:t>
      </w:r>
      <w:r w:rsidR="00D27E91" w:rsidRPr="0098660A">
        <w:t xml:space="preserve">Eculizumab was the first C5i available for treatment of PNH and </w:t>
      </w:r>
      <w:r w:rsidRPr="0098660A">
        <w:t>has</w:t>
      </w:r>
      <w:r w:rsidR="00D27E91" w:rsidRPr="0098660A">
        <w:t xml:space="preserve"> been proven to significantly reduce the risk of PNH associated thromboembolism and improve survival</w:t>
      </w:r>
      <w:r w:rsidR="0002091D" w:rsidRPr="0098660A">
        <w:t>.</w:t>
      </w:r>
      <w:r w:rsidR="00D27E91" w:rsidRPr="0098660A">
        <w:rPr>
          <w:rStyle w:val="FootnoteReference"/>
        </w:rPr>
        <w:footnoteReference w:id="9"/>
      </w:r>
      <w:r w:rsidR="00D27E91" w:rsidRPr="0098660A">
        <w:t xml:space="preserve"> Ravulizumab is a pharmacological analogue of eculizumab and </w:t>
      </w:r>
      <w:r w:rsidR="000B4428" w:rsidRPr="0098660A">
        <w:t>wa</w:t>
      </w:r>
      <w:r w:rsidR="00D27E91" w:rsidRPr="0098660A">
        <w:t xml:space="preserve">s considered non-inferior to eculizumab in terms of efficacy and safety by the PBAC (para 6.50 and 6.51, ravulizumab PSD, July 2020 PBAC meeting). Ravulizumab is currently the mostly </w:t>
      </w:r>
      <w:r w:rsidRPr="0098660A">
        <w:t xml:space="preserve">commonly </w:t>
      </w:r>
      <w:r w:rsidR="00D27E91" w:rsidRPr="0098660A">
        <w:t>used C5i for treatment of PNH in Australia. Pegcetacoplan is currently listed as the second-line treatment for PNH patients who demonstrate inadequate response or intolerance to C5i treatment.</w:t>
      </w:r>
      <w:bookmarkEnd w:id="16"/>
      <w:r w:rsidR="00D27E91" w:rsidRPr="0098660A">
        <w:t xml:space="preserve"> </w:t>
      </w:r>
    </w:p>
    <w:p w14:paraId="5336CA95" w14:textId="53F55384" w:rsidR="00D27E91" w:rsidRPr="0098660A" w:rsidRDefault="00D27E91" w:rsidP="00D27E91">
      <w:pPr>
        <w:pStyle w:val="3-BodyText"/>
        <w:numPr>
          <w:ilvl w:val="1"/>
          <w:numId w:val="1"/>
        </w:numPr>
        <w:spacing w:before="0"/>
      </w:pPr>
      <w:r w:rsidRPr="0098660A">
        <w:t xml:space="preserve">Neisseria meningitis or sepsis events are the most feared complications of C5i therapy. Patients on C5i showed a lifelong 1000-fold to 2000-fold increased incidence of </w:t>
      </w:r>
      <w:r w:rsidRPr="0098660A">
        <w:lastRenderedPageBreak/>
        <w:t>meningococcal disease compared to healthy adults not under C5i therapy, despite rigorous vaccinations and penicillin prophylaxis</w:t>
      </w:r>
      <w:r w:rsidR="0002091D" w:rsidRPr="0098660A">
        <w:t>.</w:t>
      </w:r>
      <w:r w:rsidRPr="0098660A">
        <w:rPr>
          <w:rStyle w:val="FootnoteReference"/>
        </w:rPr>
        <w:footnoteReference w:id="10"/>
      </w:r>
    </w:p>
    <w:p w14:paraId="78068630" w14:textId="739A4235" w:rsidR="00D27E91" w:rsidRPr="0098660A" w:rsidRDefault="00D27E91" w:rsidP="00D27E91">
      <w:pPr>
        <w:pStyle w:val="3-BodyText"/>
        <w:numPr>
          <w:ilvl w:val="1"/>
          <w:numId w:val="1"/>
        </w:numPr>
        <w:spacing w:before="0"/>
      </w:pPr>
      <w:r w:rsidRPr="0098660A">
        <w:t>Most PNH patients receiving C5i treatment continue to experience complement C3-mediated extravascular haemolysis and anaemia related symptoms, and some are not transfusion independent or free of thromboembolic events despite a stable C5i dosing</w:t>
      </w:r>
      <w:r w:rsidR="0002091D" w:rsidRPr="0098660A">
        <w:t>.</w:t>
      </w:r>
      <w:r w:rsidRPr="0098660A">
        <w:rPr>
          <w:rStyle w:val="FootnoteReference"/>
        </w:rPr>
        <w:footnoteReference w:id="11"/>
      </w:r>
      <w:r w:rsidRPr="0098660A">
        <w:t xml:space="preserve"> Breakthrough haemolysis </w:t>
      </w:r>
      <w:r w:rsidR="001016E5" w:rsidRPr="0098660A">
        <w:t>may continue to occur in patients receiving C5i</w:t>
      </w:r>
      <w:r w:rsidR="0002091D" w:rsidRPr="0098660A">
        <w:t>.</w:t>
      </w:r>
      <w:r w:rsidRPr="0098660A">
        <w:rPr>
          <w:rStyle w:val="FootnoteReference"/>
        </w:rPr>
        <w:footnoteReference w:id="12"/>
      </w:r>
      <w:r w:rsidRPr="0098660A">
        <w:t xml:space="preserve"> </w:t>
      </w:r>
    </w:p>
    <w:p w14:paraId="2D56CFAE" w14:textId="1133E9F8" w:rsidR="00D27E91" w:rsidRPr="0098660A" w:rsidRDefault="00D27E91" w:rsidP="00D27E91">
      <w:pPr>
        <w:pStyle w:val="3-BodyText"/>
        <w:numPr>
          <w:ilvl w:val="1"/>
          <w:numId w:val="1"/>
        </w:numPr>
        <w:spacing w:before="0"/>
      </w:pPr>
      <w:r w:rsidRPr="0098660A">
        <w:t xml:space="preserve">In the submission, pegcetacoplan was proposed to be (1) the first-line treatment of PNH in patients who have not received any C5i treatment, and (2) the alternative treatment for PNH in patients who are receiving C5i therapy but </w:t>
      </w:r>
      <w:r w:rsidR="00C91B93" w:rsidRPr="0098660A">
        <w:t xml:space="preserve">choose to </w:t>
      </w:r>
      <w:r w:rsidRPr="0098660A">
        <w:t>switch from C5i at the discretion of the treating clinician and patients, regardless of the response to the C5i therapy.</w:t>
      </w:r>
    </w:p>
    <w:p w14:paraId="766A23F1" w14:textId="72B97B18" w:rsidR="00D27E91" w:rsidRPr="0098660A" w:rsidRDefault="00D27E91" w:rsidP="00D27E91">
      <w:pPr>
        <w:pStyle w:val="3-BodyText"/>
        <w:numPr>
          <w:ilvl w:val="1"/>
          <w:numId w:val="1"/>
        </w:numPr>
        <w:spacing w:before="0"/>
        <w:rPr>
          <w:iCs/>
        </w:rPr>
      </w:pPr>
      <w:r w:rsidRPr="0098660A">
        <w:t>Pegcetacoplan is a polyethylene glycol (PEG) peptide that binds to and inhibits the proximal complement C3, thus reducing both C3-mediated extravascular haemolysis, as well as intravascular haemolysis from downstream complement activation</w:t>
      </w:r>
      <w:r w:rsidR="0002091D" w:rsidRPr="0098660A">
        <w:t>.</w:t>
      </w:r>
      <w:r w:rsidRPr="0098660A">
        <w:rPr>
          <w:rStyle w:val="FootnoteReference"/>
        </w:rPr>
        <w:footnoteReference w:id="13"/>
      </w:r>
      <w:r w:rsidRPr="0098660A">
        <w:t xml:space="preserve"> </w:t>
      </w:r>
      <w:r w:rsidR="001016E5" w:rsidRPr="0098660A">
        <w:t>T</w:t>
      </w:r>
      <w:r w:rsidRPr="0098660A">
        <w:t>he proposed dose</w:t>
      </w:r>
      <w:r w:rsidR="001016E5" w:rsidRPr="0098660A">
        <w:t xml:space="preserve"> of pegcetacoplan</w:t>
      </w:r>
      <w:r w:rsidRPr="0098660A">
        <w:t xml:space="preserve"> is 1,080 mg in 20 mL solution administered twice weekly via subcutaneous </w:t>
      </w:r>
      <w:r w:rsidR="0002091D" w:rsidRPr="0098660A">
        <w:t xml:space="preserve">(SC) </w:t>
      </w:r>
      <w:r w:rsidRPr="0098660A">
        <w:t xml:space="preserve">infusion through a commercially available infusion pump. </w:t>
      </w:r>
      <w:r w:rsidR="004A7864" w:rsidRPr="0098660A">
        <w:rPr>
          <w:iCs/>
        </w:rPr>
        <w:t xml:space="preserve">This dosing regimen may be changed to 1,080 mg every third day if a patient has a lactate dehydrogenase (LDH) level greater than 2 × upper limit of normal (ULN). </w:t>
      </w:r>
      <w:r w:rsidRPr="0098660A">
        <w:t xml:space="preserve">Vaccinations against </w:t>
      </w:r>
      <w:r w:rsidR="00CD4937" w:rsidRPr="0098660A">
        <w:t>S</w:t>
      </w:r>
      <w:r w:rsidRPr="0098660A">
        <w:t xml:space="preserve">treptococcus pneumoniae, </w:t>
      </w:r>
      <w:r w:rsidR="00CD4937" w:rsidRPr="0098660A">
        <w:t>N</w:t>
      </w:r>
      <w:r w:rsidRPr="0098660A">
        <w:t xml:space="preserve">eisseria meningitidis types A, C, W, Y, B, and </w:t>
      </w:r>
      <w:r w:rsidR="00CD4937" w:rsidRPr="0098660A">
        <w:t>H</w:t>
      </w:r>
      <w:r w:rsidRPr="0098660A">
        <w:t>aemophilus influenzae type B (HIB) are required within the previous two years or at least two weeks prior to receiving the first dose of pegcetacoplan</w:t>
      </w:r>
      <w:r w:rsidR="001016E5" w:rsidRPr="0098660A">
        <w:t>.</w:t>
      </w:r>
      <w:r w:rsidR="004C26B4" w:rsidRPr="0098660A">
        <w:t xml:space="preserve"> </w:t>
      </w:r>
      <w:r w:rsidR="004C26B4" w:rsidRPr="0098660A">
        <w:rPr>
          <w:iCs/>
        </w:rPr>
        <w:t>Patients transitioning from a C5i will be vaccinated but may need boosters.</w:t>
      </w:r>
    </w:p>
    <w:p w14:paraId="008BA6F6" w14:textId="4356A12B" w:rsidR="001B489F" w:rsidRPr="0098660A" w:rsidRDefault="001B489F" w:rsidP="001B489F">
      <w:pPr>
        <w:pStyle w:val="3-BodyText"/>
        <w:numPr>
          <w:ilvl w:val="0"/>
          <w:numId w:val="0"/>
        </w:numPr>
        <w:spacing w:before="0"/>
        <w:ind w:left="720"/>
        <w:rPr>
          <w:i/>
        </w:rPr>
      </w:pPr>
      <w:r w:rsidRPr="0098660A">
        <w:rPr>
          <w:i/>
        </w:rPr>
        <w:t>For more detail on PBAC’s view, see section 7 PBAC outcome.</w:t>
      </w:r>
    </w:p>
    <w:p w14:paraId="51E5AE96" w14:textId="136A63B1" w:rsidR="00B50DB8" w:rsidRPr="0098660A" w:rsidRDefault="00B50DB8" w:rsidP="004E18E9">
      <w:pPr>
        <w:pStyle w:val="2-SectionHeading"/>
      </w:pPr>
      <w:bookmarkStart w:id="17" w:name="_Toc193368016"/>
      <w:r w:rsidRPr="0098660A">
        <w:t>Comparator</w:t>
      </w:r>
      <w:bookmarkEnd w:id="17"/>
    </w:p>
    <w:p w14:paraId="30A067BB" w14:textId="7E370A93" w:rsidR="00B50DB8" w:rsidRPr="0098660A" w:rsidRDefault="00C01162" w:rsidP="00FE6FCE">
      <w:pPr>
        <w:pStyle w:val="3-BodyText"/>
      </w:pPr>
      <w:bookmarkStart w:id="18" w:name="_Ref198196423"/>
      <w:r w:rsidRPr="0098660A">
        <w:t xml:space="preserve">Ravulizumab was nominated as the primary comparator in the submission. </w:t>
      </w:r>
      <w:r w:rsidR="00C04F2B" w:rsidRPr="0098660A">
        <w:t xml:space="preserve">Ravulizumab is long-acting anti-C5 monoclonal antibody that antagonises terminal complement at the same C5 epitope as eculizumab, hence reducing the downstream complement-mediated intravascular haemolysis. Ravulizumab is administered as a weight-based dose </w:t>
      </w:r>
      <w:bookmarkStart w:id="19" w:name="_Hlk133565134"/>
      <w:r w:rsidR="00C04F2B" w:rsidRPr="0098660A">
        <w:t>via IV infusion</w:t>
      </w:r>
      <w:bookmarkEnd w:id="19"/>
      <w:r w:rsidR="00C04F2B" w:rsidRPr="0098660A">
        <w:t xml:space="preserve"> at a frequency of </w:t>
      </w:r>
      <w:r w:rsidR="0000460A" w:rsidRPr="0098660A">
        <w:t xml:space="preserve">once </w:t>
      </w:r>
      <w:r w:rsidR="00C04F2B" w:rsidRPr="0098660A">
        <w:t xml:space="preserve">every 8 weeks. The main arguments provided in the submission in support of this nomination were: (1) the PBAC previously determined ravulizumab to be a pharmacological analogue of </w:t>
      </w:r>
      <w:r w:rsidR="00C04F2B" w:rsidRPr="0098660A">
        <w:lastRenderedPageBreak/>
        <w:t xml:space="preserve">eculizumab and that ravulizumab is non-inferior to eculizumab in terms of efficacy and safety (para 6.50 and 6.51, ravulizumab PSD, July 2020 PBAC meeting), (2) the PBAC recommended that ravulizumab should be treated as interchangeable </w:t>
      </w:r>
      <w:r w:rsidR="009451D8" w:rsidRPr="0098660A">
        <w:t xml:space="preserve">with </w:t>
      </w:r>
      <w:r w:rsidR="00C04F2B" w:rsidRPr="0098660A">
        <w:t>eculizumab (para 7.18, ravulizumab PSD, July 2021 PBAC meeting), (3) the PBAC advised ravulizumab be listed based on a cost-minimisation to eculizumab (para 7.1, ravulizumab PSD, July 2021 PBAC meeting), and (4)</w:t>
      </w:r>
      <w:r w:rsidR="00C04F2B" w:rsidRPr="0098660A">
        <w:rPr>
          <w:rFonts w:ascii="Calibri" w:eastAsia="Times New Roman" w:hAnsi="Calibri" w:cs="Arial"/>
          <w:szCs w:val="24"/>
        </w:rPr>
        <w:t xml:space="preserve"> </w:t>
      </w:r>
      <w:r w:rsidR="00C04F2B" w:rsidRPr="0098660A">
        <w:t>as ravulizumab is dosed every 8</w:t>
      </w:r>
      <w:r w:rsidR="009648B1" w:rsidRPr="0098660A">
        <w:t> </w:t>
      </w:r>
      <w:r w:rsidR="00C04F2B" w:rsidRPr="0098660A">
        <w:t xml:space="preserve">weeks the PBAC considered it would be the C5i most likely to be replaced in clinical practice now that it is PBS listed and hence the appropriate base case comparator for any future cost-minimisation analysis (para 7.9, pegcetacoplan PSD, March 2022 PBAC meeting). </w:t>
      </w:r>
      <w:r w:rsidR="008021F0" w:rsidRPr="0098660A">
        <w:rPr>
          <w:iCs/>
        </w:rPr>
        <w:t>The E</w:t>
      </w:r>
      <w:r w:rsidR="00C9203C" w:rsidRPr="0098660A">
        <w:rPr>
          <w:iCs/>
        </w:rPr>
        <w:t>SC</w:t>
      </w:r>
      <w:r w:rsidR="008021F0" w:rsidRPr="0098660A">
        <w:rPr>
          <w:iCs/>
        </w:rPr>
        <w:t xml:space="preserve"> considered </w:t>
      </w:r>
      <w:r w:rsidR="00C9203C" w:rsidRPr="0098660A">
        <w:t>r</w:t>
      </w:r>
      <w:r w:rsidR="00C04F2B" w:rsidRPr="0098660A">
        <w:t xml:space="preserve">avulizumab </w:t>
      </w:r>
      <w:r w:rsidR="008945EE" w:rsidRPr="0098660A">
        <w:t>wa</w:t>
      </w:r>
      <w:r w:rsidR="00C04F2B" w:rsidRPr="0098660A">
        <w:t>s the appropriate comparator.</w:t>
      </w:r>
      <w:bookmarkEnd w:id="18"/>
    </w:p>
    <w:p w14:paraId="076FA6FD" w14:textId="2C886586" w:rsidR="00173F10" w:rsidRPr="0098660A" w:rsidRDefault="00173F10" w:rsidP="00173F10">
      <w:pPr>
        <w:ind w:firstLine="709"/>
        <w:rPr>
          <w:rFonts w:asciiTheme="minorHAnsi" w:hAnsiTheme="minorHAnsi"/>
          <w:i/>
        </w:rPr>
      </w:pPr>
      <w:bookmarkStart w:id="20" w:name="_Hlk76375324"/>
      <w:r w:rsidRPr="0098660A">
        <w:rPr>
          <w:rFonts w:asciiTheme="minorHAnsi" w:hAnsiTheme="minorHAnsi"/>
          <w:i/>
        </w:rPr>
        <w:t>For more detail on PBAC’s view, see section 7 PBAC outcome.</w:t>
      </w:r>
      <w:bookmarkEnd w:id="20"/>
    </w:p>
    <w:p w14:paraId="7F9C27C8" w14:textId="77777777" w:rsidR="00223D5A" w:rsidRPr="0098660A" w:rsidRDefault="00223D5A" w:rsidP="00223D5A">
      <w:pPr>
        <w:pStyle w:val="2-SectionHeading"/>
        <w:numPr>
          <w:ilvl w:val="0"/>
          <w:numId w:val="1"/>
        </w:numPr>
      </w:pPr>
      <w:bookmarkStart w:id="21" w:name="_Toc193368017"/>
      <w:bookmarkStart w:id="22" w:name="_Toc22897640"/>
      <w:r w:rsidRPr="0098660A">
        <w:t>Consideration of the evidence</w:t>
      </w:r>
      <w:bookmarkEnd w:id="21"/>
    </w:p>
    <w:p w14:paraId="2741EBD6" w14:textId="77777777" w:rsidR="00D54834" w:rsidRPr="0098660A" w:rsidRDefault="00D54834" w:rsidP="00245D71">
      <w:pPr>
        <w:pStyle w:val="4-SubsectionHeading"/>
      </w:pPr>
      <w:bookmarkStart w:id="23" w:name="_Hlk76375935"/>
      <w:bookmarkStart w:id="24" w:name="_Toc193368018"/>
      <w:r w:rsidRPr="0098660A">
        <w:t>Sponsor hearing</w:t>
      </w:r>
    </w:p>
    <w:p w14:paraId="270132C2" w14:textId="73F5CE66" w:rsidR="00D54834" w:rsidRPr="0098660A" w:rsidRDefault="00D54834" w:rsidP="00D54834">
      <w:pPr>
        <w:widowControl w:val="0"/>
        <w:numPr>
          <w:ilvl w:val="1"/>
          <w:numId w:val="1"/>
        </w:numPr>
        <w:spacing w:after="120"/>
        <w:rPr>
          <w:rFonts w:asciiTheme="minorHAnsi" w:hAnsiTheme="minorHAnsi"/>
          <w:bCs/>
          <w:snapToGrid w:val="0"/>
        </w:rPr>
      </w:pPr>
      <w:bookmarkStart w:id="25" w:name="_Hlk76382586"/>
      <w:r w:rsidRPr="0098660A">
        <w:rPr>
          <w:rFonts w:asciiTheme="minorHAnsi" w:hAnsiTheme="minorHAnsi"/>
          <w:bCs/>
          <w:snapToGrid w:val="0"/>
        </w:rPr>
        <w:t xml:space="preserve">The sponsor requested a hearing for this item. The clinician presented </w:t>
      </w:r>
      <w:r w:rsidR="00513774" w:rsidRPr="0098660A">
        <w:rPr>
          <w:rFonts w:asciiTheme="minorHAnsi" w:hAnsiTheme="minorHAnsi"/>
          <w:bCs/>
          <w:snapToGrid w:val="0"/>
        </w:rPr>
        <w:t xml:space="preserve">a </w:t>
      </w:r>
      <w:r w:rsidRPr="0098660A">
        <w:rPr>
          <w:rFonts w:asciiTheme="minorHAnsi" w:hAnsiTheme="minorHAnsi"/>
          <w:bCs/>
          <w:snapToGrid w:val="0"/>
        </w:rPr>
        <w:t>clinical case stud</w:t>
      </w:r>
      <w:r w:rsidR="00767FD8" w:rsidRPr="0098660A">
        <w:rPr>
          <w:rFonts w:asciiTheme="minorHAnsi" w:hAnsiTheme="minorHAnsi"/>
          <w:bCs/>
          <w:snapToGrid w:val="0"/>
        </w:rPr>
        <w:t>y</w:t>
      </w:r>
      <w:r w:rsidR="00F64349" w:rsidRPr="0098660A">
        <w:rPr>
          <w:rFonts w:asciiTheme="minorHAnsi" w:hAnsiTheme="minorHAnsi"/>
          <w:bCs/>
          <w:snapToGrid w:val="0"/>
        </w:rPr>
        <w:t>,</w:t>
      </w:r>
      <w:r w:rsidRPr="0098660A">
        <w:rPr>
          <w:rFonts w:asciiTheme="minorHAnsi" w:hAnsiTheme="minorHAnsi"/>
          <w:bCs/>
          <w:snapToGrid w:val="0"/>
        </w:rPr>
        <w:t xml:space="preserve"> discussed the natural history of the disease, </w:t>
      </w:r>
      <w:r w:rsidR="00F64349" w:rsidRPr="0098660A">
        <w:rPr>
          <w:rFonts w:asciiTheme="minorHAnsi" w:hAnsiTheme="minorHAnsi"/>
          <w:bCs/>
          <w:snapToGrid w:val="0"/>
        </w:rPr>
        <w:t xml:space="preserve">and </w:t>
      </w:r>
      <w:r w:rsidR="00694C0F" w:rsidRPr="0098660A">
        <w:rPr>
          <w:rFonts w:asciiTheme="minorHAnsi" w:hAnsiTheme="minorHAnsi"/>
          <w:bCs/>
          <w:snapToGrid w:val="0"/>
        </w:rPr>
        <w:t xml:space="preserve">presented data from a post </w:t>
      </w:r>
      <w:r w:rsidR="00F64349" w:rsidRPr="0098660A">
        <w:rPr>
          <w:rFonts w:asciiTheme="minorHAnsi" w:hAnsiTheme="minorHAnsi"/>
          <w:bCs/>
          <w:snapToGrid w:val="0"/>
        </w:rPr>
        <w:t>h</w:t>
      </w:r>
      <w:r w:rsidR="00694C0F" w:rsidRPr="0098660A">
        <w:rPr>
          <w:rFonts w:asciiTheme="minorHAnsi" w:hAnsiTheme="minorHAnsi"/>
          <w:bCs/>
          <w:snapToGrid w:val="0"/>
        </w:rPr>
        <w:t xml:space="preserve">oc analysis of </w:t>
      </w:r>
      <w:r w:rsidR="00CE5E6F" w:rsidRPr="0098660A">
        <w:rPr>
          <w:rFonts w:asciiTheme="minorHAnsi" w:hAnsiTheme="minorHAnsi"/>
          <w:bCs/>
          <w:snapToGrid w:val="0"/>
        </w:rPr>
        <w:t>patients</w:t>
      </w:r>
      <w:r w:rsidR="00694C0F" w:rsidRPr="0098660A">
        <w:rPr>
          <w:rFonts w:asciiTheme="minorHAnsi" w:hAnsiTheme="minorHAnsi"/>
          <w:bCs/>
          <w:snapToGrid w:val="0"/>
        </w:rPr>
        <w:t xml:space="preserve"> with</w:t>
      </w:r>
      <w:r w:rsidR="00CE5E6F" w:rsidRPr="0098660A">
        <w:rPr>
          <w:rFonts w:asciiTheme="minorHAnsi" w:hAnsiTheme="minorHAnsi"/>
          <w:bCs/>
          <w:snapToGrid w:val="0"/>
        </w:rPr>
        <w:t xml:space="preserve"> baseline haemoglobin </w:t>
      </w:r>
      <w:r w:rsidR="00CE5E6F" w:rsidRPr="0098660A">
        <w:rPr>
          <w:rFonts w:asciiTheme="minorHAnsi" w:hAnsiTheme="minorHAnsi" w:cstheme="minorHAnsi"/>
          <w:bCs/>
          <w:snapToGrid w:val="0"/>
        </w:rPr>
        <w:t>≥</w:t>
      </w:r>
      <w:r w:rsidR="00BD5E5D" w:rsidRPr="0098660A">
        <w:rPr>
          <w:rFonts w:asciiTheme="minorHAnsi" w:hAnsiTheme="minorHAnsi"/>
          <w:bCs/>
          <w:snapToGrid w:val="0"/>
        </w:rPr>
        <w:t> </w:t>
      </w:r>
      <w:r w:rsidR="00CE5E6F" w:rsidRPr="0098660A">
        <w:rPr>
          <w:rFonts w:asciiTheme="minorHAnsi" w:hAnsiTheme="minorHAnsi"/>
          <w:bCs/>
          <w:snapToGrid w:val="0"/>
        </w:rPr>
        <w:t>100</w:t>
      </w:r>
      <w:r w:rsidR="00BD5E5D" w:rsidRPr="0098660A">
        <w:rPr>
          <w:rFonts w:asciiTheme="minorHAnsi" w:hAnsiTheme="minorHAnsi"/>
          <w:bCs/>
          <w:snapToGrid w:val="0"/>
        </w:rPr>
        <w:t> </w:t>
      </w:r>
      <w:r w:rsidR="00CE5E6F" w:rsidRPr="0098660A">
        <w:rPr>
          <w:rFonts w:asciiTheme="minorHAnsi" w:hAnsiTheme="minorHAnsi"/>
          <w:bCs/>
          <w:snapToGrid w:val="0"/>
        </w:rPr>
        <w:t xml:space="preserve">g/L </w:t>
      </w:r>
      <w:r w:rsidR="00F64349" w:rsidRPr="0098660A">
        <w:rPr>
          <w:rFonts w:asciiTheme="minorHAnsi" w:hAnsiTheme="minorHAnsi"/>
          <w:bCs/>
          <w:snapToGrid w:val="0"/>
        </w:rPr>
        <w:t xml:space="preserve">to show how pegcetacoplan </w:t>
      </w:r>
      <w:r w:rsidR="0009688C" w:rsidRPr="0098660A">
        <w:rPr>
          <w:rFonts w:asciiTheme="minorHAnsi" w:hAnsiTheme="minorHAnsi"/>
          <w:bCs/>
          <w:snapToGrid w:val="0"/>
        </w:rPr>
        <w:t>can improve or normalise haematologic parameters and reduce fatigue in patients with PNH and mild or moderate anaemia</w:t>
      </w:r>
      <w:r w:rsidR="0009688C" w:rsidRPr="0098660A">
        <w:rPr>
          <w:rStyle w:val="FootnoteReference"/>
          <w:rFonts w:asciiTheme="minorHAnsi" w:hAnsiTheme="minorHAnsi"/>
          <w:bCs/>
          <w:snapToGrid w:val="0"/>
        </w:rPr>
        <w:footnoteReference w:id="14"/>
      </w:r>
      <w:r w:rsidRPr="0098660A">
        <w:rPr>
          <w:rFonts w:asciiTheme="minorHAnsi" w:hAnsiTheme="minorHAnsi"/>
          <w:bCs/>
          <w:snapToGrid w:val="0"/>
        </w:rPr>
        <w:t xml:space="preserve">.” </w:t>
      </w:r>
      <w:r w:rsidR="0078472E" w:rsidRPr="0098660A">
        <w:rPr>
          <w:rFonts w:asciiTheme="minorHAnsi" w:hAnsiTheme="minorHAnsi"/>
          <w:bCs/>
          <w:snapToGrid w:val="0"/>
        </w:rPr>
        <w:t xml:space="preserve">When the PBAC asked about the expected use in </w:t>
      </w:r>
      <w:r w:rsidR="000423F6" w:rsidRPr="0098660A">
        <w:rPr>
          <w:rFonts w:asciiTheme="minorHAnsi" w:hAnsiTheme="minorHAnsi"/>
          <w:bCs/>
          <w:snapToGrid w:val="0"/>
        </w:rPr>
        <w:t>first</w:t>
      </w:r>
      <w:r w:rsidR="00F07823" w:rsidRPr="0098660A">
        <w:rPr>
          <w:rFonts w:asciiTheme="minorHAnsi" w:hAnsiTheme="minorHAnsi"/>
          <w:bCs/>
          <w:snapToGrid w:val="0"/>
        </w:rPr>
        <w:t>-</w:t>
      </w:r>
      <w:r w:rsidR="000423F6" w:rsidRPr="0098660A">
        <w:rPr>
          <w:rFonts w:asciiTheme="minorHAnsi" w:hAnsiTheme="minorHAnsi"/>
          <w:bCs/>
          <w:snapToGrid w:val="0"/>
        </w:rPr>
        <w:t>line</w:t>
      </w:r>
      <w:r w:rsidR="0078472E" w:rsidRPr="0098660A">
        <w:rPr>
          <w:rFonts w:asciiTheme="minorHAnsi" w:hAnsiTheme="minorHAnsi"/>
          <w:bCs/>
          <w:snapToGrid w:val="0"/>
        </w:rPr>
        <w:t xml:space="preserve"> versus </w:t>
      </w:r>
      <w:r w:rsidR="000423F6" w:rsidRPr="0098660A">
        <w:rPr>
          <w:rFonts w:asciiTheme="minorHAnsi" w:hAnsiTheme="minorHAnsi"/>
          <w:bCs/>
          <w:snapToGrid w:val="0"/>
        </w:rPr>
        <w:t>second</w:t>
      </w:r>
      <w:r w:rsidR="00F07823" w:rsidRPr="0098660A">
        <w:rPr>
          <w:rFonts w:asciiTheme="minorHAnsi" w:hAnsiTheme="minorHAnsi"/>
          <w:bCs/>
          <w:snapToGrid w:val="0"/>
        </w:rPr>
        <w:t>-</w:t>
      </w:r>
      <w:r w:rsidR="000423F6" w:rsidRPr="0098660A">
        <w:rPr>
          <w:rFonts w:asciiTheme="minorHAnsi" w:hAnsiTheme="minorHAnsi"/>
          <w:bCs/>
          <w:snapToGrid w:val="0"/>
        </w:rPr>
        <w:t>line</w:t>
      </w:r>
      <w:r w:rsidR="0078472E" w:rsidRPr="0098660A">
        <w:rPr>
          <w:rFonts w:asciiTheme="minorHAnsi" w:hAnsiTheme="minorHAnsi"/>
          <w:bCs/>
          <w:snapToGrid w:val="0"/>
        </w:rPr>
        <w:t xml:space="preserve">, the </w:t>
      </w:r>
      <w:r w:rsidR="002153D1" w:rsidRPr="0098660A">
        <w:rPr>
          <w:rFonts w:asciiTheme="minorHAnsi" w:hAnsiTheme="minorHAnsi"/>
          <w:bCs/>
          <w:snapToGrid w:val="0"/>
        </w:rPr>
        <w:t>clinician</w:t>
      </w:r>
      <w:r w:rsidR="0078472E" w:rsidRPr="0098660A">
        <w:rPr>
          <w:rFonts w:asciiTheme="minorHAnsi" w:hAnsiTheme="minorHAnsi"/>
          <w:bCs/>
          <w:snapToGrid w:val="0"/>
        </w:rPr>
        <w:t xml:space="preserve"> was </w:t>
      </w:r>
      <w:r w:rsidR="002153D1" w:rsidRPr="0098660A">
        <w:rPr>
          <w:rFonts w:asciiTheme="minorHAnsi" w:hAnsiTheme="minorHAnsi"/>
          <w:bCs/>
          <w:snapToGrid w:val="0"/>
        </w:rPr>
        <w:t>uncertain</w:t>
      </w:r>
      <w:r w:rsidR="005A2F33" w:rsidRPr="0098660A">
        <w:rPr>
          <w:rFonts w:asciiTheme="minorHAnsi" w:hAnsiTheme="minorHAnsi"/>
          <w:bCs/>
          <w:snapToGrid w:val="0"/>
        </w:rPr>
        <w:t xml:space="preserve"> about the likely </w:t>
      </w:r>
      <w:r w:rsidR="004C5F99" w:rsidRPr="0098660A">
        <w:rPr>
          <w:rFonts w:asciiTheme="minorHAnsi" w:hAnsiTheme="minorHAnsi"/>
          <w:bCs/>
          <w:snapToGrid w:val="0"/>
        </w:rPr>
        <w:t xml:space="preserve">uptake in patients </w:t>
      </w:r>
      <w:r w:rsidR="005A2F33" w:rsidRPr="0098660A">
        <w:rPr>
          <w:rFonts w:asciiTheme="minorHAnsi" w:hAnsiTheme="minorHAnsi"/>
          <w:bCs/>
          <w:snapToGrid w:val="0"/>
        </w:rPr>
        <w:t>initiatin</w:t>
      </w:r>
      <w:r w:rsidR="004C5F99" w:rsidRPr="0098660A">
        <w:rPr>
          <w:rFonts w:asciiTheme="minorHAnsi" w:hAnsiTheme="minorHAnsi"/>
          <w:bCs/>
          <w:snapToGrid w:val="0"/>
        </w:rPr>
        <w:t>g treatment</w:t>
      </w:r>
      <w:r w:rsidR="005A2F33" w:rsidRPr="0098660A">
        <w:rPr>
          <w:rFonts w:asciiTheme="minorHAnsi" w:hAnsiTheme="minorHAnsi"/>
          <w:bCs/>
          <w:snapToGrid w:val="0"/>
        </w:rPr>
        <w:t xml:space="preserve"> or switch</w:t>
      </w:r>
      <w:r w:rsidR="004C5F99" w:rsidRPr="0098660A">
        <w:rPr>
          <w:rFonts w:asciiTheme="minorHAnsi" w:hAnsiTheme="minorHAnsi"/>
          <w:bCs/>
          <w:snapToGrid w:val="0"/>
        </w:rPr>
        <w:t>ing</w:t>
      </w:r>
      <w:r w:rsidR="002153D1" w:rsidRPr="0098660A">
        <w:rPr>
          <w:rFonts w:asciiTheme="minorHAnsi" w:hAnsiTheme="minorHAnsi"/>
          <w:bCs/>
          <w:snapToGrid w:val="0"/>
        </w:rPr>
        <w:t xml:space="preserve"> </w:t>
      </w:r>
      <w:r w:rsidR="004C5F99" w:rsidRPr="0098660A">
        <w:rPr>
          <w:rFonts w:asciiTheme="minorHAnsi" w:hAnsiTheme="minorHAnsi"/>
          <w:bCs/>
          <w:snapToGrid w:val="0"/>
        </w:rPr>
        <w:t xml:space="preserve">early </w:t>
      </w:r>
      <w:r w:rsidR="005A2F33" w:rsidRPr="0098660A">
        <w:rPr>
          <w:rFonts w:asciiTheme="minorHAnsi" w:hAnsiTheme="minorHAnsi"/>
          <w:bCs/>
          <w:snapToGrid w:val="0"/>
        </w:rPr>
        <w:t>from a C5</w:t>
      </w:r>
      <w:r w:rsidR="00814B09" w:rsidRPr="0098660A">
        <w:rPr>
          <w:rFonts w:asciiTheme="minorHAnsi" w:hAnsiTheme="minorHAnsi"/>
          <w:bCs/>
          <w:snapToGrid w:val="0"/>
        </w:rPr>
        <w:t>i</w:t>
      </w:r>
      <w:r w:rsidR="00FA6964" w:rsidRPr="0098660A">
        <w:rPr>
          <w:rFonts w:asciiTheme="minorHAnsi" w:hAnsiTheme="minorHAnsi"/>
          <w:bCs/>
          <w:snapToGrid w:val="0"/>
        </w:rPr>
        <w:t xml:space="preserve">, </w:t>
      </w:r>
      <w:r w:rsidR="004C35B3" w:rsidRPr="0098660A">
        <w:rPr>
          <w:rFonts w:asciiTheme="minorHAnsi" w:hAnsiTheme="minorHAnsi"/>
          <w:bCs/>
          <w:snapToGrid w:val="0"/>
        </w:rPr>
        <w:t xml:space="preserve">although it was expected most </w:t>
      </w:r>
      <w:r w:rsidR="001F4105" w:rsidRPr="0098660A">
        <w:rPr>
          <w:rFonts w:asciiTheme="minorHAnsi" w:hAnsiTheme="minorHAnsi"/>
          <w:bCs/>
          <w:snapToGrid w:val="0"/>
        </w:rPr>
        <w:t>patients</w:t>
      </w:r>
      <w:r w:rsidR="004C35B3" w:rsidRPr="0098660A">
        <w:rPr>
          <w:rFonts w:asciiTheme="minorHAnsi" w:hAnsiTheme="minorHAnsi"/>
          <w:bCs/>
          <w:snapToGrid w:val="0"/>
        </w:rPr>
        <w:t xml:space="preserve"> would </w:t>
      </w:r>
      <w:r w:rsidR="006E0D74" w:rsidRPr="0098660A">
        <w:rPr>
          <w:rFonts w:asciiTheme="minorHAnsi" w:hAnsiTheme="minorHAnsi"/>
          <w:bCs/>
          <w:snapToGrid w:val="0"/>
        </w:rPr>
        <w:t xml:space="preserve">continue to </w:t>
      </w:r>
      <w:r w:rsidR="001F4105" w:rsidRPr="0098660A">
        <w:rPr>
          <w:rFonts w:asciiTheme="minorHAnsi" w:hAnsiTheme="minorHAnsi"/>
          <w:bCs/>
          <w:snapToGrid w:val="0"/>
        </w:rPr>
        <w:t xml:space="preserve">use a C5i </w:t>
      </w:r>
      <w:r w:rsidR="00FA6964" w:rsidRPr="0098660A">
        <w:rPr>
          <w:rFonts w:asciiTheme="minorHAnsi" w:hAnsiTheme="minorHAnsi"/>
          <w:bCs/>
          <w:snapToGrid w:val="0"/>
        </w:rPr>
        <w:t xml:space="preserve">first-line </w:t>
      </w:r>
      <w:r w:rsidR="001F4105" w:rsidRPr="0098660A">
        <w:rPr>
          <w:rFonts w:asciiTheme="minorHAnsi" w:hAnsiTheme="minorHAnsi"/>
          <w:bCs/>
          <w:snapToGrid w:val="0"/>
        </w:rPr>
        <w:t>given familiarity</w:t>
      </w:r>
      <w:r w:rsidR="00FA6964" w:rsidRPr="0098660A">
        <w:rPr>
          <w:rFonts w:asciiTheme="minorHAnsi" w:hAnsiTheme="minorHAnsi"/>
          <w:bCs/>
          <w:snapToGrid w:val="0"/>
        </w:rPr>
        <w:t xml:space="preserve"> with </w:t>
      </w:r>
      <w:r w:rsidR="006E0D74" w:rsidRPr="0098660A">
        <w:rPr>
          <w:rFonts w:asciiTheme="minorHAnsi" w:hAnsiTheme="minorHAnsi"/>
          <w:bCs/>
          <w:snapToGrid w:val="0"/>
        </w:rPr>
        <w:t>these</w:t>
      </w:r>
      <w:r w:rsidR="00FA6964" w:rsidRPr="0098660A">
        <w:rPr>
          <w:rFonts w:asciiTheme="minorHAnsi" w:hAnsiTheme="minorHAnsi"/>
          <w:bCs/>
          <w:snapToGrid w:val="0"/>
        </w:rPr>
        <w:t xml:space="preserve"> therapies</w:t>
      </w:r>
      <w:r w:rsidR="00653A32" w:rsidRPr="0098660A">
        <w:rPr>
          <w:rFonts w:asciiTheme="minorHAnsi" w:hAnsiTheme="minorHAnsi"/>
          <w:bCs/>
          <w:snapToGrid w:val="0"/>
        </w:rPr>
        <w:t>.</w:t>
      </w:r>
      <w:r w:rsidR="00F17A14" w:rsidRPr="0098660A">
        <w:rPr>
          <w:rFonts w:asciiTheme="minorHAnsi" w:hAnsiTheme="minorHAnsi"/>
          <w:bCs/>
          <w:snapToGrid w:val="0"/>
        </w:rPr>
        <w:t xml:space="preserve"> </w:t>
      </w:r>
      <w:r w:rsidR="00F25868" w:rsidRPr="0098660A">
        <w:rPr>
          <w:rFonts w:asciiTheme="minorHAnsi" w:hAnsiTheme="minorHAnsi"/>
          <w:bCs/>
          <w:snapToGrid w:val="0"/>
        </w:rPr>
        <w:t>Nonetheless</w:t>
      </w:r>
      <w:r w:rsidR="006B44D2" w:rsidRPr="0098660A">
        <w:rPr>
          <w:rFonts w:asciiTheme="minorHAnsi" w:hAnsiTheme="minorHAnsi"/>
          <w:bCs/>
          <w:snapToGrid w:val="0"/>
        </w:rPr>
        <w:t>,</w:t>
      </w:r>
      <w:r w:rsidR="005A2F33" w:rsidRPr="0098660A">
        <w:rPr>
          <w:rFonts w:asciiTheme="minorHAnsi" w:hAnsiTheme="minorHAnsi"/>
          <w:bCs/>
          <w:snapToGrid w:val="0"/>
        </w:rPr>
        <w:t xml:space="preserve"> it w</w:t>
      </w:r>
      <w:r w:rsidR="008A3798" w:rsidRPr="0098660A">
        <w:rPr>
          <w:rFonts w:asciiTheme="minorHAnsi" w:hAnsiTheme="minorHAnsi"/>
          <w:bCs/>
          <w:snapToGrid w:val="0"/>
        </w:rPr>
        <w:t xml:space="preserve">as explained that </w:t>
      </w:r>
      <w:r w:rsidR="00F17A14" w:rsidRPr="0098660A">
        <w:rPr>
          <w:rFonts w:asciiTheme="minorHAnsi" w:hAnsiTheme="minorHAnsi"/>
          <w:bCs/>
          <w:snapToGrid w:val="0"/>
        </w:rPr>
        <w:t xml:space="preserve">an alternative to </w:t>
      </w:r>
      <w:r w:rsidR="008A3798" w:rsidRPr="0098660A">
        <w:rPr>
          <w:rFonts w:asciiTheme="minorHAnsi" w:hAnsiTheme="minorHAnsi"/>
          <w:bCs/>
          <w:snapToGrid w:val="0"/>
        </w:rPr>
        <w:t xml:space="preserve">the </w:t>
      </w:r>
      <w:r w:rsidR="006B44D2" w:rsidRPr="0098660A">
        <w:rPr>
          <w:rFonts w:asciiTheme="minorHAnsi" w:hAnsiTheme="minorHAnsi"/>
          <w:bCs/>
          <w:snapToGrid w:val="0"/>
        </w:rPr>
        <w:t>IV</w:t>
      </w:r>
      <w:r w:rsidR="0002696D" w:rsidRPr="0098660A">
        <w:rPr>
          <w:rFonts w:asciiTheme="minorHAnsi" w:hAnsiTheme="minorHAnsi"/>
          <w:bCs/>
          <w:snapToGrid w:val="0"/>
        </w:rPr>
        <w:t xml:space="preserve"> infusions would be an important option for some </w:t>
      </w:r>
      <w:r w:rsidR="00B46D56" w:rsidRPr="0098660A">
        <w:rPr>
          <w:rFonts w:asciiTheme="minorHAnsi" w:hAnsiTheme="minorHAnsi"/>
          <w:bCs/>
          <w:snapToGrid w:val="0"/>
        </w:rPr>
        <w:t>patients</w:t>
      </w:r>
      <w:r w:rsidR="0002696D" w:rsidRPr="0098660A">
        <w:rPr>
          <w:rFonts w:asciiTheme="minorHAnsi" w:hAnsiTheme="minorHAnsi"/>
          <w:bCs/>
          <w:snapToGrid w:val="0"/>
        </w:rPr>
        <w:t>.</w:t>
      </w:r>
      <w:r w:rsidR="008A3798" w:rsidRPr="0098660A">
        <w:rPr>
          <w:rFonts w:asciiTheme="minorHAnsi" w:hAnsiTheme="minorHAnsi"/>
          <w:bCs/>
          <w:snapToGrid w:val="0"/>
        </w:rPr>
        <w:t xml:space="preserve"> </w:t>
      </w:r>
      <w:r w:rsidR="00283FF1" w:rsidRPr="0098660A">
        <w:rPr>
          <w:rFonts w:asciiTheme="minorHAnsi" w:hAnsiTheme="minorHAnsi"/>
          <w:bCs/>
          <w:snapToGrid w:val="0"/>
        </w:rPr>
        <w:t>The PBAC considered the hearing</w:t>
      </w:r>
      <w:r w:rsidR="0011539D" w:rsidRPr="0098660A">
        <w:rPr>
          <w:rFonts w:asciiTheme="minorHAnsi" w:hAnsiTheme="minorHAnsi"/>
          <w:bCs/>
          <w:snapToGrid w:val="0"/>
        </w:rPr>
        <w:t xml:space="preserve"> highlighted </w:t>
      </w:r>
      <w:r w:rsidR="00B10C83" w:rsidRPr="0098660A">
        <w:rPr>
          <w:rFonts w:asciiTheme="minorHAnsi" w:hAnsiTheme="minorHAnsi"/>
          <w:bCs/>
          <w:snapToGrid w:val="0"/>
        </w:rPr>
        <w:t xml:space="preserve">that </w:t>
      </w:r>
      <w:r w:rsidR="0011539D" w:rsidRPr="0098660A">
        <w:rPr>
          <w:rFonts w:asciiTheme="minorHAnsi" w:hAnsiTheme="minorHAnsi"/>
          <w:bCs/>
          <w:snapToGrid w:val="0"/>
        </w:rPr>
        <w:t xml:space="preserve">the </w:t>
      </w:r>
      <w:r w:rsidR="00B10C83" w:rsidRPr="0098660A">
        <w:rPr>
          <w:rFonts w:asciiTheme="minorHAnsi" w:hAnsiTheme="minorHAnsi"/>
          <w:bCs/>
          <w:snapToGrid w:val="0"/>
        </w:rPr>
        <w:t xml:space="preserve">primary </w:t>
      </w:r>
      <w:r w:rsidR="0011539D" w:rsidRPr="0098660A">
        <w:rPr>
          <w:rFonts w:asciiTheme="minorHAnsi" w:hAnsiTheme="minorHAnsi"/>
          <w:bCs/>
          <w:snapToGrid w:val="0"/>
        </w:rPr>
        <w:t xml:space="preserve">role of pegcetacoplan </w:t>
      </w:r>
      <w:r w:rsidR="00B10C83" w:rsidRPr="0098660A">
        <w:rPr>
          <w:rFonts w:asciiTheme="minorHAnsi" w:hAnsiTheme="minorHAnsi"/>
          <w:bCs/>
          <w:snapToGrid w:val="0"/>
        </w:rPr>
        <w:t xml:space="preserve">would remain </w:t>
      </w:r>
      <w:r w:rsidR="00F87823" w:rsidRPr="0098660A">
        <w:rPr>
          <w:rFonts w:asciiTheme="minorHAnsi" w:hAnsiTheme="minorHAnsi"/>
          <w:bCs/>
          <w:snapToGrid w:val="0"/>
        </w:rPr>
        <w:t>as a</w:t>
      </w:r>
      <w:r w:rsidR="0011539D" w:rsidRPr="0098660A">
        <w:rPr>
          <w:rFonts w:asciiTheme="minorHAnsi" w:hAnsiTheme="minorHAnsi"/>
          <w:bCs/>
          <w:snapToGrid w:val="0"/>
        </w:rPr>
        <w:t xml:space="preserve"> second-line </w:t>
      </w:r>
      <w:r w:rsidR="00F87823" w:rsidRPr="0098660A">
        <w:rPr>
          <w:rFonts w:asciiTheme="minorHAnsi" w:hAnsiTheme="minorHAnsi"/>
          <w:bCs/>
          <w:snapToGrid w:val="0"/>
        </w:rPr>
        <w:t xml:space="preserve">treatment option </w:t>
      </w:r>
      <w:r w:rsidR="002216F3" w:rsidRPr="0098660A">
        <w:rPr>
          <w:rFonts w:asciiTheme="minorHAnsi" w:hAnsiTheme="minorHAnsi"/>
          <w:bCs/>
          <w:snapToGrid w:val="0"/>
        </w:rPr>
        <w:t xml:space="preserve">for managing </w:t>
      </w:r>
      <w:r w:rsidR="00C23AA8" w:rsidRPr="0098660A">
        <w:rPr>
          <w:rFonts w:asciiTheme="minorHAnsi" w:hAnsiTheme="minorHAnsi"/>
          <w:bCs/>
          <w:snapToGrid w:val="0"/>
        </w:rPr>
        <w:t xml:space="preserve">symptoms and haematological outcomes for patients </w:t>
      </w:r>
      <w:r w:rsidR="00B10C83" w:rsidRPr="0098660A">
        <w:rPr>
          <w:rFonts w:asciiTheme="minorHAnsi" w:hAnsiTheme="minorHAnsi"/>
          <w:bCs/>
          <w:snapToGrid w:val="0"/>
        </w:rPr>
        <w:t>not adequately responding to a C5</w:t>
      </w:r>
      <w:r w:rsidR="00814B09" w:rsidRPr="0098660A">
        <w:rPr>
          <w:rFonts w:asciiTheme="minorHAnsi" w:hAnsiTheme="minorHAnsi"/>
          <w:bCs/>
          <w:snapToGrid w:val="0"/>
        </w:rPr>
        <w:t>i</w:t>
      </w:r>
      <w:r w:rsidR="00653A32" w:rsidRPr="0098660A">
        <w:rPr>
          <w:rFonts w:asciiTheme="minorHAnsi" w:hAnsiTheme="minorHAnsi"/>
          <w:bCs/>
          <w:snapToGrid w:val="0"/>
        </w:rPr>
        <w:t>.</w:t>
      </w:r>
      <w:r w:rsidR="00796C84" w:rsidRPr="0098660A">
        <w:rPr>
          <w:rFonts w:asciiTheme="minorHAnsi" w:hAnsiTheme="minorHAnsi"/>
          <w:bCs/>
          <w:snapToGrid w:val="0"/>
        </w:rPr>
        <w:t xml:space="preserve"> </w:t>
      </w:r>
    </w:p>
    <w:bookmarkEnd w:id="25"/>
    <w:p w14:paraId="777B781A" w14:textId="77777777" w:rsidR="00D54834" w:rsidRPr="0098660A" w:rsidRDefault="00D54834" w:rsidP="00245D71">
      <w:pPr>
        <w:pStyle w:val="4-SubsectionHeading"/>
      </w:pPr>
      <w:r w:rsidRPr="0098660A">
        <w:t>Consumer comments</w:t>
      </w:r>
    </w:p>
    <w:p w14:paraId="10C449A5" w14:textId="5495D7C0" w:rsidR="00D54834" w:rsidRPr="0098660A" w:rsidRDefault="00D54834" w:rsidP="00D54834">
      <w:pPr>
        <w:widowControl w:val="0"/>
        <w:numPr>
          <w:ilvl w:val="1"/>
          <w:numId w:val="1"/>
        </w:numPr>
        <w:spacing w:after="120"/>
        <w:rPr>
          <w:rFonts w:asciiTheme="minorHAnsi" w:hAnsiTheme="minorHAnsi"/>
          <w:bCs/>
          <w:snapToGrid w:val="0"/>
        </w:rPr>
      </w:pPr>
      <w:bookmarkStart w:id="26" w:name="_Hlk76382618"/>
      <w:r w:rsidRPr="0098660A">
        <w:rPr>
          <w:rFonts w:asciiTheme="minorHAnsi" w:hAnsiTheme="minorHAnsi"/>
          <w:bCs/>
          <w:snapToGrid w:val="0"/>
        </w:rPr>
        <w:t>The PBAC noted that no consumer comments were received for this item.</w:t>
      </w:r>
    </w:p>
    <w:bookmarkEnd w:id="23"/>
    <w:bookmarkEnd w:id="26"/>
    <w:p w14:paraId="609C0765" w14:textId="2DCCCD42" w:rsidR="00B60939" w:rsidRPr="0098660A" w:rsidRDefault="00B60939" w:rsidP="002E4F02">
      <w:pPr>
        <w:pStyle w:val="4-SubsectionHeading"/>
      </w:pPr>
      <w:r w:rsidRPr="0098660A">
        <w:t>Clinical trials</w:t>
      </w:r>
      <w:bookmarkEnd w:id="22"/>
      <w:bookmarkEnd w:id="24"/>
    </w:p>
    <w:p w14:paraId="4C26FA70" w14:textId="22EBEAF9" w:rsidR="003807B9" w:rsidRPr="0098660A" w:rsidRDefault="003807B9" w:rsidP="003807B9">
      <w:pPr>
        <w:pStyle w:val="3-BodyText"/>
      </w:pPr>
      <w:r w:rsidRPr="0098660A">
        <w:t xml:space="preserve">No head-to-head trials were identified that directly compared pegcetacoplan vs ravulizumab in the proposed PBS target population. The submission was based on one randomised controlled trial (RCT) which compared pegcetacoplan to best supportive care (BSC) in treatment naïve PNH patients (PRINCE), and one RCT comparing ravulizumab to eculizumab in treatment naïve patients (ALXN1210-301), to inform the indirect treatment comparison (ITC) between pegcetacoplan and ravulizumab. The unanchored matching-adjusted indirect comparison (MAIC) method was used to </w:t>
      </w:r>
      <w:r w:rsidRPr="0098660A">
        <w:lastRenderedPageBreak/>
        <w:t>compare the efficacy and safety data of the two trials</w:t>
      </w:r>
      <w:r w:rsidR="00E46F79" w:rsidRPr="0098660A">
        <w:rPr>
          <w:rStyle w:val="FootnoteReference"/>
        </w:rPr>
        <w:footnoteReference w:id="15"/>
      </w:r>
      <w:r w:rsidRPr="0098660A">
        <w:t xml:space="preserve">. </w:t>
      </w:r>
      <w:r w:rsidR="00E97612" w:rsidRPr="0098660A">
        <w:t>The safety of pegcetacoplan and ravulizumab were compared without any adjustments</w:t>
      </w:r>
      <w:r w:rsidRPr="0098660A">
        <w:t xml:space="preserve">. </w:t>
      </w:r>
    </w:p>
    <w:p w14:paraId="4EBA6471" w14:textId="050ECC28" w:rsidR="003807B9" w:rsidRPr="0098660A" w:rsidRDefault="003807B9" w:rsidP="003807B9">
      <w:pPr>
        <w:pStyle w:val="3-BodyText"/>
      </w:pPr>
      <w:r w:rsidRPr="0098660A">
        <w:t xml:space="preserve">Details of the key trials presented in the submission are provided in </w:t>
      </w:r>
      <w:r w:rsidR="00812B51" w:rsidRPr="0098660A">
        <w:fldChar w:fldCharType="begin"/>
      </w:r>
      <w:r w:rsidR="00812B51" w:rsidRPr="0098660A">
        <w:instrText xml:space="preserve"> REF _Ref189934185 \h </w:instrText>
      </w:r>
      <w:r w:rsidR="00812B51" w:rsidRPr="0098660A">
        <w:fldChar w:fldCharType="separate"/>
      </w:r>
      <w:r w:rsidR="00134128" w:rsidRPr="0098660A">
        <w:t xml:space="preserve">Table </w:t>
      </w:r>
      <w:r w:rsidR="00134128">
        <w:rPr>
          <w:noProof/>
        </w:rPr>
        <w:t>2</w:t>
      </w:r>
      <w:r w:rsidR="00812B51" w:rsidRPr="0098660A">
        <w:fldChar w:fldCharType="end"/>
      </w:r>
      <w:r w:rsidR="00812B51" w:rsidRPr="0098660A">
        <w:t>.</w:t>
      </w:r>
    </w:p>
    <w:p w14:paraId="050CB102" w14:textId="32D926EA" w:rsidR="003807B9" w:rsidRPr="0098660A" w:rsidRDefault="003807B9" w:rsidP="00200B21">
      <w:pPr>
        <w:pStyle w:val="Caption"/>
        <w:keepLines w:val="0"/>
      </w:pPr>
      <w:bookmarkStart w:id="27" w:name="_Ref189934185"/>
      <w:r w:rsidRPr="0098660A">
        <w:t xml:space="preserve">Table </w:t>
      </w:r>
      <w:r w:rsidR="00ED489E" w:rsidRPr="0098660A">
        <w:fldChar w:fldCharType="begin"/>
      </w:r>
      <w:r w:rsidR="00ED489E" w:rsidRPr="0098660A">
        <w:instrText xml:space="preserve"> SEQ Table \* ARABIC </w:instrText>
      </w:r>
      <w:r w:rsidR="00ED489E" w:rsidRPr="0098660A">
        <w:fldChar w:fldCharType="separate"/>
      </w:r>
      <w:r w:rsidR="00134128">
        <w:rPr>
          <w:noProof/>
        </w:rPr>
        <w:t>2</w:t>
      </w:r>
      <w:r w:rsidR="00ED489E" w:rsidRPr="0098660A">
        <w:fldChar w:fldCharType="end"/>
      </w:r>
      <w:bookmarkEnd w:id="27"/>
      <w:r w:rsidRPr="0098660A">
        <w:t xml:space="preserve">: </w:t>
      </w:r>
      <w:r w:rsidRPr="0098660A">
        <w:rPr>
          <w:rStyle w:val="CommentReference"/>
          <w:b/>
          <w:szCs w:val="24"/>
        </w:rPr>
        <w:t>Trials and associated reports presented in the submission</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C0" w:firstRow="0" w:lastRow="1" w:firstColumn="1" w:lastColumn="1" w:noHBand="0" w:noVBand="0"/>
      </w:tblPr>
      <w:tblGrid>
        <w:gridCol w:w="1410"/>
        <w:gridCol w:w="5956"/>
        <w:gridCol w:w="1842"/>
      </w:tblGrid>
      <w:tr w:rsidR="00375ED8" w:rsidRPr="0098660A" w14:paraId="06951A34" w14:textId="77777777" w:rsidTr="00BD08DB">
        <w:trPr>
          <w:tblHeader/>
        </w:trPr>
        <w:tc>
          <w:tcPr>
            <w:tcW w:w="766" w:type="pct"/>
            <w:vAlign w:val="center"/>
          </w:tcPr>
          <w:p w14:paraId="5CD9DB7E" w14:textId="77777777" w:rsidR="003807B9" w:rsidRPr="0098660A" w:rsidRDefault="003807B9" w:rsidP="00BD08DB">
            <w:pPr>
              <w:pStyle w:val="In-tableHeading"/>
              <w:keepNext w:val="0"/>
              <w:keepLines w:val="0"/>
              <w:rPr>
                <w:lang w:val="en-AU"/>
              </w:rPr>
            </w:pPr>
            <w:r w:rsidRPr="0098660A">
              <w:rPr>
                <w:lang w:val="en-AU"/>
              </w:rPr>
              <w:t>Trial ID</w:t>
            </w:r>
          </w:p>
        </w:tc>
        <w:tc>
          <w:tcPr>
            <w:tcW w:w="3234" w:type="pct"/>
            <w:vAlign w:val="center"/>
          </w:tcPr>
          <w:p w14:paraId="2CC65FD2" w14:textId="77777777" w:rsidR="003807B9" w:rsidRPr="0098660A" w:rsidRDefault="003807B9" w:rsidP="00BD08DB">
            <w:pPr>
              <w:pStyle w:val="In-tableHeading"/>
              <w:keepNext w:val="0"/>
              <w:keepLines w:val="0"/>
              <w:rPr>
                <w:lang w:val="en-AU"/>
              </w:rPr>
            </w:pPr>
            <w:r w:rsidRPr="0098660A">
              <w:rPr>
                <w:lang w:val="en-AU"/>
              </w:rPr>
              <w:t>Protocol title/ Publication title</w:t>
            </w:r>
          </w:p>
        </w:tc>
        <w:tc>
          <w:tcPr>
            <w:tcW w:w="1000" w:type="pct"/>
            <w:vAlign w:val="center"/>
          </w:tcPr>
          <w:p w14:paraId="5156B61B" w14:textId="77777777" w:rsidR="003807B9" w:rsidRPr="0098660A" w:rsidRDefault="003807B9" w:rsidP="00BD08DB">
            <w:pPr>
              <w:pStyle w:val="In-tableHeading"/>
              <w:keepNext w:val="0"/>
              <w:keepLines w:val="0"/>
              <w:rPr>
                <w:lang w:val="en-AU"/>
              </w:rPr>
            </w:pPr>
            <w:r w:rsidRPr="0098660A">
              <w:rPr>
                <w:lang w:val="en-AU"/>
              </w:rPr>
              <w:t>Publication citation</w:t>
            </w:r>
          </w:p>
        </w:tc>
      </w:tr>
      <w:tr w:rsidR="00375ED8" w:rsidRPr="0098660A" w14:paraId="17514D4B" w14:textId="77777777" w:rsidTr="00BD08DB">
        <w:tc>
          <w:tcPr>
            <w:tcW w:w="766" w:type="pct"/>
            <w:vMerge w:val="restart"/>
            <w:vAlign w:val="center"/>
          </w:tcPr>
          <w:p w14:paraId="211B020D" w14:textId="4B1FC2BB" w:rsidR="000A6CE8" w:rsidRPr="0098660A" w:rsidRDefault="000A6CE8" w:rsidP="00BD08DB">
            <w:pPr>
              <w:pStyle w:val="TableText0"/>
              <w:keepNext w:val="0"/>
              <w:keepLines w:val="0"/>
            </w:pPr>
            <w:r w:rsidRPr="0098660A">
              <w:t>PRINCE (NCT04085601)</w:t>
            </w:r>
          </w:p>
        </w:tc>
        <w:tc>
          <w:tcPr>
            <w:tcW w:w="3234" w:type="pct"/>
            <w:vAlign w:val="center"/>
          </w:tcPr>
          <w:p w14:paraId="242A794D" w14:textId="1957C923" w:rsidR="000A6CE8" w:rsidRPr="0098660A" w:rsidRDefault="000A6CE8" w:rsidP="00BD08DB">
            <w:pPr>
              <w:pStyle w:val="TableText0"/>
              <w:keepNext w:val="0"/>
              <w:keepLines w:val="0"/>
            </w:pPr>
            <w:r w:rsidRPr="0098660A">
              <w:t>APL2-308 PRINCE CSR October 2021. A phase 3, randomised, multicentre, open-label, controlled study to evaluate the efficacy and safety of pegcetacoplan in patients with paroxysmal nocturnal hemoglobinuria (PNH). Clinical Study Report.</w:t>
            </w:r>
          </w:p>
        </w:tc>
        <w:tc>
          <w:tcPr>
            <w:tcW w:w="1000" w:type="pct"/>
            <w:vAlign w:val="center"/>
          </w:tcPr>
          <w:p w14:paraId="0C7C4AE1" w14:textId="77777777" w:rsidR="000A6CE8" w:rsidRPr="0098660A" w:rsidRDefault="000A6CE8" w:rsidP="00BD08DB">
            <w:pPr>
              <w:pStyle w:val="TableText0"/>
              <w:keepNext w:val="0"/>
              <w:keepLines w:val="0"/>
            </w:pPr>
          </w:p>
        </w:tc>
      </w:tr>
      <w:tr w:rsidR="00375ED8" w:rsidRPr="0098660A" w14:paraId="50C650F8" w14:textId="77777777" w:rsidTr="00BD08DB">
        <w:tc>
          <w:tcPr>
            <w:tcW w:w="766" w:type="pct"/>
            <w:vMerge/>
            <w:vAlign w:val="center"/>
          </w:tcPr>
          <w:p w14:paraId="250EE886" w14:textId="5937C224" w:rsidR="000A6CE8" w:rsidRPr="0098660A" w:rsidRDefault="000A6CE8" w:rsidP="00BD08DB">
            <w:pPr>
              <w:pStyle w:val="TableText0"/>
              <w:keepNext w:val="0"/>
              <w:keepLines w:val="0"/>
            </w:pPr>
          </w:p>
        </w:tc>
        <w:tc>
          <w:tcPr>
            <w:tcW w:w="3234" w:type="pct"/>
            <w:vAlign w:val="center"/>
          </w:tcPr>
          <w:p w14:paraId="47FB31F3" w14:textId="57CC0188" w:rsidR="000A6CE8" w:rsidRPr="0098660A" w:rsidRDefault="000A6CE8" w:rsidP="00BD08DB">
            <w:pPr>
              <w:pStyle w:val="TableText0"/>
              <w:keepNext w:val="0"/>
              <w:keepLines w:val="0"/>
            </w:pPr>
            <w:r w:rsidRPr="0098660A">
              <w:t>Wong RSM, Navarro-Cabrera JR., Comia NS et al.</w:t>
            </w:r>
            <w:r w:rsidRPr="0098660A">
              <w:rPr>
                <w:rFonts w:ascii="Montserrat" w:eastAsia="Calibri" w:hAnsi="Montserrat" w:cs="Calibri"/>
                <w:sz w:val="18"/>
                <w:szCs w:val="20"/>
                <w:lang w:eastAsia="en-US"/>
              </w:rPr>
              <w:t xml:space="preserve"> </w:t>
            </w:r>
            <w:proofErr w:type="spellStart"/>
            <w:r w:rsidRPr="0098660A">
              <w:t>Pegcetacoplan</w:t>
            </w:r>
            <w:proofErr w:type="spellEnd"/>
            <w:r w:rsidRPr="0098660A">
              <w:t xml:space="preserve"> controls </w:t>
            </w:r>
            <w:proofErr w:type="spellStart"/>
            <w:r w:rsidRPr="0098660A">
              <w:t>hemolysis</w:t>
            </w:r>
            <w:proofErr w:type="spellEnd"/>
            <w:r w:rsidRPr="0098660A">
              <w:t xml:space="preserve"> in complement inhibitor-naive patients with paroxysmal nocturnal hemoglobinuria.</w:t>
            </w:r>
          </w:p>
        </w:tc>
        <w:tc>
          <w:tcPr>
            <w:tcW w:w="1000" w:type="pct"/>
          </w:tcPr>
          <w:p w14:paraId="0AB805E1" w14:textId="77777777" w:rsidR="000A6CE8" w:rsidRPr="0098660A" w:rsidRDefault="000A6CE8" w:rsidP="00BD08DB">
            <w:pPr>
              <w:pStyle w:val="TableText0"/>
              <w:keepNext w:val="0"/>
              <w:keepLines w:val="0"/>
              <w:rPr>
                <w:szCs w:val="18"/>
              </w:rPr>
            </w:pPr>
            <w:r w:rsidRPr="0098660A">
              <w:rPr>
                <w:i/>
                <w:iCs/>
              </w:rPr>
              <w:t>Blood</w:t>
            </w:r>
            <w:r w:rsidRPr="0098660A">
              <w:t xml:space="preserve"> </w:t>
            </w:r>
            <w:r w:rsidRPr="0098660A">
              <w:rPr>
                <w:i/>
                <w:iCs/>
              </w:rPr>
              <w:t xml:space="preserve">Advances </w:t>
            </w:r>
            <w:r w:rsidRPr="0098660A">
              <w:t>2023; 7(11), 2468-2478.</w:t>
            </w:r>
          </w:p>
        </w:tc>
      </w:tr>
      <w:tr w:rsidR="00375ED8" w:rsidRPr="0098660A" w14:paraId="4ACEA1E3" w14:textId="77777777" w:rsidTr="00BD08DB">
        <w:tc>
          <w:tcPr>
            <w:tcW w:w="766" w:type="pct"/>
            <w:vMerge/>
            <w:vAlign w:val="center"/>
          </w:tcPr>
          <w:p w14:paraId="631D17D4" w14:textId="77777777" w:rsidR="000A6CE8" w:rsidRPr="0098660A" w:rsidRDefault="000A6CE8" w:rsidP="00BD08DB">
            <w:pPr>
              <w:pStyle w:val="TableText0"/>
              <w:keepNext w:val="0"/>
              <w:keepLines w:val="0"/>
            </w:pPr>
          </w:p>
        </w:tc>
        <w:tc>
          <w:tcPr>
            <w:tcW w:w="3234" w:type="pct"/>
            <w:vAlign w:val="center"/>
          </w:tcPr>
          <w:p w14:paraId="6E2802C5" w14:textId="486392A0" w:rsidR="000A6CE8" w:rsidRPr="0098660A" w:rsidRDefault="000A6CE8" w:rsidP="00BD08DB">
            <w:pPr>
              <w:pStyle w:val="TableText0"/>
              <w:keepNext w:val="0"/>
              <w:keepLines w:val="0"/>
            </w:pPr>
            <w:r w:rsidRPr="0098660A">
              <w:t xml:space="preserve">A research study to gather scientific information about the efficacy and safety of the investigational drug APL-2 in treating patients with paroxysmal nocturnal hemoglobinuria (PNH), a disease associated with anaemia, in a randomly assigned comparison with the current standard of care approved for PNH. </w:t>
            </w:r>
          </w:p>
        </w:tc>
        <w:tc>
          <w:tcPr>
            <w:tcW w:w="1000" w:type="pct"/>
            <w:vAlign w:val="center"/>
          </w:tcPr>
          <w:p w14:paraId="0FFF28D8" w14:textId="77777777" w:rsidR="000A6CE8" w:rsidRPr="0098660A" w:rsidRDefault="000A6CE8" w:rsidP="00BD08DB">
            <w:pPr>
              <w:pStyle w:val="TableText0"/>
              <w:keepNext w:val="0"/>
              <w:keepLines w:val="0"/>
            </w:pPr>
          </w:p>
        </w:tc>
      </w:tr>
      <w:tr w:rsidR="00375ED8" w:rsidRPr="0098660A" w14:paraId="78CC6840" w14:textId="77777777" w:rsidTr="00BD08DB">
        <w:tc>
          <w:tcPr>
            <w:tcW w:w="766" w:type="pct"/>
            <w:vMerge/>
            <w:vAlign w:val="center"/>
          </w:tcPr>
          <w:p w14:paraId="74255CE0" w14:textId="77777777" w:rsidR="000A6CE8" w:rsidRPr="0098660A" w:rsidRDefault="000A6CE8" w:rsidP="00BD08DB">
            <w:pPr>
              <w:pStyle w:val="TableText0"/>
              <w:keepNext w:val="0"/>
              <w:keepLines w:val="0"/>
            </w:pPr>
          </w:p>
        </w:tc>
        <w:tc>
          <w:tcPr>
            <w:tcW w:w="3234" w:type="pct"/>
            <w:vAlign w:val="center"/>
          </w:tcPr>
          <w:p w14:paraId="5868EE4A" w14:textId="2EFCE442" w:rsidR="000A6CE8" w:rsidRPr="0098660A" w:rsidRDefault="000A6CE8" w:rsidP="00BD08DB">
            <w:pPr>
              <w:pStyle w:val="TableText0"/>
              <w:keepNext w:val="0"/>
              <w:keepLines w:val="0"/>
            </w:pPr>
            <w:r w:rsidRPr="0098660A">
              <w:t>APL2-308 PRINCE Protocol August 2020. A phase 3, randomised, multicentre, open-label, controlled study to evaluate the efficacy and safety of pegcetacoplan in patients with paroxysmal nocturnal hemoglobinuria (PNH). Amendment 3.</w:t>
            </w:r>
          </w:p>
        </w:tc>
        <w:tc>
          <w:tcPr>
            <w:tcW w:w="1000" w:type="pct"/>
            <w:vAlign w:val="center"/>
          </w:tcPr>
          <w:p w14:paraId="4C8A82E5" w14:textId="77777777" w:rsidR="000A6CE8" w:rsidRPr="0098660A" w:rsidRDefault="000A6CE8" w:rsidP="00BD08DB">
            <w:pPr>
              <w:pStyle w:val="TableText0"/>
              <w:keepNext w:val="0"/>
              <w:keepLines w:val="0"/>
            </w:pPr>
          </w:p>
        </w:tc>
      </w:tr>
      <w:tr w:rsidR="00375ED8" w:rsidRPr="0098660A" w14:paraId="6C2398FC" w14:textId="77777777" w:rsidTr="00BD08DB">
        <w:tc>
          <w:tcPr>
            <w:tcW w:w="766" w:type="pct"/>
            <w:vMerge/>
            <w:vAlign w:val="center"/>
          </w:tcPr>
          <w:p w14:paraId="54C85004" w14:textId="77777777" w:rsidR="000A6CE8" w:rsidRPr="0098660A" w:rsidRDefault="000A6CE8" w:rsidP="00BD08DB">
            <w:pPr>
              <w:pStyle w:val="TableText0"/>
              <w:keepNext w:val="0"/>
              <w:keepLines w:val="0"/>
            </w:pPr>
          </w:p>
        </w:tc>
        <w:tc>
          <w:tcPr>
            <w:tcW w:w="3234" w:type="pct"/>
            <w:vAlign w:val="center"/>
          </w:tcPr>
          <w:p w14:paraId="23B29188" w14:textId="36CD938A" w:rsidR="000A6CE8" w:rsidRPr="0098660A" w:rsidRDefault="000A6CE8" w:rsidP="00BD08DB">
            <w:pPr>
              <w:pStyle w:val="TableText0"/>
              <w:keepNext w:val="0"/>
              <w:keepLines w:val="0"/>
            </w:pPr>
            <w:r w:rsidRPr="0098660A">
              <w:t xml:space="preserve">Panse J, </w:t>
            </w:r>
            <w:proofErr w:type="spellStart"/>
            <w:r w:rsidRPr="0098660A">
              <w:t>Daguindau</w:t>
            </w:r>
            <w:proofErr w:type="spellEnd"/>
            <w:r w:rsidRPr="0098660A">
              <w:t xml:space="preserve"> N, Okuyama S et al. Improvements in hematologic markers and decreases in fatigue with pegcetacoplan for patients with paroxysmal nocturnal hemoglobinuria and mild or moderate </w:t>
            </w:r>
            <w:proofErr w:type="spellStart"/>
            <w:r w:rsidRPr="0098660A">
              <w:t>anemia</w:t>
            </w:r>
            <w:proofErr w:type="spellEnd"/>
            <w:r w:rsidRPr="0098660A">
              <w:t xml:space="preserve"> (</w:t>
            </w:r>
            <w:proofErr w:type="spellStart"/>
            <w:r w:rsidRPr="0098660A">
              <w:t>hemoglobin</w:t>
            </w:r>
            <w:proofErr w:type="spellEnd"/>
            <w:r w:rsidRPr="0098660A">
              <w:t xml:space="preserve"> ≥10 g/dL) who had received eculizumab or were naive to complement inhibitors.</w:t>
            </w:r>
          </w:p>
        </w:tc>
        <w:tc>
          <w:tcPr>
            <w:tcW w:w="1000" w:type="pct"/>
          </w:tcPr>
          <w:p w14:paraId="1485CD59" w14:textId="77777777" w:rsidR="000A6CE8" w:rsidRPr="0098660A" w:rsidRDefault="000A6CE8" w:rsidP="00BD08DB">
            <w:pPr>
              <w:pStyle w:val="TableText0"/>
              <w:keepNext w:val="0"/>
              <w:keepLines w:val="0"/>
            </w:pPr>
            <w:proofErr w:type="spellStart"/>
            <w:r w:rsidRPr="0098660A">
              <w:rPr>
                <w:i/>
                <w:iCs/>
              </w:rPr>
              <w:t>PLoS</w:t>
            </w:r>
            <w:proofErr w:type="spellEnd"/>
            <w:r w:rsidRPr="0098660A">
              <w:rPr>
                <w:i/>
                <w:iCs/>
              </w:rPr>
              <w:t xml:space="preserve"> One</w:t>
            </w:r>
            <w:r w:rsidRPr="0098660A">
              <w:t xml:space="preserve"> 2024; 19(7), e0306407</w:t>
            </w:r>
          </w:p>
        </w:tc>
      </w:tr>
      <w:tr w:rsidR="00375ED8" w:rsidRPr="0098660A" w14:paraId="62D93BB2" w14:textId="77777777" w:rsidTr="00BD08DB">
        <w:tc>
          <w:tcPr>
            <w:tcW w:w="766" w:type="pct"/>
            <w:vMerge/>
            <w:vAlign w:val="center"/>
          </w:tcPr>
          <w:p w14:paraId="2CB0EA98" w14:textId="77777777" w:rsidR="000A6CE8" w:rsidRPr="0098660A" w:rsidRDefault="000A6CE8" w:rsidP="00BD08DB">
            <w:pPr>
              <w:pStyle w:val="TableText0"/>
              <w:keepNext w:val="0"/>
              <w:keepLines w:val="0"/>
            </w:pPr>
          </w:p>
        </w:tc>
        <w:tc>
          <w:tcPr>
            <w:tcW w:w="3234" w:type="pct"/>
            <w:vAlign w:val="center"/>
          </w:tcPr>
          <w:p w14:paraId="1A248431" w14:textId="07A1EDA0" w:rsidR="000A6CE8" w:rsidRPr="0098660A" w:rsidRDefault="000A6CE8" w:rsidP="00BD08DB">
            <w:pPr>
              <w:pStyle w:val="TableText0"/>
              <w:keepNext w:val="0"/>
              <w:keepLines w:val="0"/>
            </w:pPr>
            <w:r w:rsidRPr="0098660A">
              <w:t xml:space="preserve">Mulherin BP, Yeh M, Al-Adhami M &amp; Dingli D. Normalization of </w:t>
            </w:r>
            <w:proofErr w:type="spellStart"/>
            <w:r w:rsidRPr="0098660A">
              <w:t>hemoglobin</w:t>
            </w:r>
            <w:proofErr w:type="spellEnd"/>
            <w:r w:rsidRPr="0098660A">
              <w:t xml:space="preserve">, lactate dehydrogenase, and fatigue in patients with paroxysmal nocturnal hemoglobinuria treated with pegcetacoplan. </w:t>
            </w:r>
          </w:p>
        </w:tc>
        <w:tc>
          <w:tcPr>
            <w:tcW w:w="1000" w:type="pct"/>
          </w:tcPr>
          <w:p w14:paraId="05EFFD68" w14:textId="77777777" w:rsidR="000A6CE8" w:rsidRPr="0098660A" w:rsidRDefault="000A6CE8" w:rsidP="00BD08DB">
            <w:pPr>
              <w:pStyle w:val="TableText0"/>
              <w:keepNext w:val="0"/>
              <w:keepLines w:val="0"/>
            </w:pPr>
            <w:r w:rsidRPr="0098660A">
              <w:rPr>
                <w:i/>
                <w:iCs/>
              </w:rPr>
              <w:t xml:space="preserve">Drugs in R &amp; D </w:t>
            </w:r>
            <w:r w:rsidRPr="0098660A">
              <w:t>2024; 24(2), 169-177.</w:t>
            </w:r>
          </w:p>
        </w:tc>
      </w:tr>
      <w:tr w:rsidR="00375ED8" w:rsidRPr="0098660A" w14:paraId="1348E514" w14:textId="77777777" w:rsidTr="00BD08DB">
        <w:tc>
          <w:tcPr>
            <w:tcW w:w="766" w:type="pct"/>
            <w:vMerge w:val="restart"/>
            <w:vAlign w:val="center"/>
          </w:tcPr>
          <w:p w14:paraId="521D67A8" w14:textId="6B4C89E5" w:rsidR="000A6CE8" w:rsidRPr="0098660A" w:rsidRDefault="000A6CE8" w:rsidP="00BD08DB">
            <w:pPr>
              <w:pStyle w:val="TableText0"/>
              <w:keepNext w:val="0"/>
              <w:keepLines w:val="0"/>
              <w:rPr>
                <w:b/>
              </w:rPr>
            </w:pPr>
            <w:r w:rsidRPr="0098660A">
              <w:t>ALXN1210-301</w:t>
            </w:r>
          </w:p>
          <w:p w14:paraId="42D40F5A" w14:textId="4D1E7757" w:rsidR="000A6CE8" w:rsidRPr="0098660A" w:rsidRDefault="000A6CE8" w:rsidP="00BD08DB">
            <w:pPr>
              <w:pStyle w:val="TableText0"/>
              <w:keepNext w:val="0"/>
              <w:keepLines w:val="0"/>
            </w:pPr>
            <w:r w:rsidRPr="0098660A">
              <w:t>(NCT02946463)</w:t>
            </w:r>
          </w:p>
        </w:tc>
        <w:tc>
          <w:tcPr>
            <w:tcW w:w="3234" w:type="pct"/>
            <w:vAlign w:val="center"/>
          </w:tcPr>
          <w:p w14:paraId="5C5DDAEB" w14:textId="67619B1C" w:rsidR="000A6CE8" w:rsidRPr="0098660A" w:rsidRDefault="000A6CE8" w:rsidP="00BD08DB">
            <w:pPr>
              <w:pStyle w:val="TableText0"/>
              <w:keepNext w:val="0"/>
              <w:keepLines w:val="0"/>
            </w:pPr>
            <w:r w:rsidRPr="0098660A">
              <w:t xml:space="preserve">Lee JW, Sicre de </w:t>
            </w:r>
            <w:proofErr w:type="spellStart"/>
            <w:r w:rsidRPr="0098660A">
              <w:t>Fontbrune</w:t>
            </w:r>
            <w:proofErr w:type="spellEnd"/>
            <w:r w:rsidRPr="0098660A">
              <w:t xml:space="preserve"> F, Wong Lee </w:t>
            </w:r>
            <w:proofErr w:type="spellStart"/>
            <w:r w:rsidRPr="0098660A">
              <w:t>Lee</w:t>
            </w:r>
            <w:proofErr w:type="spellEnd"/>
            <w:r w:rsidRPr="0098660A">
              <w:t xml:space="preserve"> et al. Ravulizumab (ALXN1210) vs eculizumab in adult patients with PNH naive to complement inhibitors: the 301 study.</w:t>
            </w:r>
          </w:p>
        </w:tc>
        <w:tc>
          <w:tcPr>
            <w:tcW w:w="1000" w:type="pct"/>
          </w:tcPr>
          <w:p w14:paraId="17A44071" w14:textId="77777777" w:rsidR="000A6CE8" w:rsidRPr="0098660A" w:rsidRDefault="000A6CE8" w:rsidP="00BD08DB">
            <w:pPr>
              <w:pStyle w:val="TableText0"/>
              <w:keepNext w:val="0"/>
              <w:keepLines w:val="0"/>
            </w:pPr>
            <w:r w:rsidRPr="0098660A">
              <w:rPr>
                <w:i/>
                <w:iCs/>
              </w:rPr>
              <w:t>Blood</w:t>
            </w:r>
            <w:r w:rsidRPr="0098660A">
              <w:t xml:space="preserve"> 2019; 133(6), 530-539</w:t>
            </w:r>
          </w:p>
        </w:tc>
      </w:tr>
      <w:tr w:rsidR="00375ED8" w:rsidRPr="0098660A" w14:paraId="08CE1CB3" w14:textId="77777777" w:rsidTr="00BD08DB">
        <w:tc>
          <w:tcPr>
            <w:tcW w:w="766" w:type="pct"/>
            <w:vMerge/>
            <w:vAlign w:val="center"/>
          </w:tcPr>
          <w:p w14:paraId="145F2428" w14:textId="64C76FEB" w:rsidR="000A6CE8" w:rsidRPr="0098660A" w:rsidRDefault="000A6CE8" w:rsidP="00BD08DB">
            <w:pPr>
              <w:pStyle w:val="TableText0"/>
              <w:keepNext w:val="0"/>
              <w:keepLines w:val="0"/>
            </w:pPr>
          </w:p>
        </w:tc>
        <w:tc>
          <w:tcPr>
            <w:tcW w:w="3234" w:type="pct"/>
            <w:vAlign w:val="center"/>
          </w:tcPr>
          <w:p w14:paraId="20FAC735" w14:textId="2688608F" w:rsidR="000A6CE8" w:rsidRPr="0098660A" w:rsidRDefault="000A6CE8" w:rsidP="00BD08DB">
            <w:pPr>
              <w:pStyle w:val="TableText0"/>
              <w:keepNext w:val="0"/>
              <w:keepLines w:val="0"/>
            </w:pPr>
            <w:r w:rsidRPr="0098660A">
              <w:t>ALXN-1210-301 Protocol March 2019. A phase 3, randomised, open-label, active-controlled study of ALXN1210 versus eculizumab in complement inhibitor-naïve adult patients with paroxysmal nocturnal hemoglobinuria (PNH). Amendment 5.</w:t>
            </w:r>
          </w:p>
        </w:tc>
        <w:tc>
          <w:tcPr>
            <w:tcW w:w="1000" w:type="pct"/>
            <w:vAlign w:val="center"/>
          </w:tcPr>
          <w:p w14:paraId="4FB90A54" w14:textId="77777777" w:rsidR="000A6CE8" w:rsidRPr="0098660A" w:rsidRDefault="000A6CE8" w:rsidP="00BD08DB">
            <w:pPr>
              <w:pStyle w:val="TableText0"/>
              <w:keepNext w:val="0"/>
              <w:keepLines w:val="0"/>
            </w:pPr>
          </w:p>
        </w:tc>
      </w:tr>
      <w:tr w:rsidR="00375ED8" w:rsidRPr="0098660A" w14:paraId="4D8800E9" w14:textId="77777777" w:rsidTr="00BD08DB">
        <w:tc>
          <w:tcPr>
            <w:tcW w:w="766" w:type="pct"/>
            <w:vMerge/>
            <w:vAlign w:val="center"/>
          </w:tcPr>
          <w:p w14:paraId="662FACE2" w14:textId="77777777" w:rsidR="000A6CE8" w:rsidRPr="0098660A" w:rsidRDefault="000A6CE8" w:rsidP="00BD08DB">
            <w:pPr>
              <w:pStyle w:val="TableText0"/>
              <w:keepNext w:val="0"/>
              <w:keepLines w:val="0"/>
            </w:pPr>
          </w:p>
        </w:tc>
        <w:tc>
          <w:tcPr>
            <w:tcW w:w="3234" w:type="pct"/>
            <w:vAlign w:val="center"/>
          </w:tcPr>
          <w:p w14:paraId="4E083A3C" w14:textId="58ED0A31" w:rsidR="000A6CE8" w:rsidRPr="0098660A" w:rsidRDefault="000A6CE8" w:rsidP="00BD08DB">
            <w:pPr>
              <w:pStyle w:val="TableText0"/>
              <w:keepNext w:val="0"/>
              <w:keepLines w:val="0"/>
            </w:pPr>
            <w:r w:rsidRPr="0098660A">
              <w:t xml:space="preserve">Brodsky RA, </w:t>
            </w:r>
            <w:proofErr w:type="spellStart"/>
            <w:r w:rsidRPr="0098660A">
              <w:t>Peffault</w:t>
            </w:r>
            <w:proofErr w:type="spellEnd"/>
            <w:r w:rsidRPr="0098660A">
              <w:t xml:space="preserve"> de Latour R, Rottinghaus ST et al. Characterization of breakthrough </w:t>
            </w:r>
            <w:proofErr w:type="spellStart"/>
            <w:r w:rsidRPr="0098660A">
              <w:t>hemolysis</w:t>
            </w:r>
            <w:proofErr w:type="spellEnd"/>
            <w:r w:rsidRPr="0098660A">
              <w:t xml:space="preserve"> events observed in the phase 3 randomized studies of ravulizumab versus eculizumab in adults with paroxysmal nocturnal hemoglobinuria.</w:t>
            </w:r>
          </w:p>
        </w:tc>
        <w:tc>
          <w:tcPr>
            <w:tcW w:w="1000" w:type="pct"/>
          </w:tcPr>
          <w:p w14:paraId="2CAEEB5C" w14:textId="77777777" w:rsidR="000A6CE8" w:rsidRPr="0098660A" w:rsidRDefault="000A6CE8" w:rsidP="00BD08DB">
            <w:pPr>
              <w:pStyle w:val="TableText0"/>
              <w:keepNext w:val="0"/>
              <w:keepLines w:val="0"/>
            </w:pPr>
            <w:proofErr w:type="spellStart"/>
            <w:r w:rsidRPr="0098660A">
              <w:rPr>
                <w:i/>
                <w:iCs/>
              </w:rPr>
              <w:t>Haematologica</w:t>
            </w:r>
            <w:proofErr w:type="spellEnd"/>
            <w:r w:rsidRPr="0098660A">
              <w:rPr>
                <w:i/>
                <w:iCs/>
              </w:rPr>
              <w:t xml:space="preserve"> </w:t>
            </w:r>
            <w:r w:rsidRPr="0098660A">
              <w:t>2021; 106(1), 230-237.</w:t>
            </w:r>
          </w:p>
        </w:tc>
      </w:tr>
      <w:tr w:rsidR="00375ED8" w:rsidRPr="0098660A" w14:paraId="5FDAD7A0" w14:textId="77777777" w:rsidTr="00BD08DB">
        <w:tc>
          <w:tcPr>
            <w:tcW w:w="766" w:type="pct"/>
            <w:vMerge/>
            <w:vAlign w:val="center"/>
          </w:tcPr>
          <w:p w14:paraId="7597D856" w14:textId="77777777" w:rsidR="000A6CE8" w:rsidRPr="0098660A" w:rsidRDefault="000A6CE8" w:rsidP="00BD08DB">
            <w:pPr>
              <w:pStyle w:val="TableText0"/>
              <w:keepNext w:val="0"/>
              <w:keepLines w:val="0"/>
            </w:pPr>
          </w:p>
        </w:tc>
        <w:tc>
          <w:tcPr>
            <w:tcW w:w="3234" w:type="pct"/>
            <w:vAlign w:val="center"/>
          </w:tcPr>
          <w:p w14:paraId="5D535872" w14:textId="18ACD524" w:rsidR="000A6CE8" w:rsidRPr="0098660A" w:rsidRDefault="000A6CE8" w:rsidP="00BD08DB">
            <w:pPr>
              <w:pStyle w:val="TableText0"/>
              <w:keepNext w:val="0"/>
              <w:keepLines w:val="0"/>
            </w:pPr>
            <w:r w:rsidRPr="0098660A">
              <w:t xml:space="preserve">Ishiyama, K., Nakao, S., </w:t>
            </w:r>
            <w:proofErr w:type="spellStart"/>
            <w:r w:rsidRPr="0098660A">
              <w:t>Usuki</w:t>
            </w:r>
            <w:proofErr w:type="spellEnd"/>
            <w:r w:rsidRPr="0098660A">
              <w:t>, K et al. Results from multinational phase 3 studies of ravulizumab (ALXN1210) versus eculizumab in adults with paroxysmal nocturnal hemoglobinuria: subgroup analysis of Japanese patients.</w:t>
            </w:r>
          </w:p>
        </w:tc>
        <w:tc>
          <w:tcPr>
            <w:tcW w:w="1000" w:type="pct"/>
            <w:vAlign w:val="center"/>
          </w:tcPr>
          <w:p w14:paraId="6174FB55" w14:textId="77777777" w:rsidR="000A6CE8" w:rsidRPr="0098660A" w:rsidRDefault="000A6CE8" w:rsidP="00BD08DB">
            <w:pPr>
              <w:pStyle w:val="TableText0"/>
              <w:keepNext w:val="0"/>
              <w:keepLines w:val="0"/>
            </w:pPr>
            <w:r w:rsidRPr="0098660A">
              <w:t>International Journal of Hematology 2020; 114(4), 466-476.</w:t>
            </w:r>
          </w:p>
        </w:tc>
      </w:tr>
      <w:tr w:rsidR="00375ED8" w:rsidRPr="0098660A" w14:paraId="6AA5D31B" w14:textId="77777777" w:rsidTr="00BD08DB">
        <w:tc>
          <w:tcPr>
            <w:tcW w:w="766" w:type="pct"/>
            <w:vMerge/>
            <w:vAlign w:val="center"/>
          </w:tcPr>
          <w:p w14:paraId="698EF69B" w14:textId="77777777" w:rsidR="000A6CE8" w:rsidRPr="0098660A" w:rsidRDefault="000A6CE8" w:rsidP="00BD08DB">
            <w:pPr>
              <w:pStyle w:val="TableText0"/>
              <w:keepNext w:val="0"/>
              <w:keepLines w:val="0"/>
            </w:pPr>
          </w:p>
        </w:tc>
        <w:tc>
          <w:tcPr>
            <w:tcW w:w="3234" w:type="pct"/>
            <w:vAlign w:val="center"/>
          </w:tcPr>
          <w:p w14:paraId="2C977E36" w14:textId="397989AA" w:rsidR="000A6CE8" w:rsidRPr="0098660A" w:rsidRDefault="000A6CE8" w:rsidP="00BD08DB">
            <w:pPr>
              <w:pStyle w:val="TableText0"/>
              <w:keepNext w:val="0"/>
              <w:keepLines w:val="0"/>
            </w:pPr>
            <w:proofErr w:type="spellStart"/>
            <w:r w:rsidRPr="0098660A">
              <w:t>Kulasekararaj</w:t>
            </w:r>
            <w:proofErr w:type="spellEnd"/>
            <w:r w:rsidRPr="0098660A">
              <w:t xml:space="preserve"> A, </w:t>
            </w:r>
            <w:proofErr w:type="spellStart"/>
            <w:r w:rsidRPr="0098660A">
              <w:t>Glasmacher</w:t>
            </w:r>
            <w:proofErr w:type="spellEnd"/>
            <w:r w:rsidRPr="0098660A">
              <w:t xml:space="preserve"> A, Liu P et al. Composite endpoint to evaluate complement inhibition therapy in patients with paroxysmal nocturnal hemoglobinuria</w:t>
            </w:r>
          </w:p>
        </w:tc>
        <w:tc>
          <w:tcPr>
            <w:tcW w:w="1000" w:type="pct"/>
            <w:vAlign w:val="center"/>
          </w:tcPr>
          <w:p w14:paraId="4AD1B8A8" w14:textId="77777777" w:rsidR="000A6CE8" w:rsidRPr="0098660A" w:rsidRDefault="000A6CE8" w:rsidP="00BD08DB">
            <w:pPr>
              <w:pStyle w:val="TableText0"/>
              <w:keepNext w:val="0"/>
              <w:keepLines w:val="0"/>
            </w:pPr>
            <w:r w:rsidRPr="0098660A">
              <w:t>European Journal of Haematology 2022; 108(5), 391-402.</w:t>
            </w:r>
          </w:p>
        </w:tc>
      </w:tr>
      <w:tr w:rsidR="00375ED8" w:rsidRPr="0098660A" w14:paraId="1126E6D4" w14:textId="77777777" w:rsidTr="00BD08DB">
        <w:tc>
          <w:tcPr>
            <w:tcW w:w="766" w:type="pct"/>
            <w:vMerge/>
            <w:vAlign w:val="center"/>
          </w:tcPr>
          <w:p w14:paraId="76A096FC" w14:textId="77777777" w:rsidR="000A6CE8" w:rsidRPr="0098660A" w:rsidRDefault="000A6CE8" w:rsidP="00BD08DB">
            <w:pPr>
              <w:pStyle w:val="TableText0"/>
              <w:keepNext w:val="0"/>
              <w:keepLines w:val="0"/>
            </w:pPr>
          </w:p>
        </w:tc>
        <w:tc>
          <w:tcPr>
            <w:tcW w:w="3234" w:type="pct"/>
            <w:vAlign w:val="center"/>
          </w:tcPr>
          <w:p w14:paraId="09CD3C22" w14:textId="06A31275" w:rsidR="000A6CE8" w:rsidRPr="0098660A" w:rsidRDefault="000A6CE8" w:rsidP="00BD08DB">
            <w:pPr>
              <w:pStyle w:val="TableText0"/>
              <w:keepNext w:val="0"/>
              <w:keepLines w:val="0"/>
            </w:pPr>
            <w:proofErr w:type="spellStart"/>
            <w:r w:rsidRPr="0098660A">
              <w:t>Kulasekararaj</w:t>
            </w:r>
            <w:proofErr w:type="spellEnd"/>
            <w:r w:rsidRPr="0098660A">
              <w:t xml:space="preserve"> AG, Griffin M, </w:t>
            </w:r>
            <w:proofErr w:type="spellStart"/>
            <w:r w:rsidRPr="0098660A">
              <w:t>Langemeijer</w:t>
            </w:r>
            <w:proofErr w:type="spellEnd"/>
            <w:r w:rsidRPr="0098660A">
              <w:t xml:space="preserve"> S et al. Long-term safety and efficacy of ravulizumab in patients with paroxysmal nocturnal hemoglobinuria: 2-year results from two pivotal phase 3 studies.</w:t>
            </w:r>
          </w:p>
        </w:tc>
        <w:tc>
          <w:tcPr>
            <w:tcW w:w="1000" w:type="pct"/>
            <w:vAlign w:val="center"/>
          </w:tcPr>
          <w:p w14:paraId="21889E20" w14:textId="77777777" w:rsidR="000A6CE8" w:rsidRPr="0098660A" w:rsidRDefault="000A6CE8" w:rsidP="00BD08DB">
            <w:pPr>
              <w:pStyle w:val="TableText0"/>
              <w:keepNext w:val="0"/>
              <w:keepLines w:val="0"/>
            </w:pPr>
            <w:r w:rsidRPr="0098660A">
              <w:t>European Journal of Haematology 2022; 109(3), 205-214.</w:t>
            </w:r>
          </w:p>
        </w:tc>
      </w:tr>
      <w:tr w:rsidR="00375ED8" w:rsidRPr="0098660A" w14:paraId="7FF62868" w14:textId="77777777" w:rsidTr="00BD08DB">
        <w:tc>
          <w:tcPr>
            <w:tcW w:w="766" w:type="pct"/>
            <w:vMerge/>
            <w:vAlign w:val="center"/>
          </w:tcPr>
          <w:p w14:paraId="1C720525" w14:textId="77777777" w:rsidR="000A6CE8" w:rsidRPr="0098660A" w:rsidRDefault="000A6CE8" w:rsidP="00BD08DB">
            <w:pPr>
              <w:pStyle w:val="TableText0"/>
              <w:keepNext w:val="0"/>
              <w:keepLines w:val="0"/>
            </w:pPr>
          </w:p>
        </w:tc>
        <w:tc>
          <w:tcPr>
            <w:tcW w:w="3234" w:type="pct"/>
          </w:tcPr>
          <w:p w14:paraId="5D3C23C6" w14:textId="3907C1DC" w:rsidR="000A6CE8" w:rsidRPr="0098660A" w:rsidRDefault="000A6CE8" w:rsidP="00BD08DB">
            <w:pPr>
              <w:pStyle w:val="TableText0"/>
              <w:keepNext w:val="0"/>
              <w:keepLines w:val="0"/>
            </w:pPr>
            <w:proofErr w:type="spellStart"/>
            <w:r w:rsidRPr="0098660A">
              <w:t>Schrezenmeier</w:t>
            </w:r>
            <w:proofErr w:type="spellEnd"/>
            <w:r w:rsidRPr="0098660A">
              <w:t xml:space="preserve"> H, </w:t>
            </w:r>
            <w:proofErr w:type="spellStart"/>
            <w:r w:rsidRPr="0098660A">
              <w:t>Kulasekararaj</w:t>
            </w:r>
            <w:proofErr w:type="spellEnd"/>
            <w:r w:rsidRPr="0098660A">
              <w:t xml:space="preserve"> A, Mitchell L et al. One-year efficacy and safety of ravulizumab in adults with paroxysmal nocturnal hemoglobinuria naïve to complement inhibitor therapy: open-label extension of a randomized study.</w:t>
            </w:r>
          </w:p>
        </w:tc>
        <w:tc>
          <w:tcPr>
            <w:tcW w:w="1000" w:type="pct"/>
            <w:vAlign w:val="center"/>
          </w:tcPr>
          <w:p w14:paraId="673539C5" w14:textId="77777777" w:rsidR="000A6CE8" w:rsidRPr="0098660A" w:rsidRDefault="000A6CE8" w:rsidP="00BD08DB">
            <w:pPr>
              <w:pStyle w:val="TableText0"/>
              <w:keepNext w:val="0"/>
              <w:keepLines w:val="0"/>
            </w:pPr>
            <w:r w:rsidRPr="0098660A">
              <w:t>Therapeutic Advances in Hematology 2020; 11, 2040620720966137.</w:t>
            </w:r>
          </w:p>
        </w:tc>
      </w:tr>
      <w:tr w:rsidR="00375ED8" w:rsidRPr="0098660A" w14:paraId="7377D904" w14:textId="77777777" w:rsidTr="00BD08DB">
        <w:tc>
          <w:tcPr>
            <w:tcW w:w="766" w:type="pct"/>
            <w:vMerge/>
            <w:vAlign w:val="center"/>
          </w:tcPr>
          <w:p w14:paraId="217928ED" w14:textId="77777777" w:rsidR="000A6CE8" w:rsidRPr="0098660A" w:rsidRDefault="000A6CE8" w:rsidP="00BD08DB">
            <w:pPr>
              <w:pStyle w:val="TableText0"/>
              <w:keepNext w:val="0"/>
              <w:keepLines w:val="0"/>
            </w:pPr>
          </w:p>
        </w:tc>
        <w:tc>
          <w:tcPr>
            <w:tcW w:w="3234" w:type="pct"/>
            <w:vAlign w:val="center"/>
          </w:tcPr>
          <w:p w14:paraId="4023CB6A" w14:textId="79A4E6F7" w:rsidR="000A6CE8" w:rsidRPr="0098660A" w:rsidRDefault="000A6CE8" w:rsidP="00BD08DB">
            <w:pPr>
              <w:pStyle w:val="TableText0"/>
              <w:keepNext w:val="0"/>
              <w:keepLines w:val="0"/>
            </w:pPr>
            <w:r w:rsidRPr="0098660A">
              <w:t>Schwartz CE, Stark RB, Borowiec K &amp; Myren KJ. No impact of Asian ethnicity on EORTC QLQ-C30 scores: Group differences and differential item functioning in paroxysmal nocturnal hemoglobinuria.</w:t>
            </w:r>
          </w:p>
        </w:tc>
        <w:tc>
          <w:tcPr>
            <w:tcW w:w="1000" w:type="pct"/>
            <w:vAlign w:val="center"/>
          </w:tcPr>
          <w:p w14:paraId="383F67A4" w14:textId="77777777" w:rsidR="000A6CE8" w:rsidRPr="0098660A" w:rsidRDefault="000A6CE8" w:rsidP="00BD08DB">
            <w:pPr>
              <w:pStyle w:val="TableText0"/>
              <w:keepNext w:val="0"/>
              <w:keepLines w:val="0"/>
            </w:pPr>
            <w:r w:rsidRPr="0098660A">
              <w:t>Health and Quality of Life Outcomes 2021; 19(1), 228.</w:t>
            </w:r>
          </w:p>
        </w:tc>
      </w:tr>
      <w:tr w:rsidR="00375ED8" w:rsidRPr="0098660A" w14:paraId="79B299EF" w14:textId="77777777" w:rsidTr="00BD08DB">
        <w:tc>
          <w:tcPr>
            <w:tcW w:w="766" w:type="pct"/>
            <w:vMerge/>
            <w:vAlign w:val="center"/>
          </w:tcPr>
          <w:p w14:paraId="57CD5182" w14:textId="77777777" w:rsidR="000A6CE8" w:rsidRPr="0098660A" w:rsidRDefault="000A6CE8" w:rsidP="00BD08DB">
            <w:pPr>
              <w:pStyle w:val="TableText0"/>
              <w:keepNext w:val="0"/>
              <w:keepLines w:val="0"/>
            </w:pPr>
          </w:p>
        </w:tc>
        <w:tc>
          <w:tcPr>
            <w:tcW w:w="3234" w:type="pct"/>
            <w:vAlign w:val="center"/>
          </w:tcPr>
          <w:p w14:paraId="6B19253D" w14:textId="77777777" w:rsidR="000A6CE8" w:rsidRPr="0098660A" w:rsidRDefault="000A6CE8" w:rsidP="00BD08DB">
            <w:pPr>
              <w:pStyle w:val="TableText0"/>
              <w:keepNext w:val="0"/>
              <w:keepLines w:val="0"/>
            </w:pPr>
            <w:r w:rsidRPr="0098660A">
              <w:t>Schwartz CE, Stark RB, Borowiec K et al. Norm-based comparison of the quality-of-life impact of ravulizumab and eculizumab in paroxysmal nocturnal hemoglobinuria</w:t>
            </w:r>
          </w:p>
          <w:p w14:paraId="7ABCC728" w14:textId="77777777" w:rsidR="00375ED8" w:rsidRPr="0098660A" w:rsidRDefault="00375ED8" w:rsidP="00BD08DB">
            <w:pPr>
              <w:pStyle w:val="TableText0"/>
              <w:keepNext w:val="0"/>
              <w:keepLines w:val="0"/>
            </w:pPr>
          </w:p>
        </w:tc>
        <w:tc>
          <w:tcPr>
            <w:tcW w:w="1000" w:type="pct"/>
          </w:tcPr>
          <w:p w14:paraId="37314F0E" w14:textId="77777777" w:rsidR="000A6CE8" w:rsidRPr="0098660A" w:rsidRDefault="000A6CE8" w:rsidP="00BD08DB">
            <w:pPr>
              <w:pStyle w:val="TableText0"/>
              <w:keepNext w:val="0"/>
              <w:keepLines w:val="0"/>
            </w:pPr>
            <w:proofErr w:type="spellStart"/>
            <w:r w:rsidRPr="0098660A">
              <w:t>Orphanet</w:t>
            </w:r>
            <w:proofErr w:type="spellEnd"/>
            <w:r w:rsidRPr="0098660A">
              <w:t xml:space="preserve"> Journal of Rare Diseases 2021; 16(1), 389.</w:t>
            </w:r>
          </w:p>
        </w:tc>
      </w:tr>
      <w:tr w:rsidR="00375ED8" w:rsidRPr="0098660A" w14:paraId="001658EF" w14:textId="77777777" w:rsidTr="00BD08DB">
        <w:tc>
          <w:tcPr>
            <w:tcW w:w="766" w:type="pct"/>
            <w:vAlign w:val="center"/>
          </w:tcPr>
          <w:p w14:paraId="53C85B76" w14:textId="77777777" w:rsidR="003807B9" w:rsidRPr="0098660A" w:rsidRDefault="003807B9" w:rsidP="00BD08DB">
            <w:pPr>
              <w:pStyle w:val="TableText0"/>
              <w:keepNext w:val="0"/>
              <w:keepLines w:val="0"/>
            </w:pPr>
            <w:r w:rsidRPr="0098660A">
              <w:t>Matching-adjusted indirect comparison of the PRINCE trial and ALXN-1210-301</w:t>
            </w:r>
          </w:p>
        </w:tc>
        <w:tc>
          <w:tcPr>
            <w:tcW w:w="3234" w:type="pct"/>
          </w:tcPr>
          <w:p w14:paraId="48699E99" w14:textId="77777777" w:rsidR="003807B9" w:rsidRPr="0098660A" w:rsidRDefault="003807B9" w:rsidP="00BD08DB">
            <w:pPr>
              <w:pStyle w:val="TableText0"/>
              <w:keepNext w:val="0"/>
              <w:keepLines w:val="0"/>
            </w:pPr>
            <w:r w:rsidRPr="0098660A">
              <w:t>Wong R, Fishman J, Wilson K et al. Comparative effectiveness of pegcetacoplan versus ravulizumab and eculizumab in complement inhibitor-naïve patients with paroxysmal nocturnal hemoglobinuria: A matching-adjusted indirect comparison.</w:t>
            </w:r>
          </w:p>
        </w:tc>
        <w:tc>
          <w:tcPr>
            <w:tcW w:w="1000" w:type="pct"/>
          </w:tcPr>
          <w:p w14:paraId="16F64088" w14:textId="77777777" w:rsidR="003807B9" w:rsidRPr="0098660A" w:rsidRDefault="003807B9" w:rsidP="00BD08DB">
            <w:pPr>
              <w:pStyle w:val="TableText0"/>
              <w:keepNext w:val="0"/>
              <w:keepLines w:val="0"/>
            </w:pPr>
            <w:r w:rsidRPr="0098660A">
              <w:rPr>
                <w:i/>
                <w:iCs/>
              </w:rPr>
              <w:t xml:space="preserve">Advances in Therapy </w:t>
            </w:r>
            <w:r w:rsidRPr="0098660A">
              <w:t>2023; 40(4), 1571-1589.</w:t>
            </w:r>
          </w:p>
        </w:tc>
      </w:tr>
      <w:tr w:rsidR="00375ED8" w:rsidRPr="0098660A" w14:paraId="53F1FF77" w14:textId="77777777" w:rsidTr="00BD08DB">
        <w:tc>
          <w:tcPr>
            <w:tcW w:w="766" w:type="pct"/>
            <w:vMerge w:val="restart"/>
            <w:vAlign w:val="center"/>
          </w:tcPr>
          <w:p w14:paraId="745E6CC9" w14:textId="77777777" w:rsidR="003807B9" w:rsidRPr="0098660A" w:rsidRDefault="003807B9" w:rsidP="00BD08DB">
            <w:pPr>
              <w:pStyle w:val="TableText0"/>
              <w:keepNext w:val="0"/>
              <w:keepLines w:val="0"/>
            </w:pPr>
            <w:r w:rsidRPr="0098660A">
              <w:t>APL2-307 open-label extension (OLE) study (NCT03531255)</w:t>
            </w:r>
          </w:p>
        </w:tc>
        <w:tc>
          <w:tcPr>
            <w:tcW w:w="3234" w:type="pct"/>
            <w:vAlign w:val="center"/>
          </w:tcPr>
          <w:p w14:paraId="6580626A" w14:textId="77777777" w:rsidR="003807B9" w:rsidRPr="0098660A" w:rsidRDefault="003807B9" w:rsidP="00BD08DB">
            <w:pPr>
              <w:pStyle w:val="TableText0"/>
              <w:keepNext w:val="0"/>
              <w:keepLines w:val="0"/>
            </w:pPr>
            <w:r w:rsidRPr="0098660A">
              <w:t xml:space="preserve">Griffin M, Kelly RJ, Panse J et al. Management of acute breakthrough </w:t>
            </w:r>
            <w:proofErr w:type="spellStart"/>
            <w:r w:rsidRPr="0098660A">
              <w:t>hemolysis</w:t>
            </w:r>
            <w:proofErr w:type="spellEnd"/>
            <w:r w:rsidRPr="0098660A">
              <w:t xml:space="preserve"> with intensive </w:t>
            </w:r>
            <w:proofErr w:type="spellStart"/>
            <w:r w:rsidRPr="0098660A">
              <w:t>pegcetacoplan</w:t>
            </w:r>
            <w:proofErr w:type="spellEnd"/>
            <w:r w:rsidRPr="0098660A">
              <w:t xml:space="preserve"> dosing in patients with PNH.</w:t>
            </w:r>
          </w:p>
        </w:tc>
        <w:tc>
          <w:tcPr>
            <w:tcW w:w="1000" w:type="pct"/>
          </w:tcPr>
          <w:p w14:paraId="094C6CAE" w14:textId="77777777" w:rsidR="003807B9" w:rsidRPr="0098660A" w:rsidRDefault="003807B9" w:rsidP="00BD08DB">
            <w:pPr>
              <w:pStyle w:val="TableText0"/>
              <w:keepNext w:val="0"/>
              <w:keepLines w:val="0"/>
            </w:pPr>
            <w:r w:rsidRPr="0098660A">
              <w:rPr>
                <w:i/>
                <w:iCs/>
              </w:rPr>
              <w:t xml:space="preserve">Blood Advances </w:t>
            </w:r>
            <w:r w:rsidRPr="0098660A">
              <w:t>2024; 8(7), 1776-1786.</w:t>
            </w:r>
          </w:p>
        </w:tc>
      </w:tr>
      <w:tr w:rsidR="00375ED8" w:rsidRPr="0098660A" w14:paraId="18F92385" w14:textId="77777777" w:rsidTr="00BD08DB">
        <w:tc>
          <w:tcPr>
            <w:tcW w:w="766" w:type="pct"/>
            <w:vMerge/>
            <w:vAlign w:val="center"/>
          </w:tcPr>
          <w:p w14:paraId="05E2512D" w14:textId="77777777" w:rsidR="003807B9" w:rsidRPr="0098660A" w:rsidRDefault="003807B9" w:rsidP="00BD08DB">
            <w:pPr>
              <w:pStyle w:val="TableText0"/>
              <w:keepNext w:val="0"/>
              <w:keepLines w:val="0"/>
            </w:pPr>
          </w:p>
        </w:tc>
        <w:tc>
          <w:tcPr>
            <w:tcW w:w="3234" w:type="pct"/>
            <w:vAlign w:val="center"/>
          </w:tcPr>
          <w:p w14:paraId="5650CFC3" w14:textId="77777777" w:rsidR="003807B9" w:rsidRPr="0098660A" w:rsidRDefault="003807B9" w:rsidP="00BD08DB">
            <w:pPr>
              <w:pStyle w:val="TableText0"/>
              <w:keepNext w:val="0"/>
              <w:keepLines w:val="0"/>
            </w:pPr>
            <w:r w:rsidRPr="0098660A">
              <w:t>Patriquin CJ, Bogdanovic A, Griffin M et al. Safety and efficacy of pegcetacoplan in adult patients with paroxysmal nocturnal hemoglobinuria over 48 weeks: 307 Open-Label Extension Study.</w:t>
            </w:r>
          </w:p>
        </w:tc>
        <w:tc>
          <w:tcPr>
            <w:tcW w:w="1000" w:type="pct"/>
          </w:tcPr>
          <w:p w14:paraId="753F5051" w14:textId="77777777" w:rsidR="003807B9" w:rsidRPr="0098660A" w:rsidRDefault="003807B9" w:rsidP="00BD08DB">
            <w:pPr>
              <w:pStyle w:val="TableText0"/>
              <w:keepNext w:val="0"/>
              <w:keepLines w:val="0"/>
            </w:pPr>
            <w:r w:rsidRPr="0098660A">
              <w:rPr>
                <w:i/>
                <w:iCs/>
              </w:rPr>
              <w:t xml:space="preserve">Advances in Therapy </w:t>
            </w:r>
            <w:r w:rsidRPr="0098660A">
              <w:t>2024; 41(5), 2050-2069.</w:t>
            </w:r>
          </w:p>
        </w:tc>
      </w:tr>
    </w:tbl>
    <w:p w14:paraId="4AECAAFB" w14:textId="77777777" w:rsidR="003807B9" w:rsidRPr="0098660A" w:rsidRDefault="003807B9" w:rsidP="003807B9">
      <w:pPr>
        <w:pStyle w:val="FooterTableFigure"/>
      </w:pPr>
      <w:r w:rsidRPr="0098660A">
        <w:t>Source: Table 2-2, pp35-37 of the submission</w:t>
      </w:r>
    </w:p>
    <w:p w14:paraId="74684AB4" w14:textId="77777777" w:rsidR="003807B9" w:rsidRPr="0098660A" w:rsidRDefault="003807B9" w:rsidP="003807B9">
      <w:pPr>
        <w:pStyle w:val="FooterTableFigure"/>
      </w:pPr>
      <w:r w:rsidRPr="0098660A">
        <w:t>CSR = clinical study report; PNH = paroxysmal nocturnal haemoglobinuria</w:t>
      </w:r>
    </w:p>
    <w:p w14:paraId="2B59ABAC" w14:textId="1C46DDA1" w:rsidR="00862502" w:rsidRPr="0098660A" w:rsidRDefault="00812B51" w:rsidP="002E4F02">
      <w:pPr>
        <w:pStyle w:val="3-BodyText"/>
      </w:pPr>
      <w:bookmarkStart w:id="28" w:name="_Ref191394069"/>
      <w:r w:rsidRPr="0098660A">
        <w:t xml:space="preserve">The key features of the included evidence for the </w:t>
      </w:r>
      <w:r w:rsidR="0003271B" w:rsidRPr="0098660A">
        <w:t>indirect comparison</w:t>
      </w:r>
      <w:r w:rsidRPr="0098660A">
        <w:t xml:space="preserve"> are summarised in </w:t>
      </w:r>
      <w:r w:rsidRPr="0098660A">
        <w:fldChar w:fldCharType="begin"/>
      </w:r>
      <w:r w:rsidRPr="0098660A">
        <w:instrText xml:space="preserve"> REF _Ref189934329 \h </w:instrText>
      </w:r>
      <w:r w:rsidRPr="0098660A">
        <w:fldChar w:fldCharType="separate"/>
      </w:r>
      <w:r w:rsidR="00134128" w:rsidRPr="0098660A">
        <w:t xml:space="preserve">Table </w:t>
      </w:r>
      <w:r w:rsidR="00134128">
        <w:rPr>
          <w:noProof/>
        </w:rPr>
        <w:t>3</w:t>
      </w:r>
      <w:r w:rsidRPr="0098660A">
        <w:fldChar w:fldCharType="end"/>
      </w:r>
      <w:r w:rsidRPr="0098660A">
        <w:t>.</w:t>
      </w:r>
      <w:bookmarkEnd w:id="28"/>
    </w:p>
    <w:p w14:paraId="38F08C06" w14:textId="361918D1" w:rsidR="00812B51" w:rsidRPr="0098660A" w:rsidRDefault="00812B51" w:rsidP="00812B51">
      <w:pPr>
        <w:pStyle w:val="Caption"/>
      </w:pPr>
      <w:bookmarkStart w:id="29" w:name="_Ref189934329"/>
      <w:r w:rsidRPr="0098660A">
        <w:t xml:space="preserve">Table </w:t>
      </w:r>
      <w:r w:rsidR="00ED489E" w:rsidRPr="0098660A">
        <w:fldChar w:fldCharType="begin"/>
      </w:r>
      <w:r w:rsidR="00ED489E" w:rsidRPr="0098660A">
        <w:instrText xml:space="preserve"> SEQ Table \* ARABIC </w:instrText>
      </w:r>
      <w:r w:rsidR="00ED489E" w:rsidRPr="0098660A">
        <w:fldChar w:fldCharType="separate"/>
      </w:r>
      <w:r w:rsidR="00134128">
        <w:rPr>
          <w:noProof/>
        </w:rPr>
        <w:t>3</w:t>
      </w:r>
      <w:r w:rsidR="00ED489E" w:rsidRPr="0098660A">
        <w:fldChar w:fldCharType="end"/>
      </w:r>
      <w:bookmarkEnd w:id="29"/>
      <w:r w:rsidRPr="0098660A">
        <w:t>: Key features of the included evidence (indirect comparison)</w:t>
      </w: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2"/>
        <w:gridCol w:w="568"/>
        <w:gridCol w:w="852"/>
        <w:gridCol w:w="706"/>
        <w:gridCol w:w="1554"/>
        <w:gridCol w:w="4397"/>
      </w:tblGrid>
      <w:tr w:rsidR="007B10EF" w:rsidRPr="0098660A" w14:paraId="1F9D648D" w14:textId="77777777" w:rsidTr="007B10EF">
        <w:trPr>
          <w:cantSplit/>
          <w:tblHeader/>
        </w:trPr>
        <w:tc>
          <w:tcPr>
            <w:tcW w:w="547" w:type="pct"/>
            <w:shd w:val="clear" w:color="auto" w:fill="auto"/>
            <w:vAlign w:val="center"/>
          </w:tcPr>
          <w:p w14:paraId="06E009FE" w14:textId="77777777" w:rsidR="007B10EF" w:rsidRPr="0098660A" w:rsidRDefault="007B10EF" w:rsidP="001C790D">
            <w:pPr>
              <w:keepNext/>
              <w:keepLines/>
              <w:jc w:val="center"/>
              <w:rPr>
                <w:rFonts w:ascii="Arial Narrow" w:hAnsi="Arial Narrow" w:cs="Times New Roman"/>
                <w:b/>
                <w:kern w:val="2"/>
                <w:sz w:val="20"/>
                <w:szCs w:val="22"/>
                <w:lang w:eastAsia="en-US"/>
                <w14:ligatures w14:val="standardContextual"/>
              </w:rPr>
            </w:pPr>
            <w:r w:rsidRPr="0098660A">
              <w:rPr>
                <w:rFonts w:ascii="Arial Narrow" w:hAnsi="Arial Narrow" w:cs="Times New Roman"/>
                <w:b/>
                <w:kern w:val="2"/>
                <w:sz w:val="20"/>
                <w:szCs w:val="22"/>
                <w:lang w:eastAsia="en-US"/>
                <w14:ligatures w14:val="standardContextual"/>
              </w:rPr>
              <w:t>Trial</w:t>
            </w:r>
          </w:p>
        </w:tc>
        <w:tc>
          <w:tcPr>
            <w:tcW w:w="313" w:type="pct"/>
            <w:shd w:val="clear" w:color="auto" w:fill="auto"/>
            <w:vAlign w:val="center"/>
          </w:tcPr>
          <w:p w14:paraId="5BEC1BDB" w14:textId="77777777" w:rsidR="007B10EF" w:rsidRPr="0098660A" w:rsidRDefault="007B10EF" w:rsidP="001C790D">
            <w:pPr>
              <w:keepNext/>
              <w:keepLines/>
              <w:jc w:val="center"/>
              <w:rPr>
                <w:rFonts w:ascii="Arial Narrow" w:hAnsi="Arial Narrow" w:cs="Times New Roman"/>
                <w:b/>
                <w:kern w:val="2"/>
                <w:sz w:val="20"/>
                <w:szCs w:val="22"/>
                <w:lang w:eastAsia="en-US"/>
                <w14:ligatures w14:val="standardContextual"/>
              </w:rPr>
            </w:pPr>
            <w:r w:rsidRPr="0098660A">
              <w:rPr>
                <w:rFonts w:ascii="Arial Narrow" w:hAnsi="Arial Narrow" w:cs="Times New Roman"/>
                <w:b/>
                <w:kern w:val="2"/>
                <w:sz w:val="20"/>
                <w:szCs w:val="22"/>
                <w:lang w:eastAsia="en-US"/>
                <w14:ligatures w14:val="standardContextual"/>
              </w:rPr>
              <w:t>N</w:t>
            </w:r>
          </w:p>
        </w:tc>
        <w:tc>
          <w:tcPr>
            <w:tcW w:w="470" w:type="pct"/>
            <w:shd w:val="clear" w:color="auto" w:fill="auto"/>
            <w:vAlign w:val="center"/>
          </w:tcPr>
          <w:p w14:paraId="0BF57E72" w14:textId="77777777" w:rsidR="007B10EF" w:rsidRPr="0098660A" w:rsidRDefault="007B10EF" w:rsidP="001C790D">
            <w:pPr>
              <w:keepNext/>
              <w:keepLines/>
              <w:jc w:val="center"/>
              <w:rPr>
                <w:rFonts w:ascii="Arial Narrow" w:hAnsi="Arial Narrow" w:cs="Times New Roman"/>
                <w:b/>
                <w:kern w:val="2"/>
                <w:sz w:val="20"/>
                <w:szCs w:val="22"/>
                <w:lang w:eastAsia="en-US"/>
                <w14:ligatures w14:val="standardContextual"/>
              </w:rPr>
            </w:pPr>
            <w:r w:rsidRPr="0098660A">
              <w:rPr>
                <w:rFonts w:ascii="Arial Narrow" w:hAnsi="Arial Narrow" w:cs="Times New Roman"/>
                <w:b/>
                <w:kern w:val="2"/>
                <w:sz w:val="20"/>
                <w:szCs w:val="22"/>
                <w:lang w:eastAsia="en-US"/>
                <w14:ligatures w14:val="standardContextual"/>
              </w:rPr>
              <w:t>Design/</w:t>
            </w:r>
            <w:r w:rsidRPr="0098660A">
              <w:rPr>
                <w:rFonts w:ascii="Arial Narrow" w:hAnsi="Arial Narrow" w:cs="Times New Roman"/>
                <w:b/>
                <w:kern w:val="2"/>
                <w:sz w:val="20"/>
                <w:szCs w:val="22"/>
                <w:lang w:eastAsia="en-US"/>
                <w14:ligatures w14:val="standardContextual"/>
              </w:rPr>
              <w:br/>
              <w:t>duration</w:t>
            </w:r>
          </w:p>
        </w:tc>
        <w:tc>
          <w:tcPr>
            <w:tcW w:w="389" w:type="pct"/>
            <w:shd w:val="clear" w:color="auto" w:fill="auto"/>
            <w:vAlign w:val="center"/>
          </w:tcPr>
          <w:p w14:paraId="6400A5BE" w14:textId="77777777" w:rsidR="007B10EF" w:rsidRPr="0098660A" w:rsidRDefault="007B10EF" w:rsidP="001C790D">
            <w:pPr>
              <w:keepNext/>
              <w:keepLines/>
              <w:jc w:val="center"/>
              <w:rPr>
                <w:rFonts w:ascii="Arial Narrow" w:hAnsi="Arial Narrow" w:cs="Times New Roman"/>
                <w:b/>
                <w:kern w:val="2"/>
                <w:sz w:val="20"/>
                <w:szCs w:val="22"/>
                <w:lang w:eastAsia="en-US"/>
                <w14:ligatures w14:val="standardContextual"/>
              </w:rPr>
            </w:pPr>
            <w:r w:rsidRPr="0098660A">
              <w:rPr>
                <w:rFonts w:ascii="Arial Narrow" w:hAnsi="Arial Narrow" w:cs="Times New Roman"/>
                <w:b/>
                <w:kern w:val="2"/>
                <w:sz w:val="20"/>
                <w:szCs w:val="22"/>
                <w:lang w:eastAsia="en-US"/>
                <w14:ligatures w14:val="standardContextual"/>
              </w:rPr>
              <w:t>Risk of bias</w:t>
            </w:r>
          </w:p>
        </w:tc>
        <w:tc>
          <w:tcPr>
            <w:tcW w:w="857" w:type="pct"/>
            <w:shd w:val="clear" w:color="auto" w:fill="auto"/>
            <w:vAlign w:val="center"/>
          </w:tcPr>
          <w:p w14:paraId="07E34B0F" w14:textId="77777777" w:rsidR="007B10EF" w:rsidRPr="0098660A" w:rsidRDefault="007B10EF" w:rsidP="001C790D">
            <w:pPr>
              <w:keepNext/>
              <w:keepLines/>
              <w:jc w:val="center"/>
              <w:rPr>
                <w:rFonts w:ascii="Arial Narrow" w:hAnsi="Arial Narrow" w:cs="Times New Roman"/>
                <w:b/>
                <w:kern w:val="2"/>
                <w:sz w:val="20"/>
                <w:szCs w:val="22"/>
                <w:lang w:eastAsia="en-US"/>
                <w14:ligatures w14:val="standardContextual"/>
              </w:rPr>
            </w:pPr>
            <w:r w:rsidRPr="0098660A">
              <w:rPr>
                <w:rFonts w:ascii="Arial Narrow" w:hAnsi="Arial Narrow" w:cs="Times New Roman"/>
                <w:b/>
                <w:kern w:val="2"/>
                <w:sz w:val="20"/>
                <w:szCs w:val="22"/>
                <w:lang w:eastAsia="en-US"/>
                <w14:ligatures w14:val="standardContextual"/>
              </w:rPr>
              <w:t>Patient</w:t>
            </w:r>
          </w:p>
          <w:p w14:paraId="35C33A8B" w14:textId="77777777" w:rsidR="007B10EF" w:rsidRPr="0098660A" w:rsidRDefault="007B10EF" w:rsidP="001C790D">
            <w:pPr>
              <w:keepNext/>
              <w:keepLines/>
              <w:jc w:val="center"/>
              <w:rPr>
                <w:rFonts w:ascii="Arial Narrow" w:hAnsi="Arial Narrow" w:cs="Times New Roman"/>
                <w:b/>
                <w:kern w:val="2"/>
                <w:sz w:val="20"/>
                <w:szCs w:val="22"/>
                <w:lang w:eastAsia="en-US"/>
                <w14:ligatures w14:val="standardContextual"/>
              </w:rPr>
            </w:pPr>
            <w:r w:rsidRPr="0098660A">
              <w:rPr>
                <w:rFonts w:ascii="Arial Narrow" w:hAnsi="Arial Narrow" w:cs="Times New Roman"/>
                <w:b/>
                <w:kern w:val="2"/>
                <w:sz w:val="20"/>
                <w:szCs w:val="22"/>
                <w:lang w:eastAsia="en-US"/>
                <w14:ligatures w14:val="standardContextual"/>
              </w:rPr>
              <w:t>population</w:t>
            </w:r>
          </w:p>
        </w:tc>
        <w:tc>
          <w:tcPr>
            <w:tcW w:w="2424" w:type="pct"/>
            <w:shd w:val="clear" w:color="auto" w:fill="auto"/>
            <w:vAlign w:val="center"/>
          </w:tcPr>
          <w:p w14:paraId="12674A63" w14:textId="361098A1" w:rsidR="007B10EF" w:rsidRPr="0098660A" w:rsidRDefault="007B10EF" w:rsidP="007B10EF">
            <w:pPr>
              <w:keepNext/>
              <w:keepLines/>
              <w:jc w:val="center"/>
              <w:rPr>
                <w:rFonts w:ascii="Arial Narrow" w:hAnsi="Arial Narrow" w:cs="Times New Roman"/>
                <w:b/>
                <w:kern w:val="2"/>
                <w:sz w:val="20"/>
                <w:szCs w:val="22"/>
                <w:lang w:eastAsia="en-US"/>
                <w14:ligatures w14:val="standardContextual"/>
              </w:rPr>
            </w:pPr>
            <w:r w:rsidRPr="0098660A">
              <w:rPr>
                <w:rFonts w:ascii="Arial Narrow" w:hAnsi="Arial Narrow" w:cs="Times New Roman"/>
                <w:b/>
                <w:kern w:val="2"/>
                <w:sz w:val="20"/>
                <w:szCs w:val="22"/>
                <w:lang w:eastAsia="en-US"/>
                <w14:ligatures w14:val="standardContextual"/>
              </w:rPr>
              <w:t>Outcome(s)</w:t>
            </w:r>
          </w:p>
        </w:tc>
      </w:tr>
      <w:tr w:rsidR="00812B51" w:rsidRPr="0098660A" w14:paraId="1DC147A8" w14:textId="77777777" w:rsidTr="007B10EF">
        <w:trPr>
          <w:cantSplit/>
          <w:trHeight w:val="234"/>
        </w:trPr>
        <w:tc>
          <w:tcPr>
            <w:tcW w:w="5000" w:type="pct"/>
            <w:gridSpan w:val="6"/>
            <w:shd w:val="clear" w:color="auto" w:fill="auto"/>
          </w:tcPr>
          <w:p w14:paraId="74272B9E" w14:textId="3C11C155" w:rsidR="00812B51" w:rsidRPr="0098660A" w:rsidRDefault="00812B51" w:rsidP="001C790D">
            <w:pPr>
              <w:keepNext/>
              <w:keepLines/>
              <w:jc w:val="left"/>
              <w:rPr>
                <w:rFonts w:ascii="Arial Narrow" w:hAnsi="Arial Narrow" w:cs="Times New Roman"/>
                <w:b/>
                <w:kern w:val="2"/>
                <w:sz w:val="20"/>
                <w:szCs w:val="22"/>
                <w:lang w:eastAsia="en-US"/>
                <w14:ligatures w14:val="standardContextual"/>
              </w:rPr>
            </w:pPr>
            <w:r w:rsidRPr="0098660A">
              <w:rPr>
                <w:rFonts w:ascii="Arial Narrow" w:hAnsi="Arial Narrow" w:cs="Times New Roman"/>
                <w:b/>
                <w:bCs/>
                <w:kern w:val="2"/>
                <w:sz w:val="20"/>
                <w:szCs w:val="22"/>
                <w:lang w:eastAsia="en-US"/>
                <w14:ligatures w14:val="standardContextual"/>
              </w:rPr>
              <w:t>Pegcetacoplan vs BSC</w:t>
            </w:r>
            <w:r w:rsidRPr="0098660A">
              <w:rPr>
                <w:rFonts w:ascii="Arial Narrow" w:hAnsi="Arial Narrow" w:cs="Times New Roman"/>
                <w:b/>
                <w:kern w:val="2"/>
                <w:sz w:val="20"/>
                <w:szCs w:val="22"/>
                <w:lang w:eastAsia="en-US"/>
                <w14:ligatures w14:val="standardContextual"/>
              </w:rPr>
              <w:t xml:space="preserve"> </w:t>
            </w:r>
          </w:p>
        </w:tc>
      </w:tr>
      <w:tr w:rsidR="007B10EF" w:rsidRPr="0098660A" w14:paraId="49F13772" w14:textId="77777777" w:rsidTr="007B10EF">
        <w:trPr>
          <w:cantSplit/>
          <w:trHeight w:val="1147"/>
        </w:trPr>
        <w:tc>
          <w:tcPr>
            <w:tcW w:w="547" w:type="pct"/>
            <w:shd w:val="clear" w:color="auto" w:fill="auto"/>
            <w:vAlign w:val="center"/>
          </w:tcPr>
          <w:p w14:paraId="1AE6CA3B" w14:textId="77777777" w:rsidR="007B10EF" w:rsidRPr="0098660A" w:rsidRDefault="007B10EF" w:rsidP="001C790D">
            <w:pPr>
              <w:widowControl w:val="0"/>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PRINCE</w:t>
            </w:r>
          </w:p>
        </w:tc>
        <w:tc>
          <w:tcPr>
            <w:tcW w:w="313" w:type="pct"/>
            <w:shd w:val="clear" w:color="auto" w:fill="auto"/>
            <w:vAlign w:val="center"/>
          </w:tcPr>
          <w:p w14:paraId="22E8F6E0" w14:textId="77777777" w:rsidR="007B10EF" w:rsidRPr="0098660A" w:rsidRDefault="007B10EF" w:rsidP="001C790D">
            <w:pPr>
              <w:widowControl w:val="0"/>
              <w:jc w:val="center"/>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53</w:t>
            </w:r>
          </w:p>
        </w:tc>
        <w:tc>
          <w:tcPr>
            <w:tcW w:w="470" w:type="pct"/>
            <w:shd w:val="clear" w:color="auto" w:fill="auto"/>
            <w:vAlign w:val="center"/>
          </w:tcPr>
          <w:p w14:paraId="5E53C71D" w14:textId="77777777" w:rsidR="007B10EF" w:rsidRPr="0098660A" w:rsidRDefault="007B10EF" w:rsidP="001C790D">
            <w:pPr>
              <w:widowControl w:val="0"/>
              <w:jc w:val="center"/>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R, OL</w:t>
            </w:r>
          </w:p>
          <w:p w14:paraId="4F0A9846" w14:textId="77777777" w:rsidR="007B10EF" w:rsidRPr="0098660A" w:rsidRDefault="007B10EF" w:rsidP="001C790D">
            <w:pPr>
              <w:widowControl w:val="0"/>
              <w:jc w:val="center"/>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 xml:space="preserve">26 </w:t>
            </w:r>
            <w:proofErr w:type="spellStart"/>
            <w:r w:rsidRPr="0098660A">
              <w:rPr>
                <w:rFonts w:ascii="Arial Narrow" w:hAnsi="Arial Narrow" w:cs="Times New Roman"/>
                <w:kern w:val="2"/>
                <w:sz w:val="20"/>
                <w:szCs w:val="22"/>
                <w:lang w:eastAsia="en-US"/>
                <w14:ligatures w14:val="standardContextual"/>
              </w:rPr>
              <w:t>wks</w:t>
            </w:r>
            <w:proofErr w:type="spellEnd"/>
          </w:p>
        </w:tc>
        <w:tc>
          <w:tcPr>
            <w:tcW w:w="389" w:type="pct"/>
            <w:shd w:val="clear" w:color="auto" w:fill="auto"/>
            <w:vAlign w:val="center"/>
          </w:tcPr>
          <w:p w14:paraId="64808F1E" w14:textId="2DADAF3F" w:rsidR="007B10EF" w:rsidRPr="0098660A" w:rsidRDefault="007B10EF" w:rsidP="001C790D">
            <w:pPr>
              <w:widowControl w:val="0"/>
              <w:jc w:val="center"/>
              <w:rPr>
                <w:rFonts w:ascii="Arial Narrow" w:hAnsi="Arial Narrow" w:cs="Times New Roman"/>
                <w:kern w:val="2"/>
                <w:sz w:val="20"/>
                <w:szCs w:val="22"/>
                <w:vertAlign w:val="superscript"/>
                <w:lang w:eastAsia="en-US"/>
                <w14:ligatures w14:val="standardContextual"/>
              </w:rPr>
            </w:pPr>
            <w:proofErr w:type="spellStart"/>
            <w:r w:rsidRPr="0098660A">
              <w:rPr>
                <w:rFonts w:ascii="Arial Narrow" w:hAnsi="Arial Narrow" w:cs="Times New Roman"/>
                <w:kern w:val="2"/>
                <w:sz w:val="20"/>
                <w:szCs w:val="22"/>
                <w:lang w:eastAsia="en-US"/>
                <w14:ligatures w14:val="standardContextual"/>
              </w:rPr>
              <w:t>Low</w:t>
            </w:r>
            <w:r w:rsidRPr="0098660A">
              <w:rPr>
                <w:rFonts w:ascii="Arial Narrow" w:hAnsi="Arial Narrow" w:cs="Times New Roman"/>
                <w:kern w:val="2"/>
                <w:sz w:val="20"/>
                <w:szCs w:val="22"/>
                <w:vertAlign w:val="superscript"/>
                <w:lang w:eastAsia="en-US"/>
                <w14:ligatures w14:val="standardContextual"/>
              </w:rPr>
              <w:t>a,b</w:t>
            </w:r>
            <w:proofErr w:type="spellEnd"/>
          </w:p>
        </w:tc>
        <w:tc>
          <w:tcPr>
            <w:tcW w:w="857" w:type="pct"/>
            <w:shd w:val="clear" w:color="auto" w:fill="auto"/>
            <w:vAlign w:val="center"/>
          </w:tcPr>
          <w:p w14:paraId="32FF5BFF" w14:textId="77777777" w:rsidR="007B10EF" w:rsidRPr="0098660A" w:rsidRDefault="007B10EF" w:rsidP="001C790D">
            <w:pPr>
              <w:widowControl w:val="0"/>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 xml:space="preserve">Adult PNH patients who were Ci naïve </w:t>
            </w:r>
          </w:p>
        </w:tc>
        <w:tc>
          <w:tcPr>
            <w:tcW w:w="2424" w:type="pct"/>
            <w:shd w:val="clear" w:color="auto" w:fill="auto"/>
            <w:vAlign w:val="center"/>
          </w:tcPr>
          <w:p w14:paraId="09792746" w14:textId="77777777" w:rsidR="007B10EF" w:rsidRPr="0098660A" w:rsidRDefault="007B10EF" w:rsidP="00301C75">
            <w:pPr>
              <w:widowControl w:val="0"/>
              <w:numPr>
                <w:ilvl w:val="0"/>
                <w:numId w:val="12"/>
              </w:numPr>
              <w:ind w:left="221" w:hanging="221"/>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Hb stabilisation (defined as the avoidance of a &gt;1 g/dL decrease in Hb level from BS to Week 26</w:t>
            </w:r>
          </w:p>
          <w:p w14:paraId="07E44F8C" w14:textId="77777777" w:rsidR="007B10EF" w:rsidRPr="0098660A" w:rsidRDefault="007B10EF" w:rsidP="00301C75">
            <w:pPr>
              <w:widowControl w:val="0"/>
              <w:numPr>
                <w:ilvl w:val="0"/>
                <w:numId w:val="12"/>
              </w:numPr>
              <w:ind w:left="221" w:hanging="221"/>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LDH level change from BL at Week 26</w:t>
            </w:r>
          </w:p>
          <w:p w14:paraId="5CCC5A4A" w14:textId="77777777" w:rsidR="007B10EF" w:rsidRPr="0098660A" w:rsidRDefault="007B10EF" w:rsidP="00301C75">
            <w:pPr>
              <w:widowControl w:val="0"/>
              <w:numPr>
                <w:ilvl w:val="0"/>
                <w:numId w:val="12"/>
              </w:numPr>
              <w:ind w:left="221" w:hanging="221"/>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Hb response (defined as Hb increase ≥ 1g/dL from BL)</w:t>
            </w:r>
          </w:p>
          <w:p w14:paraId="26B0BE13" w14:textId="77777777" w:rsidR="007B10EF" w:rsidRPr="0098660A" w:rsidRDefault="007B10EF" w:rsidP="00301C75">
            <w:pPr>
              <w:widowControl w:val="0"/>
              <w:numPr>
                <w:ilvl w:val="0"/>
                <w:numId w:val="12"/>
              </w:numPr>
              <w:ind w:left="221" w:hanging="221"/>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Change from BL in absolute reticulocyte count</w:t>
            </w:r>
          </w:p>
          <w:p w14:paraId="657895AC" w14:textId="77777777" w:rsidR="007B10EF" w:rsidRPr="0098660A" w:rsidRDefault="007B10EF" w:rsidP="00301C75">
            <w:pPr>
              <w:widowControl w:val="0"/>
              <w:numPr>
                <w:ilvl w:val="0"/>
                <w:numId w:val="12"/>
              </w:numPr>
              <w:ind w:left="221" w:hanging="221"/>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Change from BL in Hb level</w:t>
            </w:r>
          </w:p>
          <w:p w14:paraId="5E12DF38" w14:textId="77777777" w:rsidR="007B10EF" w:rsidRPr="0098660A" w:rsidRDefault="007B10EF" w:rsidP="00301C75">
            <w:pPr>
              <w:widowControl w:val="0"/>
              <w:numPr>
                <w:ilvl w:val="0"/>
                <w:numId w:val="12"/>
              </w:numPr>
              <w:ind w:left="221" w:hanging="221"/>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Percentage of patients who received transfusion and/or had a &gt; 2 g/dL decreased from BL in Hb level</w:t>
            </w:r>
          </w:p>
          <w:p w14:paraId="150A4B3A" w14:textId="77777777" w:rsidR="007B10EF" w:rsidRPr="0098660A" w:rsidRDefault="007B10EF" w:rsidP="00301C75">
            <w:pPr>
              <w:widowControl w:val="0"/>
              <w:numPr>
                <w:ilvl w:val="0"/>
                <w:numId w:val="12"/>
              </w:numPr>
              <w:ind w:left="221" w:hanging="221"/>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Transfusion avoidance during the 26 weeks</w:t>
            </w:r>
          </w:p>
          <w:p w14:paraId="46F4A86B" w14:textId="77777777" w:rsidR="007B10EF" w:rsidRPr="0098660A" w:rsidRDefault="007B10EF" w:rsidP="00301C75">
            <w:pPr>
              <w:widowControl w:val="0"/>
              <w:numPr>
                <w:ilvl w:val="0"/>
                <w:numId w:val="12"/>
              </w:numPr>
              <w:ind w:left="221" w:hanging="221"/>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 xml:space="preserve">Number of units of PRBC transfused during the 26 weeks </w:t>
            </w:r>
          </w:p>
          <w:p w14:paraId="32EDDB20" w14:textId="77777777" w:rsidR="007B10EF" w:rsidRPr="0098660A" w:rsidRDefault="007B10EF" w:rsidP="00301C75">
            <w:pPr>
              <w:widowControl w:val="0"/>
              <w:numPr>
                <w:ilvl w:val="0"/>
                <w:numId w:val="12"/>
              </w:numPr>
              <w:ind w:left="221" w:hanging="221"/>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Absolute reticulocyte count normalisation</w:t>
            </w:r>
          </w:p>
          <w:p w14:paraId="69FC34B0" w14:textId="77777777" w:rsidR="007B10EF" w:rsidRPr="0098660A" w:rsidRDefault="007B10EF" w:rsidP="00301C75">
            <w:pPr>
              <w:widowControl w:val="0"/>
              <w:numPr>
                <w:ilvl w:val="0"/>
                <w:numId w:val="12"/>
              </w:numPr>
              <w:ind w:left="221" w:hanging="221"/>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LDH normalisation</w:t>
            </w:r>
          </w:p>
          <w:p w14:paraId="0B7E2A85" w14:textId="7C91B081" w:rsidR="007B10EF" w:rsidRPr="0098660A" w:rsidRDefault="007B10EF" w:rsidP="00301C75">
            <w:pPr>
              <w:widowControl w:val="0"/>
              <w:numPr>
                <w:ilvl w:val="0"/>
                <w:numId w:val="12"/>
              </w:numPr>
              <w:ind w:left="221" w:hanging="221"/>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 xml:space="preserve">Breakthrough </w:t>
            </w:r>
            <w:proofErr w:type="spellStart"/>
            <w:r w:rsidRPr="0098660A">
              <w:rPr>
                <w:rFonts w:ascii="Arial Narrow" w:hAnsi="Arial Narrow" w:cs="Times New Roman"/>
                <w:kern w:val="2"/>
                <w:sz w:val="20"/>
                <w:szCs w:val="22"/>
                <w:lang w:eastAsia="en-US"/>
                <w14:ligatures w14:val="standardContextual"/>
              </w:rPr>
              <w:t>haemolysis</w:t>
            </w:r>
            <w:r w:rsidRPr="0098660A">
              <w:rPr>
                <w:rFonts w:ascii="Arial Narrow" w:hAnsi="Arial Narrow" w:cs="Times New Roman"/>
                <w:kern w:val="2"/>
                <w:sz w:val="20"/>
                <w:szCs w:val="22"/>
                <w:vertAlign w:val="superscript"/>
                <w:lang w:eastAsia="en-US"/>
                <w14:ligatures w14:val="standardContextual"/>
              </w:rPr>
              <w:t>c</w:t>
            </w:r>
            <w:proofErr w:type="spellEnd"/>
          </w:p>
          <w:p w14:paraId="0231D6FC" w14:textId="77777777" w:rsidR="007B10EF" w:rsidRPr="0098660A" w:rsidRDefault="007B10EF" w:rsidP="00301C75">
            <w:pPr>
              <w:widowControl w:val="0"/>
              <w:numPr>
                <w:ilvl w:val="0"/>
                <w:numId w:val="12"/>
              </w:numPr>
              <w:ind w:left="221" w:hanging="221"/>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Change in QoL from BL to Day183 (FACIT-Fatigue Scale score)</w:t>
            </w:r>
          </w:p>
          <w:p w14:paraId="4D112A88" w14:textId="77777777" w:rsidR="007B10EF" w:rsidRPr="0098660A" w:rsidRDefault="007B10EF" w:rsidP="00301C75">
            <w:pPr>
              <w:widowControl w:val="0"/>
              <w:numPr>
                <w:ilvl w:val="0"/>
                <w:numId w:val="12"/>
              </w:numPr>
              <w:ind w:left="221" w:hanging="221"/>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Change in the EORTC-QLQ-C30 from BL</w:t>
            </w:r>
          </w:p>
          <w:p w14:paraId="26998AF6" w14:textId="77777777" w:rsidR="007B10EF" w:rsidRPr="0098660A" w:rsidRDefault="007B10EF" w:rsidP="00301C75">
            <w:pPr>
              <w:widowControl w:val="0"/>
              <w:numPr>
                <w:ilvl w:val="0"/>
                <w:numId w:val="12"/>
              </w:numPr>
              <w:ind w:left="221" w:hanging="221"/>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Any TEAEs</w:t>
            </w:r>
          </w:p>
          <w:p w14:paraId="6B74CAE5" w14:textId="44AD8FC0" w:rsidR="007B10EF" w:rsidRPr="0098660A" w:rsidRDefault="007B10EF" w:rsidP="00301C75">
            <w:pPr>
              <w:widowControl w:val="0"/>
              <w:numPr>
                <w:ilvl w:val="0"/>
                <w:numId w:val="12"/>
              </w:numPr>
              <w:ind w:left="221" w:hanging="221"/>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Serious AEs</w:t>
            </w:r>
          </w:p>
        </w:tc>
      </w:tr>
      <w:tr w:rsidR="00812B51" w:rsidRPr="0098660A" w14:paraId="13869041" w14:textId="77777777" w:rsidTr="007B10EF">
        <w:trPr>
          <w:cantSplit/>
          <w:trHeight w:val="288"/>
        </w:trPr>
        <w:tc>
          <w:tcPr>
            <w:tcW w:w="5000" w:type="pct"/>
            <w:gridSpan w:val="6"/>
            <w:tcBorders>
              <w:bottom w:val="single" w:sz="4" w:space="0" w:color="auto"/>
            </w:tcBorders>
            <w:shd w:val="clear" w:color="auto" w:fill="auto"/>
            <w:vAlign w:val="center"/>
          </w:tcPr>
          <w:p w14:paraId="45E8EADA" w14:textId="1032BB10" w:rsidR="00812B51" w:rsidRPr="0098660A" w:rsidRDefault="00812B51" w:rsidP="00861B65">
            <w:pPr>
              <w:keepNext/>
              <w:jc w:val="left"/>
              <w:rPr>
                <w:rFonts w:ascii="Arial Narrow" w:hAnsi="Arial Narrow" w:cs="Times New Roman"/>
                <w:kern w:val="2"/>
                <w:sz w:val="20"/>
                <w:szCs w:val="22"/>
                <w:lang w:eastAsia="en-US"/>
                <w14:ligatures w14:val="standardContextual"/>
              </w:rPr>
            </w:pPr>
            <w:r w:rsidRPr="0098660A">
              <w:rPr>
                <w:rFonts w:ascii="Arial Narrow" w:hAnsi="Arial Narrow" w:cs="Times New Roman"/>
                <w:b/>
                <w:bCs/>
                <w:kern w:val="2"/>
                <w:sz w:val="20"/>
                <w:szCs w:val="22"/>
                <w:lang w:eastAsia="en-US"/>
                <w14:ligatures w14:val="standardContextual"/>
              </w:rPr>
              <w:lastRenderedPageBreak/>
              <w:t>Ravulizumab vs eculizumab</w:t>
            </w:r>
          </w:p>
        </w:tc>
      </w:tr>
      <w:tr w:rsidR="007B10EF" w:rsidRPr="0098660A" w14:paraId="7E3EC431" w14:textId="77777777" w:rsidTr="007B10EF">
        <w:trPr>
          <w:cantSplit/>
          <w:trHeight w:val="1344"/>
        </w:trPr>
        <w:tc>
          <w:tcPr>
            <w:tcW w:w="547" w:type="pct"/>
            <w:shd w:val="clear" w:color="auto" w:fill="auto"/>
            <w:vAlign w:val="center"/>
          </w:tcPr>
          <w:p w14:paraId="2C58C609" w14:textId="77777777" w:rsidR="007B10EF" w:rsidRPr="0098660A" w:rsidRDefault="007B10EF" w:rsidP="001C790D">
            <w:pPr>
              <w:widowControl w:val="0"/>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ALXN1210-301</w:t>
            </w:r>
          </w:p>
        </w:tc>
        <w:tc>
          <w:tcPr>
            <w:tcW w:w="313" w:type="pct"/>
            <w:shd w:val="clear" w:color="auto" w:fill="auto"/>
            <w:vAlign w:val="center"/>
          </w:tcPr>
          <w:p w14:paraId="64B2187D" w14:textId="77777777" w:rsidR="007B10EF" w:rsidRPr="0098660A" w:rsidRDefault="007B10EF" w:rsidP="001C790D">
            <w:pPr>
              <w:widowControl w:val="0"/>
              <w:jc w:val="center"/>
              <w:rPr>
                <w:rFonts w:ascii="Arial Narrow" w:hAnsi="Arial Narrow" w:cs="Times New Roman"/>
                <w:kern w:val="2"/>
                <w:sz w:val="20"/>
                <w:szCs w:val="22"/>
                <w:vertAlign w:val="superscript"/>
                <w:lang w:eastAsia="en-US"/>
                <w14:ligatures w14:val="standardContextual"/>
              </w:rPr>
            </w:pPr>
            <w:r w:rsidRPr="0098660A">
              <w:rPr>
                <w:rFonts w:ascii="Arial Narrow" w:hAnsi="Arial Narrow" w:cs="Times New Roman"/>
                <w:kern w:val="2"/>
                <w:sz w:val="20"/>
                <w:szCs w:val="22"/>
                <w:lang w:eastAsia="en-US"/>
                <w14:ligatures w14:val="standardContextual"/>
              </w:rPr>
              <w:t>246</w:t>
            </w:r>
          </w:p>
        </w:tc>
        <w:tc>
          <w:tcPr>
            <w:tcW w:w="470" w:type="pct"/>
            <w:shd w:val="clear" w:color="auto" w:fill="auto"/>
            <w:vAlign w:val="center"/>
          </w:tcPr>
          <w:p w14:paraId="1F626FB8" w14:textId="77777777" w:rsidR="007B10EF" w:rsidRPr="0098660A" w:rsidRDefault="007B10EF" w:rsidP="001C790D">
            <w:pPr>
              <w:widowControl w:val="0"/>
              <w:jc w:val="center"/>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R, OL</w:t>
            </w:r>
          </w:p>
          <w:p w14:paraId="1E64A66F" w14:textId="77777777" w:rsidR="007B10EF" w:rsidRPr="0098660A" w:rsidRDefault="007B10EF" w:rsidP="001C790D">
            <w:pPr>
              <w:widowControl w:val="0"/>
              <w:jc w:val="center"/>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 xml:space="preserve">26 </w:t>
            </w:r>
            <w:proofErr w:type="spellStart"/>
            <w:r w:rsidRPr="0098660A">
              <w:rPr>
                <w:rFonts w:ascii="Arial Narrow" w:hAnsi="Arial Narrow" w:cs="Times New Roman"/>
                <w:kern w:val="2"/>
                <w:sz w:val="20"/>
                <w:szCs w:val="22"/>
                <w:lang w:eastAsia="en-US"/>
                <w14:ligatures w14:val="standardContextual"/>
              </w:rPr>
              <w:t>wks</w:t>
            </w:r>
            <w:proofErr w:type="spellEnd"/>
          </w:p>
        </w:tc>
        <w:tc>
          <w:tcPr>
            <w:tcW w:w="389" w:type="pct"/>
            <w:shd w:val="clear" w:color="auto" w:fill="auto"/>
            <w:vAlign w:val="center"/>
          </w:tcPr>
          <w:p w14:paraId="1651B9D5" w14:textId="69C09AE3" w:rsidR="007B10EF" w:rsidRPr="0098660A" w:rsidRDefault="007B10EF" w:rsidP="001C790D">
            <w:pPr>
              <w:widowControl w:val="0"/>
              <w:jc w:val="center"/>
              <w:rPr>
                <w:rFonts w:ascii="Arial Narrow" w:hAnsi="Arial Narrow" w:cs="Times New Roman"/>
                <w:kern w:val="2"/>
                <w:sz w:val="20"/>
                <w:szCs w:val="22"/>
                <w:vertAlign w:val="superscript"/>
                <w:lang w:eastAsia="en-US"/>
                <w14:ligatures w14:val="standardContextual"/>
              </w:rPr>
            </w:pPr>
            <w:proofErr w:type="spellStart"/>
            <w:r w:rsidRPr="0098660A">
              <w:rPr>
                <w:rFonts w:ascii="Arial Narrow" w:hAnsi="Arial Narrow" w:cs="Times New Roman"/>
                <w:kern w:val="2"/>
                <w:sz w:val="20"/>
                <w:szCs w:val="22"/>
                <w:lang w:eastAsia="en-US"/>
                <w14:ligatures w14:val="standardContextual"/>
              </w:rPr>
              <w:t>Low</w:t>
            </w:r>
            <w:r w:rsidRPr="0098660A">
              <w:rPr>
                <w:rFonts w:ascii="Arial Narrow" w:hAnsi="Arial Narrow" w:cs="Times New Roman"/>
                <w:kern w:val="2"/>
                <w:sz w:val="20"/>
                <w:szCs w:val="22"/>
                <w:vertAlign w:val="superscript"/>
                <w:lang w:eastAsia="en-US"/>
                <w14:ligatures w14:val="standardContextual"/>
              </w:rPr>
              <w:t>a,b</w:t>
            </w:r>
            <w:proofErr w:type="spellEnd"/>
          </w:p>
        </w:tc>
        <w:tc>
          <w:tcPr>
            <w:tcW w:w="857" w:type="pct"/>
            <w:shd w:val="clear" w:color="auto" w:fill="auto"/>
            <w:vAlign w:val="center"/>
          </w:tcPr>
          <w:p w14:paraId="5852DB1F" w14:textId="77777777" w:rsidR="007B10EF" w:rsidRPr="0098660A" w:rsidRDefault="007B10EF" w:rsidP="001C790D">
            <w:pPr>
              <w:widowControl w:val="0"/>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Adult PNH patients who were Ci naïve</w:t>
            </w:r>
          </w:p>
        </w:tc>
        <w:tc>
          <w:tcPr>
            <w:tcW w:w="2424" w:type="pct"/>
            <w:shd w:val="clear" w:color="auto" w:fill="auto"/>
            <w:vAlign w:val="center"/>
          </w:tcPr>
          <w:p w14:paraId="7DAD1DAF" w14:textId="77777777" w:rsidR="007B10EF" w:rsidRPr="0098660A" w:rsidRDefault="007B10EF" w:rsidP="00301C75">
            <w:pPr>
              <w:widowControl w:val="0"/>
              <w:numPr>
                <w:ilvl w:val="0"/>
                <w:numId w:val="12"/>
              </w:numPr>
              <w:ind w:left="221" w:hanging="221"/>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 xml:space="preserve">Transfusion avoidance (TA) </w:t>
            </w:r>
          </w:p>
          <w:p w14:paraId="7558B237" w14:textId="77777777" w:rsidR="007B10EF" w:rsidRPr="0098660A" w:rsidRDefault="007B10EF" w:rsidP="00301C75">
            <w:pPr>
              <w:widowControl w:val="0"/>
              <w:numPr>
                <w:ilvl w:val="0"/>
                <w:numId w:val="12"/>
              </w:numPr>
              <w:ind w:left="221" w:hanging="221"/>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Haemolysis as measured by LDH normalisation from Day 29 through Day 183</w:t>
            </w:r>
          </w:p>
          <w:p w14:paraId="66B9DAB2" w14:textId="77777777" w:rsidR="007B10EF" w:rsidRPr="0098660A" w:rsidRDefault="007B10EF" w:rsidP="00301C75">
            <w:pPr>
              <w:widowControl w:val="0"/>
              <w:numPr>
                <w:ilvl w:val="0"/>
                <w:numId w:val="12"/>
              </w:numPr>
              <w:ind w:left="221" w:hanging="221"/>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Percentage of change of LDH from BL to Day 183</w:t>
            </w:r>
          </w:p>
          <w:p w14:paraId="0307BC1B" w14:textId="37695159" w:rsidR="007B10EF" w:rsidRPr="0098660A" w:rsidRDefault="007B10EF" w:rsidP="00301C75">
            <w:pPr>
              <w:widowControl w:val="0"/>
              <w:numPr>
                <w:ilvl w:val="0"/>
                <w:numId w:val="12"/>
              </w:numPr>
              <w:ind w:left="221" w:hanging="221"/>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 xml:space="preserve">Percentage of patients with breakthrough </w:t>
            </w:r>
            <w:proofErr w:type="spellStart"/>
            <w:r w:rsidRPr="0098660A">
              <w:rPr>
                <w:rFonts w:ascii="Arial Narrow" w:hAnsi="Arial Narrow" w:cs="Times New Roman"/>
                <w:kern w:val="2"/>
                <w:sz w:val="20"/>
                <w:szCs w:val="22"/>
                <w:lang w:eastAsia="en-US"/>
                <w14:ligatures w14:val="standardContextual"/>
              </w:rPr>
              <w:t>haemolysis</w:t>
            </w:r>
            <w:r w:rsidRPr="0098660A">
              <w:rPr>
                <w:rFonts w:ascii="Arial Narrow" w:hAnsi="Arial Narrow" w:cs="Times New Roman"/>
                <w:kern w:val="2"/>
                <w:sz w:val="20"/>
                <w:szCs w:val="22"/>
                <w:vertAlign w:val="superscript"/>
                <w:lang w:eastAsia="en-US"/>
                <w14:ligatures w14:val="standardContextual"/>
              </w:rPr>
              <w:t>c</w:t>
            </w:r>
            <w:proofErr w:type="spellEnd"/>
            <w:r w:rsidRPr="0098660A">
              <w:rPr>
                <w:rFonts w:ascii="Arial Narrow" w:hAnsi="Arial Narrow" w:cs="Times New Roman"/>
                <w:kern w:val="2"/>
                <w:sz w:val="20"/>
                <w:szCs w:val="22"/>
                <w:lang w:eastAsia="en-US"/>
                <w14:ligatures w14:val="standardContextual"/>
              </w:rPr>
              <w:t xml:space="preserve"> (≥ 1 new or worsening symptoms/signs of intravascular haemolysis, MAVEs in the presence of LDH ≥ 2 x ULN after prior reduction of LDH to &lt; 1.5 x ULN on treatment</w:t>
            </w:r>
          </w:p>
          <w:p w14:paraId="5AC7F853" w14:textId="77777777" w:rsidR="007B10EF" w:rsidRPr="0098660A" w:rsidRDefault="007B10EF" w:rsidP="00301C75">
            <w:pPr>
              <w:widowControl w:val="0"/>
              <w:numPr>
                <w:ilvl w:val="0"/>
                <w:numId w:val="12"/>
              </w:numPr>
              <w:ind w:left="221" w:hanging="221"/>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Percentage of patients with stabilised Hb (no ≥ 2 g/dL decrease in Hb level from BL in the absence of transfusion)</w:t>
            </w:r>
          </w:p>
          <w:p w14:paraId="448E81EA" w14:textId="77777777" w:rsidR="007B10EF" w:rsidRPr="0098660A" w:rsidRDefault="007B10EF" w:rsidP="00301C75">
            <w:pPr>
              <w:widowControl w:val="0"/>
              <w:numPr>
                <w:ilvl w:val="0"/>
                <w:numId w:val="12"/>
              </w:numPr>
              <w:ind w:left="221" w:hanging="221"/>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Number of units of PRBC transfused</w:t>
            </w:r>
          </w:p>
          <w:p w14:paraId="2A1ABEDB" w14:textId="77777777" w:rsidR="007B10EF" w:rsidRPr="0098660A" w:rsidRDefault="007B10EF" w:rsidP="00301C75">
            <w:pPr>
              <w:widowControl w:val="0"/>
              <w:numPr>
                <w:ilvl w:val="0"/>
                <w:numId w:val="12"/>
              </w:numPr>
              <w:ind w:left="221" w:hanging="221"/>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Change in QoL from BL to Day 183 (FACIT-Fatigue Scale)</w:t>
            </w:r>
          </w:p>
          <w:p w14:paraId="5F18B105" w14:textId="77777777" w:rsidR="007B10EF" w:rsidRPr="0098660A" w:rsidRDefault="007B10EF" w:rsidP="00301C75">
            <w:pPr>
              <w:widowControl w:val="0"/>
              <w:numPr>
                <w:ilvl w:val="0"/>
                <w:numId w:val="12"/>
              </w:numPr>
              <w:ind w:left="221" w:hanging="221"/>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Change in the EORTC-QLQ-C30 from BL</w:t>
            </w:r>
          </w:p>
          <w:p w14:paraId="514C085F" w14:textId="13062F18" w:rsidR="007B10EF" w:rsidRPr="0098660A" w:rsidRDefault="007B10EF" w:rsidP="00301C75">
            <w:pPr>
              <w:widowControl w:val="0"/>
              <w:numPr>
                <w:ilvl w:val="0"/>
                <w:numId w:val="12"/>
              </w:numPr>
              <w:ind w:left="221" w:hanging="221"/>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 xml:space="preserve">Percentage of patients experiencing </w:t>
            </w:r>
            <w:proofErr w:type="spellStart"/>
            <w:r w:rsidRPr="0098660A">
              <w:rPr>
                <w:rFonts w:ascii="Arial Narrow" w:hAnsi="Arial Narrow" w:cs="Times New Roman"/>
                <w:kern w:val="2"/>
                <w:sz w:val="20"/>
                <w:szCs w:val="22"/>
                <w:lang w:eastAsia="en-US"/>
                <w14:ligatures w14:val="standardContextual"/>
              </w:rPr>
              <w:t>MAVEs</w:t>
            </w:r>
            <w:r w:rsidRPr="0098660A">
              <w:rPr>
                <w:rFonts w:ascii="Arial Narrow" w:hAnsi="Arial Narrow" w:cs="Times New Roman"/>
                <w:kern w:val="2"/>
                <w:sz w:val="20"/>
                <w:szCs w:val="22"/>
                <w:vertAlign w:val="superscript"/>
                <w:lang w:eastAsia="en-US"/>
                <w14:ligatures w14:val="standardContextual"/>
              </w:rPr>
              <w:t>d</w:t>
            </w:r>
            <w:proofErr w:type="spellEnd"/>
          </w:p>
          <w:p w14:paraId="6CEA1281" w14:textId="77777777" w:rsidR="007B10EF" w:rsidRPr="0098660A" w:rsidRDefault="007B10EF" w:rsidP="00301C75">
            <w:pPr>
              <w:widowControl w:val="0"/>
              <w:numPr>
                <w:ilvl w:val="0"/>
                <w:numId w:val="12"/>
              </w:numPr>
              <w:ind w:left="221" w:hanging="221"/>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Change in free C5 concentrations</w:t>
            </w:r>
          </w:p>
          <w:p w14:paraId="6AD4D194" w14:textId="77777777" w:rsidR="007B10EF" w:rsidRPr="0098660A" w:rsidRDefault="007B10EF" w:rsidP="00301C75">
            <w:pPr>
              <w:widowControl w:val="0"/>
              <w:numPr>
                <w:ilvl w:val="0"/>
                <w:numId w:val="12"/>
              </w:numPr>
              <w:ind w:left="221" w:hanging="221"/>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Any TEAEs</w:t>
            </w:r>
          </w:p>
          <w:p w14:paraId="0178F835" w14:textId="604824C4" w:rsidR="007B10EF" w:rsidRPr="0098660A" w:rsidRDefault="007B10EF" w:rsidP="00301C75">
            <w:pPr>
              <w:widowControl w:val="0"/>
              <w:numPr>
                <w:ilvl w:val="0"/>
                <w:numId w:val="12"/>
              </w:numPr>
              <w:ind w:left="221" w:hanging="221"/>
              <w:jc w:val="left"/>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Serious AEs</w:t>
            </w:r>
          </w:p>
        </w:tc>
      </w:tr>
    </w:tbl>
    <w:p w14:paraId="48F999C1" w14:textId="77777777" w:rsidR="00812B51" w:rsidRPr="0098660A" w:rsidRDefault="00812B51" w:rsidP="00072CB0">
      <w:pPr>
        <w:keepLines/>
        <w:contextualSpacing/>
        <w:jc w:val="left"/>
        <w:rPr>
          <w:rFonts w:ascii="Arial Narrow" w:hAnsi="Arial Narrow"/>
          <w:snapToGrid w:val="0"/>
          <w:sz w:val="18"/>
          <w:szCs w:val="22"/>
        </w:rPr>
      </w:pPr>
      <w:r w:rsidRPr="0098660A">
        <w:rPr>
          <w:rFonts w:ascii="Arial Narrow" w:hAnsi="Arial Narrow"/>
          <w:snapToGrid w:val="0"/>
          <w:sz w:val="18"/>
          <w:szCs w:val="22"/>
        </w:rPr>
        <w:t>Source: Complied during the evaluation based on information provided in Section 2.2-2.3 of the submission.</w:t>
      </w:r>
    </w:p>
    <w:p w14:paraId="2A8C4C6B" w14:textId="55837DFE" w:rsidR="00812B51" w:rsidRPr="0098660A" w:rsidRDefault="00A50482" w:rsidP="00072CB0">
      <w:pPr>
        <w:ind w:hanging="11"/>
        <w:rPr>
          <w:rFonts w:eastAsia="Calibri" w:cs="Times New Roman"/>
          <w:szCs w:val="22"/>
          <w14:ligatures w14:val="standardContextual"/>
        </w:rPr>
      </w:pPr>
      <w:r w:rsidRPr="0098660A">
        <w:rPr>
          <w:rFonts w:ascii="Arial Narrow" w:eastAsia="Calibri" w:hAnsi="Arial Narrow" w:cs="Times New Roman"/>
          <w:sz w:val="18"/>
          <w:szCs w:val="18"/>
          <w14:ligatures w14:val="standardContextual"/>
        </w:rPr>
        <w:t xml:space="preserve">AE = adverse event; </w:t>
      </w:r>
      <w:r w:rsidR="00812B51" w:rsidRPr="0098660A">
        <w:rPr>
          <w:rFonts w:ascii="Arial Narrow" w:eastAsia="Calibri" w:hAnsi="Arial Narrow" w:cs="Times New Roman"/>
          <w:sz w:val="18"/>
          <w:szCs w:val="18"/>
          <w14:ligatures w14:val="standardContextual"/>
        </w:rPr>
        <w:t xml:space="preserve">BSC = best supportive care; BL = baseline; Ci = complement inhibitor; EORTC = European Organisation for the Research and Treatment of Cancer; </w:t>
      </w:r>
      <w:r w:rsidRPr="0098660A">
        <w:rPr>
          <w:rFonts w:ascii="Arial Narrow" w:hAnsi="Arial Narrow"/>
          <w:sz w:val="18"/>
          <w:szCs w:val="18"/>
        </w:rPr>
        <w:t xml:space="preserve">FACIT = Functional Assessment of Chronic Illness Therapy; </w:t>
      </w:r>
      <w:r w:rsidR="00812B51" w:rsidRPr="0098660A">
        <w:rPr>
          <w:rFonts w:ascii="Arial Narrow" w:eastAsia="Calibri" w:hAnsi="Arial Narrow" w:cs="Times New Roman"/>
          <w:sz w:val="18"/>
          <w:szCs w:val="18"/>
          <w14:ligatures w14:val="standardContextual"/>
        </w:rPr>
        <w:t>Hb = haemoglobin; LDH = lactate dehydrogenase; MAVE = major adverse vascular event; PEG = pegcetacoplan; PMN = polymorphonuclear leukocyte; PNH = paroxysmal nocturnal hemoglobinuria; PRBC = packed red blood cell; QoL = quality of life; SC = subcutaneous;</w:t>
      </w:r>
      <w:r w:rsidRPr="0098660A">
        <w:rPr>
          <w:rFonts w:ascii="Arial Narrow" w:eastAsia="Calibri" w:hAnsi="Arial Narrow" w:cs="Times New Roman"/>
          <w:sz w:val="18"/>
          <w:szCs w:val="18"/>
          <w14:ligatures w14:val="standardContextual"/>
        </w:rPr>
        <w:t xml:space="preserve"> TEAE = treatment emergent adverse event;</w:t>
      </w:r>
      <w:r w:rsidR="00812B51" w:rsidRPr="0098660A">
        <w:rPr>
          <w:rFonts w:ascii="Arial Narrow" w:eastAsia="Calibri" w:hAnsi="Arial Narrow" w:cs="Times New Roman"/>
          <w:sz w:val="18"/>
          <w:szCs w:val="18"/>
          <w14:ligatures w14:val="standardContextual"/>
        </w:rPr>
        <w:t xml:space="preserve"> ULN = upper limit of normal</w:t>
      </w:r>
    </w:p>
    <w:p w14:paraId="635C6D66" w14:textId="77777777" w:rsidR="00812B51" w:rsidRPr="0098660A" w:rsidRDefault="00812B51" w:rsidP="00072CB0">
      <w:pPr>
        <w:keepLines/>
        <w:contextualSpacing/>
        <w:jc w:val="left"/>
        <w:rPr>
          <w:rFonts w:ascii="Arial Narrow" w:hAnsi="Arial Narrow"/>
          <w:snapToGrid w:val="0"/>
          <w:sz w:val="18"/>
          <w:szCs w:val="22"/>
          <w:vertAlign w:val="superscript"/>
        </w:rPr>
      </w:pPr>
      <w:r w:rsidRPr="0098660A">
        <w:rPr>
          <w:rFonts w:ascii="Arial Narrow" w:hAnsi="Arial Narrow"/>
          <w:snapToGrid w:val="0"/>
          <w:sz w:val="18"/>
          <w:szCs w:val="22"/>
          <w:vertAlign w:val="superscript"/>
        </w:rPr>
        <w:t>a</w:t>
      </w:r>
      <w:r w:rsidRPr="0098660A">
        <w:rPr>
          <w:rFonts w:ascii="Arial Narrow" w:hAnsi="Arial Narrow"/>
          <w:snapToGrid w:val="0"/>
          <w:sz w:val="18"/>
          <w:szCs w:val="22"/>
        </w:rPr>
        <w:t xml:space="preserve"> Risk of bias was considered low for objective study endpoints. However, patient reported outcomes in the trial were subjected to bias due to the open-label design.</w:t>
      </w:r>
      <w:r w:rsidRPr="0098660A">
        <w:rPr>
          <w:rFonts w:ascii="Arial Narrow" w:hAnsi="Arial Narrow"/>
          <w:snapToGrid w:val="0"/>
          <w:sz w:val="18"/>
          <w:szCs w:val="22"/>
          <w:vertAlign w:val="superscript"/>
        </w:rPr>
        <w:t xml:space="preserve"> </w:t>
      </w:r>
    </w:p>
    <w:p w14:paraId="4DA6F157" w14:textId="430CD6D5" w:rsidR="003C589A" w:rsidRPr="0098660A" w:rsidRDefault="00812B51" w:rsidP="00072CB0">
      <w:pPr>
        <w:contextualSpacing/>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vertAlign w:val="superscript"/>
          <w:lang w:eastAsia="en-US"/>
          <w14:ligatures w14:val="standardContextual"/>
        </w:rPr>
        <w:t>b</w:t>
      </w:r>
      <w:r w:rsidRPr="0098660A">
        <w:rPr>
          <w:rFonts w:ascii="Arial Narrow" w:hAnsi="Arial Narrow" w:cs="Times New Roman"/>
          <w:kern w:val="2"/>
          <w:sz w:val="20"/>
          <w:szCs w:val="22"/>
          <w:lang w:eastAsia="en-US"/>
          <w14:ligatures w14:val="standardContextual"/>
        </w:rPr>
        <w:t xml:space="preserve"> </w:t>
      </w:r>
      <w:r w:rsidR="000D639D" w:rsidRPr="0098660A">
        <w:rPr>
          <w:rFonts w:ascii="Arial Narrow" w:hAnsi="Arial Narrow" w:cs="Times New Roman"/>
          <w:kern w:val="2"/>
          <w:sz w:val="18"/>
          <w:szCs w:val="18"/>
          <w:lang w:eastAsia="en-US"/>
          <w14:ligatures w14:val="standardContextual"/>
        </w:rPr>
        <w:t>Risk of bias of the indirect comparison was considered high due to the transitivity issues between the trials</w:t>
      </w:r>
    </w:p>
    <w:p w14:paraId="6BDDDBA9" w14:textId="78EB1E22" w:rsidR="00812B51" w:rsidRPr="0098660A" w:rsidRDefault="003C589A" w:rsidP="00072CB0">
      <w:pPr>
        <w:ind w:left="142" w:hanging="142"/>
        <w:contextualSpacing/>
        <w:rPr>
          <w:rFonts w:ascii="Arial Narrow" w:hAnsi="Arial Narrow" w:cs="Times New Roman"/>
          <w:kern w:val="2"/>
          <w:sz w:val="18"/>
          <w:szCs w:val="18"/>
          <w:lang w:eastAsia="en-US"/>
          <w14:ligatures w14:val="standardContextual"/>
        </w:rPr>
      </w:pPr>
      <w:r w:rsidRPr="0098660A">
        <w:rPr>
          <w:rFonts w:ascii="Arial Narrow" w:hAnsi="Arial Narrow" w:cs="Times New Roman"/>
          <w:kern w:val="2"/>
          <w:sz w:val="18"/>
          <w:szCs w:val="18"/>
          <w:vertAlign w:val="superscript"/>
          <w:lang w:eastAsia="en-US"/>
          <w14:ligatures w14:val="standardContextual"/>
        </w:rPr>
        <w:t xml:space="preserve">c </w:t>
      </w:r>
      <w:r w:rsidR="00812B51" w:rsidRPr="0098660A">
        <w:rPr>
          <w:rFonts w:ascii="Arial Narrow" w:hAnsi="Arial Narrow" w:cs="Times New Roman"/>
          <w:kern w:val="2"/>
          <w:sz w:val="18"/>
          <w:szCs w:val="18"/>
          <w:lang w:eastAsia="en-US"/>
          <w14:ligatures w14:val="standardContextual"/>
        </w:rPr>
        <w:t>Defined as</w:t>
      </w:r>
      <w:r w:rsidR="00812B51" w:rsidRPr="0098660A">
        <w:rPr>
          <w:rFonts w:ascii="Arial Narrow" w:hAnsi="Arial Narrow" w:cs="Times New Roman"/>
          <w:kern w:val="2"/>
          <w:sz w:val="20"/>
          <w:szCs w:val="22"/>
          <w:lang w:eastAsia="en-US"/>
          <w14:ligatures w14:val="standardContextual"/>
        </w:rPr>
        <w:t xml:space="preserve"> f</w:t>
      </w:r>
      <w:r w:rsidR="00812B51" w:rsidRPr="0098660A">
        <w:rPr>
          <w:rFonts w:ascii="Arial Narrow" w:hAnsi="Arial Narrow" w:cs="Times New Roman"/>
          <w:kern w:val="2"/>
          <w:sz w:val="18"/>
          <w:szCs w:val="18"/>
          <w:lang w:eastAsia="en-US"/>
          <w14:ligatures w14:val="standardContextual"/>
        </w:rPr>
        <w:t>atigue, haemoglobinuria, abdominal pain, shortness of breath (</w:t>
      </w:r>
      <w:r w:rsidR="00793AC1" w:rsidRPr="0098660A">
        <w:rPr>
          <w:rFonts w:ascii="Arial Narrow" w:hAnsi="Arial Narrow" w:cs="Times New Roman"/>
          <w:kern w:val="2"/>
          <w:sz w:val="18"/>
          <w:szCs w:val="18"/>
          <w:lang w:eastAsia="en-US"/>
          <w14:ligatures w14:val="standardContextual"/>
        </w:rPr>
        <w:t>dyspnoea</w:t>
      </w:r>
      <w:r w:rsidR="00812B51" w:rsidRPr="0098660A">
        <w:rPr>
          <w:rFonts w:ascii="Arial Narrow" w:hAnsi="Arial Narrow" w:cs="Times New Roman"/>
          <w:kern w:val="2"/>
          <w:sz w:val="18"/>
          <w:szCs w:val="18"/>
          <w:lang w:eastAsia="en-US"/>
          <w14:ligatures w14:val="standardContextual"/>
        </w:rPr>
        <w:t>), anaemia (Hb &lt; 10 g/dL), history of major adverse vascular event</w:t>
      </w:r>
      <w:r w:rsidR="00C60B72" w:rsidRPr="0098660A">
        <w:rPr>
          <w:rFonts w:ascii="Arial Narrow" w:hAnsi="Arial Narrow" w:cs="Times New Roman"/>
          <w:kern w:val="2"/>
          <w:sz w:val="18"/>
          <w:szCs w:val="18"/>
          <w:lang w:eastAsia="en-US"/>
          <w14:ligatures w14:val="standardContextual"/>
        </w:rPr>
        <w:t>s</w:t>
      </w:r>
      <w:r w:rsidR="00812B51" w:rsidRPr="0098660A">
        <w:rPr>
          <w:rFonts w:ascii="Arial Narrow" w:hAnsi="Arial Narrow" w:cs="Times New Roman"/>
          <w:kern w:val="2"/>
          <w:sz w:val="18"/>
          <w:szCs w:val="18"/>
          <w:lang w:eastAsia="en-US"/>
          <w14:ligatures w14:val="standardContextual"/>
        </w:rPr>
        <w:t xml:space="preserve"> (MAVEs) (including thrombosis), dysphagia, erectile dysfunction, or history of PRBC transfusions due to PNH</w:t>
      </w:r>
    </w:p>
    <w:p w14:paraId="3940DB08" w14:textId="57511D4B" w:rsidR="00812B51" w:rsidRPr="0098660A" w:rsidRDefault="003C589A" w:rsidP="00072CB0">
      <w:pPr>
        <w:contextualSpacing/>
        <w:rPr>
          <w:rFonts w:eastAsia="Calibri" w:cs="Times New Roman"/>
          <w:kern w:val="2"/>
          <w:sz w:val="22"/>
          <w:szCs w:val="22"/>
          <w:lang w:eastAsia="en-US"/>
          <w14:ligatures w14:val="standardContextual"/>
        </w:rPr>
      </w:pPr>
      <w:r w:rsidRPr="0098660A">
        <w:rPr>
          <w:rFonts w:ascii="Arial Narrow" w:hAnsi="Arial Narrow" w:cs="Times New Roman"/>
          <w:kern w:val="2"/>
          <w:sz w:val="20"/>
          <w:szCs w:val="22"/>
          <w:vertAlign w:val="superscript"/>
          <w:lang w:eastAsia="en-US"/>
          <w14:ligatures w14:val="standardContextual"/>
        </w:rPr>
        <w:t>d</w:t>
      </w:r>
      <w:r w:rsidR="00812B51" w:rsidRPr="0098660A">
        <w:rPr>
          <w:rFonts w:ascii="Arial Narrow" w:hAnsi="Arial Narrow" w:cs="Times New Roman"/>
          <w:kern w:val="2"/>
          <w:sz w:val="20"/>
          <w:szCs w:val="22"/>
          <w:lang w:eastAsia="en-US"/>
          <w14:ligatures w14:val="standardContextual"/>
        </w:rPr>
        <w:t xml:space="preserve"> </w:t>
      </w:r>
      <w:r w:rsidR="00812B51" w:rsidRPr="0098660A">
        <w:rPr>
          <w:rFonts w:ascii="Arial Narrow" w:hAnsi="Arial Narrow" w:cs="Times New Roman"/>
          <w:kern w:val="2"/>
          <w:sz w:val="18"/>
          <w:szCs w:val="18"/>
          <w:lang w:eastAsia="en-US"/>
          <w14:ligatures w14:val="standardContextual"/>
        </w:rPr>
        <w:t>Including thrombosis</w:t>
      </w:r>
    </w:p>
    <w:p w14:paraId="12659239" w14:textId="3E9D4145" w:rsidR="0003271B" w:rsidRPr="0098660A" w:rsidRDefault="0003271B" w:rsidP="0003271B">
      <w:pPr>
        <w:pStyle w:val="3-BodyText"/>
      </w:pPr>
      <w:bookmarkStart w:id="30" w:name="_Ref191374190"/>
      <w:r w:rsidRPr="0098660A">
        <w:t>PRINCE was a Phase 3, multicentre, open</w:t>
      </w:r>
      <w:r w:rsidR="00962124" w:rsidRPr="0098660A">
        <w:t xml:space="preserve"> </w:t>
      </w:r>
      <w:r w:rsidRPr="0098660A">
        <w:t>label, randomised controlled trial comparing pegcetacoplan (1,080 mg SC twice weekly) vs BSC</w:t>
      </w:r>
      <w:r w:rsidR="009C2F03" w:rsidRPr="0098660A">
        <w:t>,</w:t>
      </w:r>
      <w:r w:rsidRPr="0098660A">
        <w:t xml:space="preserve"> </w:t>
      </w:r>
      <w:r w:rsidR="009C2F03" w:rsidRPr="0098660A">
        <w:t xml:space="preserve">which </w:t>
      </w:r>
      <w:r w:rsidR="0002101C" w:rsidRPr="0098660A">
        <w:t>includ</w:t>
      </w:r>
      <w:r w:rsidR="009C2F03" w:rsidRPr="0098660A">
        <w:t>ed</w:t>
      </w:r>
      <w:r w:rsidR="0002101C" w:rsidRPr="0098660A">
        <w:t xml:space="preserve"> blood transfusions, corticosteroids, and supplements</w:t>
      </w:r>
      <w:r w:rsidR="009C2F03" w:rsidRPr="0098660A">
        <w:t>,</w:t>
      </w:r>
      <w:r w:rsidR="0002101C" w:rsidRPr="0098660A">
        <w:t xml:space="preserve"> </w:t>
      </w:r>
      <w:r w:rsidRPr="0098660A">
        <w:t xml:space="preserve">in treatment naïve adult patients diagnosed with PNH. </w:t>
      </w:r>
      <w:r w:rsidR="0050726A" w:rsidRPr="0098660A">
        <w:t>Fifty-three</w:t>
      </w:r>
      <w:r w:rsidRPr="0098660A">
        <w:t xml:space="preserve"> patients (N = 53) were enrolled in PRINCE</w:t>
      </w:r>
      <w:r w:rsidR="006A56D9" w:rsidRPr="0098660A">
        <w:t>;</w:t>
      </w:r>
      <w:r w:rsidRPr="0098660A">
        <w:t xml:space="preserve"> </w:t>
      </w:r>
      <w:r w:rsidR="006A56D9" w:rsidRPr="0098660A">
        <w:t>t</w:t>
      </w:r>
      <w:r w:rsidRPr="0098660A">
        <w:t>hirty-five patients were randomised to the pegcetacoplan arm (n = 35) and 18 to the BSC arm</w:t>
      </w:r>
      <w:r w:rsidR="006A56D9" w:rsidRPr="0098660A">
        <w:t xml:space="preserve"> (n = 18)</w:t>
      </w:r>
      <w:r w:rsidRPr="0098660A">
        <w:t xml:space="preserve">. Patients randomised to the BSC arm were allowed to switch to pegcetacoplan if their haemoglobin levels decreased ≥ 2g/dL below their baseline measurement or if they had a qualifying thromboembolic event secondary to PNH. </w:t>
      </w:r>
      <w:r w:rsidR="0050726A" w:rsidRPr="0098660A">
        <w:t xml:space="preserve">Pegcetacoplan dosage could be increased to 1,080 mg once every 3 days if LDH concentration was &gt; 2 times the </w:t>
      </w:r>
      <w:r w:rsidR="00072CB0" w:rsidRPr="0098660A">
        <w:t>upper limit of normal (</w:t>
      </w:r>
      <w:r w:rsidR="0050726A" w:rsidRPr="0098660A">
        <w:t>ULN</w:t>
      </w:r>
      <w:r w:rsidR="00072CB0" w:rsidRPr="0098660A">
        <w:t>)</w:t>
      </w:r>
      <w:r w:rsidR="0050726A" w:rsidRPr="0098660A">
        <w:t xml:space="preserve"> on one occasion following ≥ 4 weeks of treatment. The randomised controlled period (RCP) of treatment in PRINCE was 26 weeks. </w:t>
      </w:r>
      <w:r w:rsidRPr="0098660A">
        <w:t xml:space="preserve">All patients who completed the 26-week allocated treatment rolled over into a separate open-label extension (OLE) study or completed the </w:t>
      </w:r>
      <w:r w:rsidR="00457C4E" w:rsidRPr="0098660A">
        <w:t>8-week</w:t>
      </w:r>
      <w:r w:rsidRPr="0098660A">
        <w:t xml:space="preserve"> safety follow-up. There was a post-RCP period between the RCP and the initiation of the OLE study. During the post-RCP period, patients received the treatment they had been receiving during the RCP. Risk of bias was considered low for the objective study endpoints in PRINCE. </w:t>
      </w:r>
      <w:r w:rsidRPr="0098660A">
        <w:lastRenderedPageBreak/>
        <w:t>However, endpoints involving clinical symptoms such as fatigue, as well as patient reported outcomes in the trial have the potential for bias due to the open-label study design. PRINCE was conducted in countries in Asia and South America and no Caucasians were included in the trial</w:t>
      </w:r>
      <w:r w:rsidR="00983B43" w:rsidRPr="0098660A">
        <w:t xml:space="preserve">. </w:t>
      </w:r>
      <w:bookmarkEnd w:id="30"/>
    </w:p>
    <w:p w14:paraId="4C2A3669" w14:textId="3EEB2709" w:rsidR="000613DB" w:rsidRPr="0098660A" w:rsidRDefault="000613DB" w:rsidP="000613DB">
      <w:pPr>
        <w:pStyle w:val="3-BodyText"/>
      </w:pPr>
      <w:r w:rsidRPr="0098660A">
        <w:t xml:space="preserve">ALXN1210-301 was a Phase 3, multicentre, open-label, active-controlled trial comparing ravulizumab vs eculizumab in treatment naïve adult patients diagnosed with PNH. </w:t>
      </w:r>
      <w:r w:rsidR="005E34DD" w:rsidRPr="0098660A">
        <w:t xml:space="preserve">There were 125 patients randomised to the </w:t>
      </w:r>
      <w:r w:rsidRPr="0098660A">
        <w:t>ravulizumab arm and 121 to the eculizumab arm. In ALXN1210-301, patients received 26 weeks of randomised treatment, then ravulizumab extension treatment for up to 2 years. Risk of bias was considered low for the objective study endpoints in ALXN1210-301. However, there is potential for the patient reported outcomes to be biased because of the open-label study design.</w:t>
      </w:r>
    </w:p>
    <w:p w14:paraId="35AE2CFC" w14:textId="77777777" w:rsidR="000613DB" w:rsidRPr="0098660A" w:rsidRDefault="000613DB" w:rsidP="000613DB">
      <w:pPr>
        <w:pStyle w:val="3-BodyText"/>
      </w:pPr>
      <w:bookmarkStart w:id="31" w:name="_Ref191394125"/>
      <w:r w:rsidRPr="0098660A">
        <w:t>Key differences identified across the PRINCE and ALXN1210-301 trials include:</w:t>
      </w:r>
      <w:bookmarkEnd w:id="31"/>
    </w:p>
    <w:p w14:paraId="32C01FA0" w14:textId="64DFB164" w:rsidR="006F5B00" w:rsidRPr="0098660A" w:rsidRDefault="000613DB" w:rsidP="00301C75">
      <w:pPr>
        <w:pStyle w:val="3-BodyText"/>
        <w:numPr>
          <w:ilvl w:val="0"/>
          <w:numId w:val="13"/>
        </w:numPr>
        <w:ind w:left="1134"/>
      </w:pPr>
      <w:r w:rsidRPr="0098660A">
        <w:t>Inclusion criteria</w:t>
      </w:r>
      <w:r w:rsidR="00072CB0" w:rsidRPr="0098660A">
        <w:t xml:space="preserve">: </w:t>
      </w:r>
      <w:r w:rsidR="006F5B00" w:rsidRPr="0098660A">
        <w:t>Patients had to present at least one PNH related symptom</w:t>
      </w:r>
      <w:r w:rsidR="00780276" w:rsidRPr="0098660A">
        <w:t xml:space="preserve"> or </w:t>
      </w:r>
      <w:r w:rsidR="006F5B00" w:rsidRPr="0098660A">
        <w:t>sign within the 3 months before trial screening to be eligible for inclusion into ALXN1210-301. However, this was not required for patients to be included into PRINCE. As a result, ALXN1210-301</w:t>
      </w:r>
      <w:r w:rsidR="00793AC1" w:rsidRPr="0098660A">
        <w:t xml:space="preserve"> </w:t>
      </w:r>
      <w:r w:rsidR="006F5B00" w:rsidRPr="0098660A">
        <w:t>may have included patients with a higher disease severity compared to PRINCE.</w:t>
      </w:r>
      <w:r w:rsidR="00E36B75" w:rsidRPr="0098660A">
        <w:t xml:space="preserve"> This was reflected by a higher number of PRBC transfusion received within the 12 months before study entry in ALXN1210-301 compared to PRINCE (see the third dot point below). </w:t>
      </w:r>
      <w:r w:rsidR="00084201" w:rsidRPr="0098660A">
        <w:t>W</w:t>
      </w:r>
      <w:r w:rsidR="006F5B00" w:rsidRPr="0098660A">
        <w:t xml:space="preserve">hile ALXN1210-301 only included PNH patients who were truly complement inhibitor naïve, PRINCE </w:t>
      </w:r>
      <w:r w:rsidR="00D2475E" w:rsidRPr="0098660A">
        <w:t>may have included</w:t>
      </w:r>
      <w:r w:rsidR="00793AC1" w:rsidRPr="0098660A">
        <w:t xml:space="preserve"> </w:t>
      </w:r>
      <w:r w:rsidR="00207DCF" w:rsidRPr="0098660A">
        <w:t xml:space="preserve">patients who had had previous </w:t>
      </w:r>
      <w:r w:rsidR="00780276" w:rsidRPr="0098660A">
        <w:t xml:space="preserve">exposure to </w:t>
      </w:r>
      <w:r w:rsidR="00213C32" w:rsidRPr="0098660A">
        <w:t xml:space="preserve">a </w:t>
      </w:r>
      <w:r w:rsidR="00207DCF" w:rsidRPr="0098660A">
        <w:t>complement inhibitor.</w:t>
      </w:r>
    </w:p>
    <w:p w14:paraId="19E2850E" w14:textId="4E3221FE" w:rsidR="000613DB" w:rsidRPr="0098660A" w:rsidRDefault="000613DB" w:rsidP="00301C75">
      <w:pPr>
        <w:pStyle w:val="3-BodyText"/>
        <w:numPr>
          <w:ilvl w:val="0"/>
          <w:numId w:val="13"/>
        </w:numPr>
        <w:ind w:left="1134"/>
      </w:pPr>
      <w:r w:rsidRPr="0098660A">
        <w:t>Definition of endpoint</w:t>
      </w:r>
      <w:r w:rsidR="00072CB0" w:rsidRPr="0098660A">
        <w:t xml:space="preserve">: </w:t>
      </w:r>
      <w:r w:rsidR="00207DCF" w:rsidRPr="0098660A">
        <w:t xml:space="preserve">In PRINCE, haemoglobin stabilisation was defined as the avoidance of a &gt; 1g/dL decrease in haemoglobin levels from baseline to end of RCP, while in ALXN1210-301, it was defined as the avoidance of </w:t>
      </w:r>
      <w:r w:rsidR="00207DCF" w:rsidRPr="0098660A">
        <w:rPr>
          <w:rFonts w:cstheme="minorHAnsi"/>
        </w:rPr>
        <w:t>≥</w:t>
      </w:r>
      <w:r w:rsidR="00207DCF" w:rsidRPr="0098660A">
        <w:t xml:space="preserve"> 2</w:t>
      </w:r>
      <w:r w:rsidR="00D948BD" w:rsidRPr="0098660A">
        <w:t> </w:t>
      </w:r>
      <w:r w:rsidR="00207DCF" w:rsidRPr="0098660A">
        <w:t xml:space="preserve">g/dL decrease in haemoglobin levels from baseline to end of RCP. </w:t>
      </w:r>
    </w:p>
    <w:p w14:paraId="2489D845" w14:textId="6C81E690" w:rsidR="00780276" w:rsidRPr="0098660A" w:rsidRDefault="000613DB" w:rsidP="00301C75">
      <w:pPr>
        <w:pStyle w:val="3-BodyText"/>
        <w:numPr>
          <w:ilvl w:val="0"/>
          <w:numId w:val="13"/>
        </w:numPr>
        <w:ind w:left="1134"/>
      </w:pPr>
      <w:r w:rsidRPr="0098660A">
        <w:t>Baseline patient characteristics</w:t>
      </w:r>
      <w:r w:rsidR="00072CB0" w:rsidRPr="0098660A">
        <w:t xml:space="preserve">: </w:t>
      </w:r>
      <w:r w:rsidR="00207DCF" w:rsidRPr="0098660A">
        <w:t xml:space="preserve">Before adjusting, the </w:t>
      </w:r>
      <w:r w:rsidR="008E4D8D" w:rsidRPr="0098660A">
        <w:t>PRINCE</w:t>
      </w:r>
      <w:r w:rsidR="00207DCF" w:rsidRPr="0098660A">
        <w:t xml:space="preserve"> </w:t>
      </w:r>
      <w:r w:rsidR="004B4492" w:rsidRPr="0098660A">
        <w:t xml:space="preserve">population </w:t>
      </w:r>
      <w:r w:rsidR="00207DCF" w:rsidRPr="0098660A">
        <w:t>had a h</w:t>
      </w:r>
      <w:r w:rsidRPr="0098660A">
        <w:t xml:space="preserve">igher </w:t>
      </w:r>
      <w:r w:rsidR="0088715D" w:rsidRPr="0098660A">
        <w:t xml:space="preserve">percentage of </w:t>
      </w:r>
      <w:r w:rsidR="0049692F" w:rsidRPr="0098660A">
        <w:t xml:space="preserve">Asian, </w:t>
      </w:r>
      <w:r w:rsidRPr="0098660A">
        <w:t>mean LDH level</w:t>
      </w:r>
      <w:r w:rsidR="0049692F" w:rsidRPr="0098660A">
        <w:t>, and European</w:t>
      </w:r>
      <w:r w:rsidR="00780276" w:rsidRPr="0098660A">
        <w:t xml:space="preserve"> </w:t>
      </w:r>
      <w:r w:rsidR="0049692F" w:rsidRPr="0098660A">
        <w:t xml:space="preserve">Organisation for the Research and Treatment of Cancer (EORTC) </w:t>
      </w:r>
      <w:r w:rsidR="00780276" w:rsidRPr="0098660A">
        <w:rPr>
          <w:rFonts w:cs="Calibri"/>
        </w:rPr>
        <w:t>—</w:t>
      </w:r>
      <w:r w:rsidR="00780276" w:rsidRPr="0098660A">
        <w:t xml:space="preserve"> </w:t>
      </w:r>
      <w:r w:rsidR="0049692F" w:rsidRPr="0098660A">
        <w:t xml:space="preserve">General Health status score at baseline compared to the </w:t>
      </w:r>
      <w:r w:rsidR="008E4D8D" w:rsidRPr="0098660A">
        <w:t>ALXN1210-301</w:t>
      </w:r>
      <w:r w:rsidR="004B4492" w:rsidRPr="0098660A">
        <w:t xml:space="preserve"> population</w:t>
      </w:r>
      <w:r w:rsidR="0049692F" w:rsidRPr="0098660A">
        <w:t xml:space="preserve">. No </w:t>
      </w:r>
      <w:r w:rsidR="0088715D" w:rsidRPr="0098660A">
        <w:t>Caucasians</w:t>
      </w:r>
      <w:r w:rsidR="0049692F" w:rsidRPr="0098660A">
        <w:t xml:space="preserve"> were enrolled in PRINCE</w:t>
      </w:r>
      <w:r w:rsidR="00780276" w:rsidRPr="0098660A">
        <w:t>. On the other hand,</w:t>
      </w:r>
      <w:r w:rsidR="0049692F" w:rsidRPr="0098660A">
        <w:t xml:space="preserve"> </w:t>
      </w:r>
      <w:r w:rsidR="004B4492" w:rsidRPr="0098660A">
        <w:t>ALXN1210-301 population</w:t>
      </w:r>
      <w:r w:rsidR="00780276" w:rsidRPr="0098660A">
        <w:t xml:space="preserve"> had </w:t>
      </w:r>
      <w:bookmarkStart w:id="32" w:name="_Hlk190947299"/>
      <w:r w:rsidR="00780276" w:rsidRPr="0098660A">
        <w:t xml:space="preserve">a higher number of PRBC transfusion received within the 12 months before study entry </w:t>
      </w:r>
      <w:bookmarkEnd w:id="32"/>
      <w:r w:rsidR="00780276" w:rsidRPr="0098660A">
        <w:t xml:space="preserve">compared to </w:t>
      </w:r>
      <w:r w:rsidR="008E4D8D" w:rsidRPr="0098660A">
        <w:t xml:space="preserve">the </w:t>
      </w:r>
      <w:r w:rsidR="004B4492" w:rsidRPr="0098660A">
        <w:t>PRINCE population</w:t>
      </w:r>
      <w:r w:rsidR="00780276" w:rsidRPr="0098660A">
        <w:t xml:space="preserve">, and </w:t>
      </w:r>
      <w:r w:rsidR="004B4492" w:rsidRPr="0098660A">
        <w:t>more than</w:t>
      </w:r>
      <w:r w:rsidR="00780276" w:rsidRPr="0098660A">
        <w:t xml:space="preserve"> one third of </w:t>
      </w:r>
      <w:r w:rsidR="008E4D8D" w:rsidRPr="0098660A">
        <w:t xml:space="preserve">the patients </w:t>
      </w:r>
      <w:r w:rsidR="004B4492" w:rsidRPr="0098660A">
        <w:t>enrolled in ALXN1210-301</w:t>
      </w:r>
      <w:r w:rsidR="00780276" w:rsidRPr="0098660A">
        <w:t xml:space="preserve"> were </w:t>
      </w:r>
      <w:r w:rsidR="008C1531" w:rsidRPr="0098660A">
        <w:t>Caucasian</w:t>
      </w:r>
      <w:r w:rsidR="00780276" w:rsidRPr="0098660A">
        <w:t xml:space="preserve"> (</w:t>
      </w:r>
      <w:r w:rsidR="004B4492" w:rsidRPr="0098660A">
        <w:t>38.2</w:t>
      </w:r>
      <w:r w:rsidR="00780276" w:rsidRPr="0098660A">
        <w:t>%).</w:t>
      </w:r>
      <w:r w:rsidR="002C55F3" w:rsidRPr="0098660A">
        <w:t xml:space="preserve"> </w:t>
      </w:r>
      <w:r w:rsidR="002C55F3" w:rsidRPr="0098660A">
        <w:rPr>
          <w:iCs/>
        </w:rPr>
        <w:t>The ESC advised there was no clear difference in PNH phenotype across different ethnic groups.</w:t>
      </w:r>
    </w:p>
    <w:p w14:paraId="3F01B27B" w14:textId="554B922C" w:rsidR="000613DB" w:rsidRPr="0098660A" w:rsidRDefault="00780276" w:rsidP="00D65659">
      <w:pPr>
        <w:pStyle w:val="3-BodyText"/>
      </w:pPr>
      <w:r w:rsidRPr="0098660A">
        <w:t xml:space="preserve">After adjusting, the </w:t>
      </w:r>
      <w:r w:rsidR="008E4D8D" w:rsidRPr="0098660A">
        <w:t xml:space="preserve">two </w:t>
      </w:r>
      <w:r w:rsidR="004B4492" w:rsidRPr="0098660A">
        <w:t>tr</w:t>
      </w:r>
      <w:r w:rsidR="00072CB0" w:rsidRPr="0098660A">
        <w:t>ia</w:t>
      </w:r>
      <w:r w:rsidR="004B4492" w:rsidRPr="0098660A">
        <w:t>l populations</w:t>
      </w:r>
      <w:r w:rsidRPr="0098660A">
        <w:t xml:space="preserve"> were still imbalanced </w:t>
      </w:r>
      <w:r w:rsidR="008E4D8D" w:rsidRPr="0098660A">
        <w:t>in terms of</w:t>
      </w:r>
      <w:r w:rsidRPr="0098660A">
        <w:t xml:space="preserve"> baseline LDH level, number of PRBC transfusion received in the previous 12 months, as well as race distribution</w:t>
      </w:r>
      <w:r w:rsidR="00EA157C" w:rsidRPr="0098660A">
        <w:t>.</w:t>
      </w:r>
    </w:p>
    <w:p w14:paraId="33CE56EF" w14:textId="521E4E4D" w:rsidR="00544382" w:rsidRPr="0098660A" w:rsidRDefault="00EA12AF" w:rsidP="00544382">
      <w:pPr>
        <w:pStyle w:val="3-BodyText"/>
      </w:pPr>
      <w:r w:rsidRPr="0098660A">
        <w:lastRenderedPageBreak/>
        <w:t>Prognostic factors of PNH such as age and race were</w:t>
      </w:r>
      <w:r w:rsidR="005C03F3" w:rsidRPr="0098660A">
        <w:t xml:space="preserve"> considered and compared between the two trial populations</w:t>
      </w:r>
      <w:r w:rsidR="0092216F" w:rsidRPr="0098660A">
        <w:t xml:space="preserve"> in the indirect comparison</w:t>
      </w:r>
      <w:r w:rsidR="005C03F3" w:rsidRPr="0098660A">
        <w:t>. However, o</w:t>
      </w:r>
      <w:r w:rsidR="00544382" w:rsidRPr="0098660A">
        <w:t>ther prognostic factors</w:t>
      </w:r>
      <w:r w:rsidR="005C03F3" w:rsidRPr="0098660A">
        <w:t>, including PNH clone size, and the percentages of patients with the history of thrombosis and with bone marrow failure at baseline in each trial</w:t>
      </w:r>
      <w:r w:rsidR="009C2F03" w:rsidRPr="0098660A">
        <w:t>,</w:t>
      </w:r>
      <w:r w:rsidR="005C03F3" w:rsidRPr="0098660A">
        <w:t xml:space="preserve"> were not</w:t>
      </w:r>
      <w:r w:rsidR="00544382" w:rsidRPr="0098660A">
        <w:t xml:space="preserve"> considered and compared. These factors </w:t>
      </w:r>
      <w:r w:rsidR="00FB2075" w:rsidRPr="0098660A">
        <w:t>raise</w:t>
      </w:r>
      <w:r w:rsidR="00544382" w:rsidRPr="0098660A">
        <w:t xml:space="preserve"> potential transitivity issues in the indirect comparison.</w:t>
      </w:r>
    </w:p>
    <w:p w14:paraId="25AEBE35" w14:textId="054E80FE" w:rsidR="000613DB" w:rsidRPr="0098660A" w:rsidRDefault="000261E9" w:rsidP="004B6CB4">
      <w:pPr>
        <w:pStyle w:val="3-BodyText"/>
      </w:pPr>
      <w:bookmarkStart w:id="33" w:name="_Ref191394127"/>
      <w:r w:rsidRPr="0098660A">
        <w:t>Overall, the heterogeneities in trial inclusion criteria, definitions of efficacy endpoint, and patient baseline characteristics raised concern about the transitivity of the two studies included in the indirect comparison. Caution should be taken when interpreting the results of the indirect comparison in this context.</w:t>
      </w:r>
      <w:bookmarkEnd w:id="33"/>
    </w:p>
    <w:p w14:paraId="4A4FE085" w14:textId="1C5613CC" w:rsidR="00B60939" w:rsidRPr="0098660A" w:rsidRDefault="00B60939" w:rsidP="00EC5836">
      <w:pPr>
        <w:pStyle w:val="4-SubsectionHeading"/>
      </w:pPr>
      <w:bookmarkStart w:id="34" w:name="_Toc22897641"/>
      <w:bookmarkStart w:id="35" w:name="_Toc193368019"/>
      <w:r w:rsidRPr="0098660A">
        <w:t>Comparative effectiveness</w:t>
      </w:r>
      <w:bookmarkEnd w:id="34"/>
      <w:bookmarkEnd w:id="35"/>
    </w:p>
    <w:p w14:paraId="28593FB8" w14:textId="65BA32D1" w:rsidR="002C2775" w:rsidRPr="0098660A" w:rsidRDefault="004B6CB4" w:rsidP="004B6CB4">
      <w:pPr>
        <w:pStyle w:val="3-BodyText"/>
        <w:rPr>
          <w:color w:val="0066FF"/>
        </w:rPr>
      </w:pPr>
      <w:r w:rsidRPr="0098660A">
        <w:t xml:space="preserve">A summary of the efficacy results of PRINCE is provided in </w:t>
      </w:r>
      <w:r w:rsidRPr="0098660A">
        <w:fldChar w:fldCharType="begin"/>
      </w:r>
      <w:r w:rsidRPr="0098660A">
        <w:instrText xml:space="preserve"> REF _Ref189935027 \h </w:instrText>
      </w:r>
      <w:r w:rsidRPr="0098660A">
        <w:fldChar w:fldCharType="separate"/>
      </w:r>
      <w:r w:rsidR="00134128" w:rsidRPr="0098660A">
        <w:t xml:space="preserve">Table </w:t>
      </w:r>
      <w:r w:rsidR="00134128">
        <w:rPr>
          <w:noProof/>
        </w:rPr>
        <w:t>4</w:t>
      </w:r>
      <w:r w:rsidRPr="0098660A">
        <w:fldChar w:fldCharType="end"/>
      </w:r>
      <w:r w:rsidRPr="0098660A">
        <w:t>.</w:t>
      </w:r>
    </w:p>
    <w:p w14:paraId="44362BE8" w14:textId="3B18709E" w:rsidR="004B6CB4" w:rsidRPr="0098660A" w:rsidRDefault="004B6CB4" w:rsidP="004B6CB4">
      <w:pPr>
        <w:pStyle w:val="Caption"/>
      </w:pPr>
      <w:bookmarkStart w:id="36" w:name="_Ref189935027"/>
      <w:r w:rsidRPr="0098660A">
        <w:t xml:space="preserve">Table </w:t>
      </w:r>
      <w:r w:rsidR="00ED489E" w:rsidRPr="0098660A">
        <w:fldChar w:fldCharType="begin"/>
      </w:r>
      <w:r w:rsidR="00ED489E" w:rsidRPr="0098660A">
        <w:instrText xml:space="preserve"> SEQ Table \* ARABIC </w:instrText>
      </w:r>
      <w:r w:rsidR="00ED489E" w:rsidRPr="0098660A">
        <w:fldChar w:fldCharType="separate"/>
      </w:r>
      <w:r w:rsidR="00134128">
        <w:rPr>
          <w:noProof/>
        </w:rPr>
        <w:t>4</w:t>
      </w:r>
      <w:r w:rsidR="00ED489E" w:rsidRPr="0098660A">
        <w:fldChar w:fldCharType="end"/>
      </w:r>
      <w:bookmarkEnd w:id="36"/>
      <w:r w:rsidRPr="0098660A">
        <w:t>: Summary of the coprimary and secondary efficacy endpoints of the PRINCE trial</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932"/>
        <w:gridCol w:w="2683"/>
      </w:tblGrid>
      <w:tr w:rsidR="00461C55" w:rsidRPr="0098660A" w14:paraId="5055B478" w14:textId="77777777" w:rsidTr="0088665C">
        <w:trPr>
          <w:tblHeader/>
        </w:trPr>
        <w:tc>
          <w:tcPr>
            <w:tcW w:w="1886" w:type="pct"/>
            <w:vAlign w:val="center"/>
          </w:tcPr>
          <w:p w14:paraId="3C5FE388" w14:textId="77777777" w:rsidR="004B6CB4" w:rsidRPr="0098660A" w:rsidRDefault="004B6CB4" w:rsidP="004B6CB4">
            <w:pPr>
              <w:keepNext/>
              <w:keepLines/>
              <w:jc w:val="left"/>
              <w:rPr>
                <w:rFonts w:ascii="Arial Narrow" w:eastAsia="MS Gothic" w:hAnsi="Arial Narrow" w:cs="Times New Roman"/>
                <w:b/>
                <w:iCs/>
                <w:sz w:val="20"/>
              </w:rPr>
            </w:pPr>
          </w:p>
        </w:tc>
        <w:tc>
          <w:tcPr>
            <w:tcW w:w="1626" w:type="pct"/>
            <w:vAlign w:val="center"/>
          </w:tcPr>
          <w:p w14:paraId="45A8A1D6" w14:textId="77777777" w:rsidR="004B6CB4" w:rsidRPr="0098660A" w:rsidRDefault="004B6CB4" w:rsidP="004B6CB4">
            <w:pPr>
              <w:keepNext/>
              <w:keepLines/>
              <w:jc w:val="center"/>
              <w:rPr>
                <w:rFonts w:ascii="Arial Narrow" w:eastAsia="MS Gothic" w:hAnsi="Arial Narrow" w:cs="Times New Roman"/>
                <w:b/>
                <w:iCs/>
                <w:sz w:val="20"/>
              </w:rPr>
            </w:pPr>
            <w:r w:rsidRPr="0098660A">
              <w:rPr>
                <w:rFonts w:ascii="Arial Narrow" w:eastAsia="MS Gothic" w:hAnsi="Arial Narrow" w:cs="Times New Roman"/>
                <w:b/>
                <w:iCs/>
                <w:sz w:val="20"/>
              </w:rPr>
              <w:t xml:space="preserve">Pegcetacoplan 1,080 mg SC </w:t>
            </w:r>
          </w:p>
          <w:p w14:paraId="715568E1" w14:textId="77777777" w:rsidR="004B6CB4" w:rsidRPr="0098660A" w:rsidRDefault="004B6CB4" w:rsidP="004B6CB4">
            <w:pPr>
              <w:keepNext/>
              <w:keepLines/>
              <w:jc w:val="center"/>
              <w:rPr>
                <w:rFonts w:ascii="Arial Narrow" w:eastAsia="MS Gothic" w:hAnsi="Arial Narrow" w:cs="Times New Roman"/>
                <w:b/>
                <w:iCs/>
                <w:sz w:val="20"/>
              </w:rPr>
            </w:pPr>
            <w:r w:rsidRPr="0098660A">
              <w:rPr>
                <w:rFonts w:ascii="Arial Narrow" w:eastAsia="MS Gothic" w:hAnsi="Arial Narrow" w:cs="Times New Roman"/>
                <w:b/>
                <w:iCs/>
                <w:sz w:val="20"/>
              </w:rPr>
              <w:t>twice weekly</w:t>
            </w:r>
          </w:p>
          <w:p w14:paraId="74A56D48" w14:textId="77777777" w:rsidR="004B6CB4" w:rsidRPr="0098660A" w:rsidRDefault="004B6CB4" w:rsidP="004B6CB4">
            <w:pPr>
              <w:keepNext/>
              <w:keepLines/>
              <w:jc w:val="center"/>
              <w:rPr>
                <w:rFonts w:ascii="Arial Narrow" w:eastAsia="MS Gothic" w:hAnsi="Arial Narrow" w:cs="Times New Roman"/>
                <w:b/>
                <w:iCs/>
                <w:sz w:val="20"/>
              </w:rPr>
            </w:pPr>
            <w:r w:rsidRPr="0098660A">
              <w:rPr>
                <w:rFonts w:ascii="Arial Narrow" w:eastAsia="MS Gothic" w:hAnsi="Arial Narrow" w:cs="Times New Roman"/>
                <w:b/>
                <w:iCs/>
                <w:sz w:val="20"/>
              </w:rPr>
              <w:t>(n = 35)</w:t>
            </w:r>
          </w:p>
        </w:tc>
        <w:tc>
          <w:tcPr>
            <w:tcW w:w="1488" w:type="pct"/>
            <w:vAlign w:val="center"/>
          </w:tcPr>
          <w:p w14:paraId="095E5294" w14:textId="736865FE" w:rsidR="004B6CB4" w:rsidRPr="0098660A" w:rsidRDefault="004B6CB4" w:rsidP="004B6CB4">
            <w:pPr>
              <w:keepNext/>
              <w:keepLines/>
              <w:jc w:val="center"/>
              <w:rPr>
                <w:rFonts w:ascii="Arial Narrow" w:eastAsia="MS Gothic" w:hAnsi="Arial Narrow" w:cs="Times New Roman"/>
                <w:b/>
                <w:iCs/>
                <w:sz w:val="20"/>
              </w:rPr>
            </w:pPr>
            <w:r w:rsidRPr="0098660A">
              <w:rPr>
                <w:rFonts w:ascii="Arial Narrow" w:eastAsia="MS Gothic" w:hAnsi="Arial Narrow" w:cs="Times New Roman"/>
                <w:b/>
                <w:iCs/>
                <w:sz w:val="20"/>
              </w:rPr>
              <w:t>BSC</w:t>
            </w:r>
          </w:p>
          <w:p w14:paraId="0292AF24" w14:textId="77777777" w:rsidR="004B6CB4" w:rsidRPr="0098660A" w:rsidRDefault="004B6CB4" w:rsidP="004B6CB4">
            <w:pPr>
              <w:keepNext/>
              <w:keepLines/>
              <w:jc w:val="center"/>
              <w:rPr>
                <w:rFonts w:ascii="Arial Narrow" w:eastAsia="MS Gothic" w:hAnsi="Arial Narrow" w:cs="Times New Roman"/>
                <w:b/>
                <w:iCs/>
                <w:sz w:val="20"/>
              </w:rPr>
            </w:pPr>
            <w:r w:rsidRPr="0098660A">
              <w:rPr>
                <w:rFonts w:ascii="Arial Narrow" w:eastAsia="MS Gothic" w:hAnsi="Arial Narrow" w:cs="Times New Roman"/>
                <w:b/>
                <w:iCs/>
                <w:sz w:val="20"/>
              </w:rPr>
              <w:t>(n = 18)</w:t>
            </w:r>
          </w:p>
        </w:tc>
      </w:tr>
      <w:tr w:rsidR="00F77322" w:rsidRPr="0098660A" w14:paraId="306D655C" w14:textId="77777777" w:rsidTr="006E0D84">
        <w:tc>
          <w:tcPr>
            <w:tcW w:w="5000" w:type="pct"/>
            <w:gridSpan w:val="3"/>
            <w:vAlign w:val="center"/>
          </w:tcPr>
          <w:p w14:paraId="02F948E0" w14:textId="77777777" w:rsidR="004B6CB4" w:rsidRPr="0098660A" w:rsidRDefault="004B6CB4" w:rsidP="004B6CB4">
            <w:pPr>
              <w:keepNext/>
              <w:keepLines/>
              <w:jc w:val="left"/>
              <w:rPr>
                <w:rFonts w:ascii="Arial Narrow" w:eastAsia="MS Gothic" w:hAnsi="Arial Narrow" w:cs="Times New Roman"/>
                <w:b/>
                <w:iCs/>
                <w:sz w:val="20"/>
              </w:rPr>
            </w:pPr>
            <w:r w:rsidRPr="0098660A">
              <w:rPr>
                <w:rFonts w:ascii="Arial Narrow" w:eastAsia="MS Gothic" w:hAnsi="Arial Narrow" w:cs="Times New Roman"/>
                <w:b/>
                <w:iCs/>
                <w:sz w:val="20"/>
              </w:rPr>
              <w:t>Coprimary endpoints</w:t>
            </w:r>
          </w:p>
        </w:tc>
      </w:tr>
      <w:tr w:rsidR="00F77322" w:rsidRPr="0098660A" w14:paraId="5052BE35" w14:textId="77777777" w:rsidTr="0088665C">
        <w:tc>
          <w:tcPr>
            <w:tcW w:w="1886" w:type="pct"/>
            <w:vAlign w:val="center"/>
          </w:tcPr>
          <w:p w14:paraId="6FD645CD" w14:textId="77777777" w:rsidR="004B6CB4" w:rsidRPr="0098660A" w:rsidRDefault="004B6CB4" w:rsidP="004B6CB4">
            <w:pPr>
              <w:keepNext/>
              <w:keepLines/>
              <w:jc w:val="left"/>
              <w:rPr>
                <w:rFonts w:ascii="Arial Narrow" w:eastAsia="MS Gothic" w:hAnsi="Arial Narrow" w:cs="Times New Roman"/>
                <w:b/>
                <w:iCs/>
                <w:sz w:val="20"/>
              </w:rPr>
            </w:pPr>
            <w:r w:rsidRPr="0098660A">
              <w:rPr>
                <w:rFonts w:ascii="Arial Narrow" w:hAnsi="Arial Narrow" w:cs="Times New Roman"/>
                <w:kern w:val="2"/>
                <w:sz w:val="20"/>
                <w:szCs w:val="22"/>
                <w:lang w:eastAsia="en-US"/>
                <w14:ligatures w14:val="standardContextual"/>
              </w:rPr>
              <w:t xml:space="preserve">Hb </w:t>
            </w:r>
            <w:proofErr w:type="spellStart"/>
            <w:r w:rsidRPr="0098660A">
              <w:rPr>
                <w:rFonts w:ascii="Arial Narrow" w:hAnsi="Arial Narrow" w:cs="Times New Roman"/>
                <w:kern w:val="2"/>
                <w:sz w:val="20"/>
                <w:szCs w:val="22"/>
                <w:lang w:eastAsia="en-US"/>
                <w14:ligatures w14:val="standardContextual"/>
              </w:rPr>
              <w:t>stabilisation</w:t>
            </w:r>
            <w:r w:rsidRPr="0098660A">
              <w:rPr>
                <w:rFonts w:ascii="Arial Narrow" w:hAnsi="Arial Narrow" w:cs="Times New Roman"/>
                <w:kern w:val="2"/>
                <w:sz w:val="20"/>
                <w:szCs w:val="22"/>
                <w:vertAlign w:val="superscript"/>
                <w:lang w:eastAsia="en-US"/>
                <w14:ligatures w14:val="standardContextual"/>
              </w:rPr>
              <w:t>a</w:t>
            </w:r>
            <w:proofErr w:type="spellEnd"/>
            <w:r w:rsidRPr="0098660A">
              <w:rPr>
                <w:rFonts w:ascii="Arial Narrow" w:hAnsi="Arial Narrow" w:cs="Times New Roman"/>
                <w:kern w:val="2"/>
                <w:sz w:val="20"/>
                <w:szCs w:val="22"/>
                <w:lang w:eastAsia="en-US"/>
                <w14:ligatures w14:val="standardContextual"/>
              </w:rPr>
              <w:t xml:space="preserve"> (%)</w:t>
            </w:r>
          </w:p>
        </w:tc>
        <w:tc>
          <w:tcPr>
            <w:tcW w:w="1626" w:type="pct"/>
            <w:vAlign w:val="center"/>
          </w:tcPr>
          <w:p w14:paraId="0A40AFFA" w14:textId="77777777" w:rsidR="004B6CB4" w:rsidRPr="0098660A" w:rsidRDefault="004B6CB4" w:rsidP="004B6CB4">
            <w:pPr>
              <w:keepNext/>
              <w:keepLines/>
              <w:jc w:val="center"/>
              <w:rPr>
                <w:rFonts w:ascii="Arial Narrow" w:eastAsia="MS Gothic" w:hAnsi="Arial Narrow" w:cs="Times New Roman"/>
                <w:b/>
                <w:iCs/>
                <w:sz w:val="20"/>
              </w:rPr>
            </w:pPr>
            <w:r w:rsidRPr="0098660A">
              <w:rPr>
                <w:rFonts w:ascii="Arial Narrow" w:hAnsi="Arial Narrow" w:cs="Times New Roman"/>
                <w:kern w:val="2"/>
                <w:sz w:val="20"/>
                <w:szCs w:val="22"/>
                <w:lang w:eastAsia="en-US"/>
                <w14:ligatures w14:val="standardContextual"/>
              </w:rPr>
              <w:t>30 (85.7)</w:t>
            </w:r>
          </w:p>
        </w:tc>
        <w:tc>
          <w:tcPr>
            <w:tcW w:w="1488" w:type="pct"/>
            <w:vAlign w:val="center"/>
          </w:tcPr>
          <w:p w14:paraId="6EABCFE0" w14:textId="77777777" w:rsidR="004B6CB4" w:rsidRPr="0098660A" w:rsidRDefault="004B6CB4" w:rsidP="004B6CB4">
            <w:pPr>
              <w:keepNext/>
              <w:keepLines/>
              <w:jc w:val="center"/>
              <w:rPr>
                <w:rFonts w:ascii="Arial Narrow" w:eastAsia="MS Gothic" w:hAnsi="Arial Narrow" w:cs="Times New Roman"/>
                <w:b/>
                <w:iCs/>
                <w:sz w:val="20"/>
              </w:rPr>
            </w:pPr>
            <w:r w:rsidRPr="0098660A">
              <w:rPr>
                <w:rFonts w:ascii="Arial Narrow" w:hAnsi="Arial Narrow" w:cs="Times New Roman"/>
                <w:kern w:val="2"/>
                <w:sz w:val="20"/>
                <w:szCs w:val="22"/>
                <w:lang w:eastAsia="en-US"/>
                <w14:ligatures w14:val="standardContextual"/>
              </w:rPr>
              <w:t>0</w:t>
            </w:r>
          </w:p>
        </w:tc>
      </w:tr>
      <w:tr w:rsidR="00F77322" w:rsidRPr="0098660A" w14:paraId="4B90E509" w14:textId="77777777" w:rsidTr="0088665C">
        <w:tc>
          <w:tcPr>
            <w:tcW w:w="1886" w:type="pct"/>
            <w:vAlign w:val="center"/>
          </w:tcPr>
          <w:p w14:paraId="1157DE95" w14:textId="7353CC8D" w:rsidR="004B6CB4" w:rsidRPr="0098660A" w:rsidRDefault="006E0D84" w:rsidP="004B6CB4">
            <w:pPr>
              <w:widowControl w:val="0"/>
              <w:ind w:left="180"/>
              <w:jc w:val="left"/>
              <w:rPr>
                <w:rFonts w:ascii="Arial Narrow" w:eastAsia="MS Gothic" w:hAnsi="Arial Narrow" w:cs="Times New Roman"/>
                <w:b/>
                <w:iCs/>
                <w:sz w:val="20"/>
              </w:rPr>
            </w:pPr>
            <w:r w:rsidRPr="0098660A">
              <w:rPr>
                <w:rFonts w:ascii="Arial Narrow" w:eastAsia="MS Gothic" w:hAnsi="Arial Narrow" w:cs="Times New Roman"/>
                <w:sz w:val="20"/>
              </w:rPr>
              <w:t>Differences</w:t>
            </w:r>
            <w:r w:rsidR="004B6CB4" w:rsidRPr="0098660A">
              <w:rPr>
                <w:rFonts w:ascii="Arial Narrow" w:eastAsia="MS Gothic" w:hAnsi="Arial Narrow" w:cs="Times New Roman"/>
                <w:sz w:val="20"/>
              </w:rPr>
              <w:t xml:space="preserve"> (95% CI)</w:t>
            </w:r>
          </w:p>
        </w:tc>
        <w:tc>
          <w:tcPr>
            <w:tcW w:w="3114" w:type="pct"/>
            <w:gridSpan w:val="2"/>
            <w:vAlign w:val="center"/>
          </w:tcPr>
          <w:p w14:paraId="7302C01C" w14:textId="77777777" w:rsidR="004B6CB4" w:rsidRPr="0098660A" w:rsidRDefault="004B6CB4" w:rsidP="004B6CB4">
            <w:pPr>
              <w:keepNext/>
              <w:keepLines/>
              <w:jc w:val="center"/>
              <w:rPr>
                <w:rFonts w:ascii="Arial Narrow" w:eastAsia="MS Gothic" w:hAnsi="Arial Narrow" w:cs="Times New Roman"/>
                <w:b/>
                <w:iCs/>
                <w:sz w:val="20"/>
              </w:rPr>
            </w:pPr>
            <w:r w:rsidRPr="0098660A">
              <w:rPr>
                <w:rFonts w:ascii="Arial Narrow" w:hAnsi="Arial Narrow" w:cs="Times New Roman"/>
                <w:kern w:val="2"/>
                <w:sz w:val="20"/>
                <w:szCs w:val="22"/>
                <w:lang w:eastAsia="en-US"/>
                <w14:ligatures w14:val="standardContextual"/>
              </w:rPr>
              <w:t>73.1% (57.2, 89.0)</w:t>
            </w:r>
          </w:p>
        </w:tc>
      </w:tr>
      <w:tr w:rsidR="00F77322" w:rsidRPr="0098660A" w14:paraId="75B39D45" w14:textId="77777777" w:rsidTr="0088665C">
        <w:tc>
          <w:tcPr>
            <w:tcW w:w="1886" w:type="pct"/>
            <w:vAlign w:val="center"/>
          </w:tcPr>
          <w:p w14:paraId="10AF75A5" w14:textId="77777777" w:rsidR="004B6CB4" w:rsidRPr="0098660A" w:rsidRDefault="004B6CB4" w:rsidP="004B6CB4">
            <w:pPr>
              <w:widowControl w:val="0"/>
              <w:ind w:left="180"/>
              <w:jc w:val="left"/>
              <w:rPr>
                <w:rFonts w:ascii="Arial Narrow" w:eastAsia="MS Gothic" w:hAnsi="Arial Narrow" w:cs="Times New Roman"/>
                <w:b/>
                <w:iCs/>
                <w:sz w:val="20"/>
              </w:rPr>
            </w:pPr>
            <w:r w:rsidRPr="0098660A">
              <w:rPr>
                <w:rFonts w:ascii="Arial Narrow" w:eastAsia="MS Gothic" w:hAnsi="Arial Narrow" w:cs="Times New Roman"/>
                <w:sz w:val="20"/>
              </w:rPr>
              <w:t>p-value</w:t>
            </w:r>
          </w:p>
        </w:tc>
        <w:tc>
          <w:tcPr>
            <w:tcW w:w="3114" w:type="pct"/>
            <w:gridSpan w:val="2"/>
            <w:vAlign w:val="center"/>
          </w:tcPr>
          <w:p w14:paraId="3640F995" w14:textId="77777777" w:rsidR="004B6CB4" w:rsidRPr="0098660A" w:rsidRDefault="004B6CB4" w:rsidP="004B6CB4">
            <w:pPr>
              <w:keepNext/>
              <w:keepLines/>
              <w:jc w:val="center"/>
              <w:rPr>
                <w:rFonts w:ascii="Arial Narrow" w:eastAsia="MS Gothic" w:hAnsi="Arial Narrow" w:cs="Times New Roman"/>
                <w:b/>
                <w:iCs/>
                <w:sz w:val="20"/>
              </w:rPr>
            </w:pPr>
            <w:r w:rsidRPr="0098660A">
              <w:rPr>
                <w:rFonts w:ascii="Arial Narrow" w:hAnsi="Arial Narrow" w:cs="Times New Roman"/>
                <w:kern w:val="2"/>
                <w:sz w:val="20"/>
                <w:szCs w:val="22"/>
                <w:lang w:eastAsia="en-US"/>
                <w14:ligatures w14:val="standardContextual"/>
              </w:rPr>
              <w:t>&lt; 0.0001</w:t>
            </w:r>
          </w:p>
        </w:tc>
      </w:tr>
      <w:tr w:rsidR="007E38F9" w:rsidRPr="0098660A" w14:paraId="7E5B06E7" w14:textId="77777777" w:rsidTr="0088665C">
        <w:tc>
          <w:tcPr>
            <w:tcW w:w="1886" w:type="pct"/>
          </w:tcPr>
          <w:p w14:paraId="06A55F99" w14:textId="77777777" w:rsidR="004B6CB4" w:rsidRPr="0098660A" w:rsidRDefault="004B6CB4" w:rsidP="004B6CB4">
            <w:pPr>
              <w:widowControl w:val="0"/>
              <w:jc w:val="left"/>
              <w:rPr>
                <w:rFonts w:ascii="Arial Narrow" w:hAnsi="Arial Narrow" w:cs="Times New Roman"/>
                <w:kern w:val="2"/>
                <w:sz w:val="20"/>
                <w:szCs w:val="22"/>
                <w:lang w:eastAsia="en-US"/>
                <w14:ligatures w14:val="standardContextual"/>
              </w:rPr>
            </w:pPr>
            <w:r w:rsidRPr="0098660A">
              <w:rPr>
                <w:rFonts w:ascii="Arial Narrow" w:eastAsia="MS Gothic" w:hAnsi="Arial Narrow" w:cs="Times New Roman"/>
                <w:sz w:val="20"/>
              </w:rPr>
              <w:t>Change in LDH level from baseline to Week 26 (LS mean [SE], U/L)</w:t>
            </w:r>
          </w:p>
        </w:tc>
        <w:tc>
          <w:tcPr>
            <w:tcW w:w="1626" w:type="pct"/>
          </w:tcPr>
          <w:p w14:paraId="11512A0E" w14:textId="77777777" w:rsidR="004B6CB4" w:rsidRPr="0098660A" w:rsidRDefault="004B6CB4" w:rsidP="004B6CB4">
            <w:pPr>
              <w:keepNext/>
              <w:keepLines/>
              <w:jc w:val="center"/>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-1870.5 (100.97)</w:t>
            </w:r>
          </w:p>
        </w:tc>
        <w:tc>
          <w:tcPr>
            <w:tcW w:w="1488" w:type="pct"/>
          </w:tcPr>
          <w:p w14:paraId="71C71AC6" w14:textId="77777777" w:rsidR="004B6CB4" w:rsidRPr="0098660A" w:rsidRDefault="004B6CB4" w:rsidP="004B6CB4">
            <w:pPr>
              <w:keepNext/>
              <w:keepLines/>
              <w:jc w:val="center"/>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-400.1 (313.0)</w:t>
            </w:r>
          </w:p>
        </w:tc>
      </w:tr>
      <w:tr w:rsidR="007E38F9" w:rsidRPr="0098660A" w14:paraId="5B658D2B" w14:textId="77777777" w:rsidTr="0088665C">
        <w:tc>
          <w:tcPr>
            <w:tcW w:w="1886" w:type="pct"/>
          </w:tcPr>
          <w:p w14:paraId="0524B831" w14:textId="77777777" w:rsidR="004B6CB4" w:rsidRPr="0098660A" w:rsidRDefault="004B6CB4" w:rsidP="004B6CB4">
            <w:pPr>
              <w:widowControl w:val="0"/>
              <w:ind w:left="180"/>
              <w:jc w:val="left"/>
              <w:rPr>
                <w:rFonts w:ascii="Arial Narrow" w:hAnsi="Arial Narrow" w:cs="Times New Roman"/>
                <w:kern w:val="2"/>
                <w:sz w:val="20"/>
                <w:szCs w:val="22"/>
                <w:lang w:eastAsia="en-US"/>
                <w14:ligatures w14:val="standardContextual"/>
              </w:rPr>
            </w:pPr>
            <w:r w:rsidRPr="0098660A">
              <w:rPr>
                <w:rFonts w:ascii="Arial Narrow" w:eastAsia="MS Gothic" w:hAnsi="Arial Narrow" w:cs="Times New Roman"/>
                <w:sz w:val="20"/>
              </w:rPr>
              <w:t>Difference (95% CI)</w:t>
            </w:r>
          </w:p>
        </w:tc>
        <w:tc>
          <w:tcPr>
            <w:tcW w:w="3114" w:type="pct"/>
            <w:gridSpan w:val="2"/>
          </w:tcPr>
          <w:p w14:paraId="6CBAF568" w14:textId="77777777" w:rsidR="004B6CB4" w:rsidRPr="0098660A" w:rsidRDefault="004B6CB4" w:rsidP="004B6CB4">
            <w:pPr>
              <w:keepNext/>
              <w:keepLines/>
              <w:jc w:val="center"/>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-1470.4 (-2113.4, -827.3)</w:t>
            </w:r>
          </w:p>
        </w:tc>
      </w:tr>
      <w:tr w:rsidR="007E38F9" w:rsidRPr="0098660A" w14:paraId="0EC503F7" w14:textId="77777777" w:rsidTr="0088665C">
        <w:tc>
          <w:tcPr>
            <w:tcW w:w="1886" w:type="pct"/>
          </w:tcPr>
          <w:p w14:paraId="61E58429" w14:textId="77777777" w:rsidR="004B6CB4" w:rsidRPr="0098660A" w:rsidRDefault="004B6CB4" w:rsidP="004B6CB4">
            <w:pPr>
              <w:widowControl w:val="0"/>
              <w:ind w:left="180"/>
              <w:jc w:val="left"/>
              <w:rPr>
                <w:rFonts w:ascii="Arial Narrow" w:hAnsi="Arial Narrow" w:cs="Times New Roman"/>
                <w:kern w:val="2"/>
                <w:sz w:val="20"/>
                <w:szCs w:val="22"/>
                <w:lang w:eastAsia="en-US"/>
                <w14:ligatures w14:val="standardContextual"/>
              </w:rPr>
            </w:pPr>
            <w:r w:rsidRPr="0098660A">
              <w:rPr>
                <w:rFonts w:ascii="Arial Narrow" w:eastAsia="MS Gothic" w:hAnsi="Arial Narrow" w:cs="Times New Roman"/>
                <w:sz w:val="20"/>
              </w:rPr>
              <w:t>p-value</w:t>
            </w:r>
          </w:p>
        </w:tc>
        <w:tc>
          <w:tcPr>
            <w:tcW w:w="3114" w:type="pct"/>
            <w:gridSpan w:val="2"/>
          </w:tcPr>
          <w:p w14:paraId="3D0BF50F" w14:textId="77777777" w:rsidR="004B6CB4" w:rsidRPr="0098660A" w:rsidRDefault="004B6CB4" w:rsidP="004B6CB4">
            <w:pPr>
              <w:keepNext/>
              <w:keepLines/>
              <w:jc w:val="center"/>
              <w:rPr>
                <w:rFonts w:ascii="Arial Narrow" w:hAnsi="Arial Narrow" w:cs="Times New Roman"/>
                <w:kern w:val="2"/>
                <w:sz w:val="20"/>
                <w:szCs w:val="22"/>
                <w:lang w:eastAsia="en-US"/>
                <w14:ligatures w14:val="standardContextual"/>
              </w:rPr>
            </w:pPr>
            <w:r w:rsidRPr="0098660A">
              <w:rPr>
                <w:rFonts w:ascii="Arial Narrow" w:hAnsi="Arial Narrow" w:cs="Times New Roman"/>
                <w:kern w:val="2"/>
                <w:sz w:val="20"/>
                <w:szCs w:val="22"/>
                <w:lang w:eastAsia="en-US"/>
                <w14:ligatures w14:val="standardContextual"/>
              </w:rPr>
              <w:t>&lt; 0.0001</w:t>
            </w:r>
          </w:p>
        </w:tc>
      </w:tr>
      <w:tr w:rsidR="007E38F9" w:rsidRPr="0098660A" w14:paraId="243D8F8F" w14:textId="77777777" w:rsidTr="006E0D84">
        <w:tc>
          <w:tcPr>
            <w:tcW w:w="5000" w:type="pct"/>
            <w:gridSpan w:val="3"/>
          </w:tcPr>
          <w:p w14:paraId="3735C118" w14:textId="77777777" w:rsidR="004B6CB4" w:rsidRPr="0098660A" w:rsidRDefault="004B6CB4" w:rsidP="004B6CB4">
            <w:pPr>
              <w:keepNext/>
              <w:keepLines/>
              <w:jc w:val="left"/>
              <w:rPr>
                <w:rFonts w:ascii="Arial Narrow" w:hAnsi="Arial Narrow" w:cs="Times New Roman"/>
                <w:kern w:val="2"/>
                <w:sz w:val="20"/>
                <w:szCs w:val="22"/>
                <w:lang w:eastAsia="en-US"/>
                <w14:ligatures w14:val="standardContextual"/>
              </w:rPr>
            </w:pPr>
            <w:r w:rsidRPr="0098660A">
              <w:rPr>
                <w:rFonts w:ascii="Arial Narrow" w:eastAsia="MS Gothic" w:hAnsi="Arial Narrow" w:cs="Times New Roman"/>
                <w:b/>
                <w:bCs/>
                <w:sz w:val="20"/>
              </w:rPr>
              <w:t>Secondary endpoints</w:t>
            </w:r>
          </w:p>
        </w:tc>
      </w:tr>
      <w:tr w:rsidR="00F77322" w:rsidRPr="0098660A" w14:paraId="1CB90B72" w14:textId="77777777" w:rsidTr="0088665C">
        <w:tc>
          <w:tcPr>
            <w:tcW w:w="1886" w:type="pct"/>
            <w:vAlign w:val="center"/>
          </w:tcPr>
          <w:p w14:paraId="68B9329E" w14:textId="63776DF6" w:rsidR="004B6CB4" w:rsidRPr="0098660A" w:rsidRDefault="004B6CB4" w:rsidP="004B6CB4">
            <w:pPr>
              <w:widowControl w:val="0"/>
              <w:jc w:val="left"/>
              <w:rPr>
                <w:rFonts w:ascii="Arial Narrow" w:eastAsia="MS Gothic" w:hAnsi="Arial Narrow" w:cs="Times New Roman"/>
                <w:sz w:val="20"/>
              </w:rPr>
            </w:pPr>
            <w:r w:rsidRPr="0098660A">
              <w:rPr>
                <w:rFonts w:ascii="Arial Narrow" w:eastAsia="MS Gothic" w:hAnsi="Arial Narrow" w:cs="Times New Roman"/>
                <w:sz w:val="20"/>
              </w:rPr>
              <w:t xml:space="preserve">Hb </w:t>
            </w:r>
            <w:proofErr w:type="spellStart"/>
            <w:r w:rsidRPr="0098660A">
              <w:rPr>
                <w:rFonts w:ascii="Arial Narrow" w:eastAsia="MS Gothic" w:hAnsi="Arial Narrow" w:cs="Times New Roman"/>
                <w:sz w:val="20"/>
              </w:rPr>
              <w:t>re</w:t>
            </w:r>
            <w:r w:rsidR="004706B1" w:rsidRPr="0098660A">
              <w:rPr>
                <w:rFonts w:ascii="Arial Narrow" w:eastAsia="MS Gothic" w:hAnsi="Arial Narrow" w:cs="Times New Roman"/>
                <w:sz w:val="20"/>
              </w:rPr>
              <w:t>s</w:t>
            </w:r>
            <w:r w:rsidRPr="0098660A">
              <w:rPr>
                <w:rFonts w:ascii="Arial Narrow" w:eastAsia="MS Gothic" w:hAnsi="Arial Narrow" w:cs="Times New Roman"/>
                <w:sz w:val="20"/>
              </w:rPr>
              <w:t>ponse</w:t>
            </w:r>
            <w:r w:rsidRPr="0098660A">
              <w:rPr>
                <w:rFonts w:ascii="Arial Narrow" w:eastAsia="MS Gothic" w:hAnsi="Arial Narrow" w:cs="Times New Roman"/>
                <w:sz w:val="20"/>
                <w:vertAlign w:val="superscript"/>
              </w:rPr>
              <w:t>c</w:t>
            </w:r>
            <w:proofErr w:type="spellEnd"/>
            <w:r w:rsidRPr="0098660A">
              <w:rPr>
                <w:rFonts w:ascii="Arial Narrow" w:eastAsia="MS Gothic" w:hAnsi="Arial Narrow" w:cs="Times New Roman"/>
                <w:sz w:val="20"/>
              </w:rPr>
              <w:t xml:space="preserve"> (%)</w:t>
            </w:r>
          </w:p>
        </w:tc>
        <w:tc>
          <w:tcPr>
            <w:tcW w:w="1626" w:type="pct"/>
            <w:vAlign w:val="center"/>
          </w:tcPr>
          <w:p w14:paraId="23D7D727"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25 (71.4)</w:t>
            </w:r>
          </w:p>
        </w:tc>
        <w:tc>
          <w:tcPr>
            <w:tcW w:w="1488" w:type="pct"/>
            <w:vAlign w:val="center"/>
          </w:tcPr>
          <w:p w14:paraId="2A65C165"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1 (5.6)</w:t>
            </w:r>
          </w:p>
        </w:tc>
      </w:tr>
      <w:tr w:rsidR="00F77322" w:rsidRPr="0098660A" w14:paraId="00CA1525" w14:textId="77777777" w:rsidTr="0088665C">
        <w:tc>
          <w:tcPr>
            <w:tcW w:w="1886" w:type="pct"/>
            <w:vAlign w:val="center"/>
          </w:tcPr>
          <w:p w14:paraId="01F8E065" w14:textId="77777777" w:rsidR="004B6CB4" w:rsidRPr="0098660A" w:rsidRDefault="004B6CB4" w:rsidP="004B6CB4">
            <w:pPr>
              <w:widowControl w:val="0"/>
              <w:ind w:left="180"/>
              <w:jc w:val="left"/>
              <w:rPr>
                <w:rFonts w:ascii="Arial Narrow" w:eastAsia="MS Gothic" w:hAnsi="Arial Narrow" w:cs="Times New Roman"/>
                <w:sz w:val="20"/>
              </w:rPr>
            </w:pPr>
            <w:proofErr w:type="spellStart"/>
            <w:r w:rsidRPr="0098660A">
              <w:rPr>
                <w:rFonts w:ascii="Arial Narrow" w:eastAsia="MS Gothic" w:hAnsi="Arial Narrow" w:cs="Times New Roman"/>
                <w:sz w:val="20"/>
              </w:rPr>
              <w:t>Difference</w:t>
            </w:r>
            <w:r w:rsidRPr="0098660A">
              <w:rPr>
                <w:rFonts w:ascii="Arial Narrow" w:eastAsia="MS Gothic" w:hAnsi="Arial Narrow" w:cs="Times New Roman"/>
                <w:sz w:val="20"/>
                <w:vertAlign w:val="superscript"/>
              </w:rPr>
              <w:t>b</w:t>
            </w:r>
            <w:proofErr w:type="spellEnd"/>
            <w:r w:rsidRPr="0098660A">
              <w:rPr>
                <w:rFonts w:ascii="Arial Narrow" w:eastAsia="MS Gothic" w:hAnsi="Arial Narrow" w:cs="Times New Roman"/>
                <w:sz w:val="20"/>
              </w:rPr>
              <w:t xml:space="preserve"> (95% CI)</w:t>
            </w:r>
          </w:p>
        </w:tc>
        <w:tc>
          <w:tcPr>
            <w:tcW w:w="3114" w:type="pct"/>
            <w:gridSpan w:val="2"/>
            <w:vAlign w:val="center"/>
          </w:tcPr>
          <w:p w14:paraId="43C53D36"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54.1% (33.9, 74.3)</w:t>
            </w:r>
          </w:p>
        </w:tc>
      </w:tr>
      <w:tr w:rsidR="00F77322" w:rsidRPr="0098660A" w14:paraId="5D80F163" w14:textId="77777777" w:rsidTr="0088665C">
        <w:tc>
          <w:tcPr>
            <w:tcW w:w="1886" w:type="pct"/>
            <w:vAlign w:val="center"/>
          </w:tcPr>
          <w:p w14:paraId="6399CC5C" w14:textId="77777777" w:rsidR="004B6CB4" w:rsidRPr="0098660A" w:rsidRDefault="004B6CB4" w:rsidP="004B6CB4">
            <w:pPr>
              <w:widowControl w:val="0"/>
              <w:ind w:left="180"/>
              <w:jc w:val="left"/>
              <w:rPr>
                <w:rFonts w:ascii="Arial Narrow" w:eastAsia="MS Gothic" w:hAnsi="Arial Narrow" w:cs="Times New Roman"/>
                <w:sz w:val="20"/>
              </w:rPr>
            </w:pPr>
            <w:r w:rsidRPr="0098660A">
              <w:rPr>
                <w:rFonts w:ascii="Arial Narrow" w:eastAsia="MS Gothic" w:hAnsi="Arial Narrow" w:cs="Times New Roman"/>
                <w:sz w:val="20"/>
              </w:rPr>
              <w:t>p-value</w:t>
            </w:r>
          </w:p>
        </w:tc>
        <w:tc>
          <w:tcPr>
            <w:tcW w:w="3114" w:type="pct"/>
            <w:gridSpan w:val="2"/>
            <w:vAlign w:val="center"/>
          </w:tcPr>
          <w:p w14:paraId="1E41CDCD"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&lt; 0.0001</w:t>
            </w:r>
          </w:p>
        </w:tc>
      </w:tr>
      <w:tr w:rsidR="007E38F9" w:rsidRPr="0098660A" w14:paraId="5851802E" w14:textId="77777777" w:rsidTr="0088665C">
        <w:tc>
          <w:tcPr>
            <w:tcW w:w="1886" w:type="pct"/>
          </w:tcPr>
          <w:p w14:paraId="36B93A7B" w14:textId="77777777" w:rsidR="004B6CB4" w:rsidRPr="0098660A" w:rsidRDefault="004B6CB4" w:rsidP="004B6CB4">
            <w:pPr>
              <w:widowControl w:val="0"/>
              <w:jc w:val="left"/>
              <w:rPr>
                <w:rFonts w:ascii="Arial Narrow" w:eastAsia="MS Gothic" w:hAnsi="Arial Narrow" w:cs="Times New Roman"/>
                <w:sz w:val="20"/>
              </w:rPr>
            </w:pPr>
            <w:r w:rsidRPr="0098660A">
              <w:rPr>
                <w:rFonts w:ascii="Arial Narrow" w:eastAsia="MS Gothic" w:hAnsi="Arial Narrow" w:cs="Times New Roman"/>
                <w:sz w:val="20"/>
              </w:rPr>
              <w:t>Change in ARC from baseline</w:t>
            </w:r>
          </w:p>
          <w:p w14:paraId="7B056083" w14:textId="19E4C803" w:rsidR="004B6CB4" w:rsidRPr="0098660A" w:rsidRDefault="004B6CB4" w:rsidP="004B6CB4">
            <w:pPr>
              <w:widowControl w:val="0"/>
              <w:jc w:val="left"/>
              <w:rPr>
                <w:rFonts w:ascii="Arial Narrow" w:eastAsia="MS Gothic" w:hAnsi="Arial Narrow" w:cs="Times New Roman"/>
                <w:sz w:val="20"/>
              </w:rPr>
            </w:pPr>
            <w:r w:rsidRPr="0098660A">
              <w:rPr>
                <w:rFonts w:ascii="Arial Narrow" w:eastAsia="MS Gothic" w:hAnsi="Arial Narrow" w:cs="Times New Roman"/>
                <w:sz w:val="20"/>
              </w:rPr>
              <w:t>(LS mean [SE],</w:t>
            </w:r>
            <w:r w:rsidR="00003BB5" w:rsidRPr="0098660A">
              <w:rPr>
                <w:rFonts w:ascii="Arial Narrow" w:eastAsia="MS Gothic" w:hAnsi="Arial Narrow" w:cs="Times New Roman"/>
                <w:sz w:val="20"/>
              </w:rPr>
              <w:t xml:space="preserve"> 10</w:t>
            </w:r>
            <w:r w:rsidR="00003BB5" w:rsidRPr="0098660A">
              <w:rPr>
                <w:rFonts w:ascii="Arial Narrow" w:eastAsia="MS Gothic" w:hAnsi="Arial Narrow" w:cs="Times New Roman"/>
                <w:sz w:val="20"/>
                <w:vertAlign w:val="superscript"/>
              </w:rPr>
              <w:t>9</w:t>
            </w:r>
            <w:r w:rsidR="00003BB5" w:rsidRPr="0098660A">
              <w:rPr>
                <w:rFonts w:ascii="Arial Narrow" w:eastAsia="MS Gothic" w:hAnsi="Arial Narrow" w:cs="Times New Roman"/>
                <w:sz w:val="20"/>
              </w:rPr>
              <w:t>/L</w:t>
            </w:r>
            <w:r w:rsidRPr="0098660A">
              <w:rPr>
                <w:rFonts w:ascii="Arial Narrow" w:eastAsia="MS Gothic" w:hAnsi="Arial Narrow" w:cs="Times New Roman"/>
                <w:sz w:val="20"/>
              </w:rPr>
              <w:t>)</w:t>
            </w:r>
          </w:p>
        </w:tc>
        <w:tc>
          <w:tcPr>
            <w:tcW w:w="1626" w:type="pct"/>
          </w:tcPr>
          <w:p w14:paraId="18548E02"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-123.26 (9.16)</w:t>
            </w:r>
          </w:p>
        </w:tc>
        <w:tc>
          <w:tcPr>
            <w:tcW w:w="1488" w:type="pct"/>
          </w:tcPr>
          <w:p w14:paraId="7ED8A57C"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-19.44 (25.21)</w:t>
            </w:r>
          </w:p>
        </w:tc>
      </w:tr>
      <w:tr w:rsidR="007E38F9" w:rsidRPr="0098660A" w14:paraId="38CE4E35" w14:textId="77777777" w:rsidTr="0088665C">
        <w:tc>
          <w:tcPr>
            <w:tcW w:w="1886" w:type="pct"/>
          </w:tcPr>
          <w:p w14:paraId="49AF418C" w14:textId="77777777" w:rsidR="004B6CB4" w:rsidRPr="0098660A" w:rsidRDefault="004B6CB4" w:rsidP="004B6CB4">
            <w:pPr>
              <w:widowControl w:val="0"/>
              <w:ind w:left="180"/>
              <w:jc w:val="left"/>
              <w:rPr>
                <w:rFonts w:ascii="Arial Narrow" w:eastAsia="MS Gothic" w:hAnsi="Arial Narrow" w:cs="Times New Roman"/>
                <w:sz w:val="20"/>
              </w:rPr>
            </w:pPr>
            <w:proofErr w:type="spellStart"/>
            <w:r w:rsidRPr="0098660A">
              <w:rPr>
                <w:rFonts w:ascii="Arial Narrow" w:eastAsia="MS Gothic" w:hAnsi="Arial Narrow" w:cs="Times New Roman"/>
                <w:sz w:val="20"/>
              </w:rPr>
              <w:t>Difference</w:t>
            </w:r>
            <w:r w:rsidRPr="0098660A">
              <w:rPr>
                <w:rFonts w:ascii="Arial Narrow" w:eastAsia="MS Gothic" w:hAnsi="Arial Narrow" w:cs="Times New Roman"/>
                <w:sz w:val="20"/>
                <w:vertAlign w:val="superscript"/>
              </w:rPr>
              <w:t>b</w:t>
            </w:r>
            <w:proofErr w:type="spellEnd"/>
            <w:r w:rsidRPr="0098660A">
              <w:rPr>
                <w:rFonts w:ascii="Arial Narrow" w:eastAsia="MS Gothic" w:hAnsi="Arial Narrow" w:cs="Times New Roman"/>
                <w:sz w:val="20"/>
              </w:rPr>
              <w:t xml:space="preserve"> (95% CI)</w:t>
            </w:r>
          </w:p>
        </w:tc>
        <w:tc>
          <w:tcPr>
            <w:tcW w:w="3114" w:type="pct"/>
            <w:gridSpan w:val="2"/>
          </w:tcPr>
          <w:p w14:paraId="637273B8"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-103.82 (-158.9, -48.74)</w:t>
            </w:r>
          </w:p>
        </w:tc>
      </w:tr>
      <w:tr w:rsidR="007E38F9" w:rsidRPr="0098660A" w14:paraId="6758DDCC" w14:textId="77777777" w:rsidTr="0088665C">
        <w:tc>
          <w:tcPr>
            <w:tcW w:w="1886" w:type="pct"/>
          </w:tcPr>
          <w:p w14:paraId="5D9B2477" w14:textId="77777777" w:rsidR="004B6CB4" w:rsidRPr="0098660A" w:rsidRDefault="004B6CB4" w:rsidP="004B6CB4">
            <w:pPr>
              <w:widowControl w:val="0"/>
              <w:ind w:left="180"/>
              <w:jc w:val="left"/>
              <w:rPr>
                <w:rFonts w:ascii="Arial Narrow" w:eastAsia="MS Gothic" w:hAnsi="Arial Narrow" w:cs="Times New Roman"/>
                <w:sz w:val="20"/>
              </w:rPr>
            </w:pPr>
            <w:r w:rsidRPr="0098660A">
              <w:rPr>
                <w:rFonts w:ascii="Arial Narrow" w:eastAsia="MS Gothic" w:hAnsi="Arial Narrow" w:cs="Times New Roman"/>
                <w:sz w:val="20"/>
              </w:rPr>
              <w:t>p-value</w:t>
            </w:r>
          </w:p>
        </w:tc>
        <w:tc>
          <w:tcPr>
            <w:tcW w:w="3114" w:type="pct"/>
            <w:gridSpan w:val="2"/>
          </w:tcPr>
          <w:p w14:paraId="23D2C193"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0.0002</w:t>
            </w:r>
          </w:p>
        </w:tc>
      </w:tr>
      <w:tr w:rsidR="007E38F9" w:rsidRPr="0098660A" w14:paraId="7CA1B1E9" w14:textId="77777777" w:rsidTr="0088665C">
        <w:tc>
          <w:tcPr>
            <w:tcW w:w="1886" w:type="pct"/>
          </w:tcPr>
          <w:p w14:paraId="5741BA31" w14:textId="77777777" w:rsidR="004B6CB4" w:rsidRPr="0098660A" w:rsidRDefault="004B6CB4" w:rsidP="004B6CB4">
            <w:pPr>
              <w:widowControl w:val="0"/>
              <w:jc w:val="left"/>
              <w:rPr>
                <w:rFonts w:ascii="Arial Narrow" w:eastAsia="MS Gothic" w:hAnsi="Arial Narrow" w:cs="Times New Roman"/>
                <w:sz w:val="20"/>
              </w:rPr>
            </w:pPr>
            <w:r w:rsidRPr="0098660A">
              <w:rPr>
                <w:rFonts w:ascii="Arial Narrow" w:eastAsia="MS Gothic" w:hAnsi="Arial Narrow" w:cs="Times New Roman"/>
                <w:sz w:val="20"/>
              </w:rPr>
              <w:t>Change in Hb level from baseline</w:t>
            </w:r>
            <w:r w:rsidRPr="0098660A">
              <w:rPr>
                <w:rFonts w:ascii="Arial Narrow" w:eastAsia="MS Gothic" w:hAnsi="Arial Narrow" w:cs="Times New Roman"/>
                <w:sz w:val="20"/>
                <w:vertAlign w:val="superscript"/>
              </w:rPr>
              <w:t>d</w:t>
            </w:r>
          </w:p>
          <w:p w14:paraId="0F90D6E6" w14:textId="58CEE718" w:rsidR="004B6CB4" w:rsidRPr="0098660A" w:rsidRDefault="004B6CB4" w:rsidP="004B6CB4">
            <w:pPr>
              <w:widowControl w:val="0"/>
              <w:jc w:val="left"/>
              <w:rPr>
                <w:rFonts w:ascii="Arial Narrow" w:eastAsia="MS Gothic" w:hAnsi="Arial Narrow" w:cs="Times New Roman"/>
                <w:sz w:val="20"/>
              </w:rPr>
            </w:pPr>
            <w:r w:rsidRPr="0098660A">
              <w:rPr>
                <w:rFonts w:ascii="Arial Narrow" w:eastAsia="MS Gothic" w:hAnsi="Arial Narrow" w:cs="Times New Roman"/>
                <w:sz w:val="20"/>
              </w:rPr>
              <w:t xml:space="preserve">(LS mean [SE], </w:t>
            </w:r>
            <w:r w:rsidR="00003BB5" w:rsidRPr="0098660A">
              <w:rPr>
                <w:rFonts w:ascii="Arial Narrow" w:eastAsia="MS Gothic" w:hAnsi="Arial Narrow" w:cs="Times New Roman"/>
                <w:sz w:val="20"/>
              </w:rPr>
              <w:t>g/dL</w:t>
            </w:r>
            <w:r w:rsidRPr="0098660A">
              <w:rPr>
                <w:rFonts w:ascii="Arial Narrow" w:eastAsia="MS Gothic" w:hAnsi="Arial Narrow" w:cs="Times New Roman"/>
                <w:sz w:val="20"/>
              </w:rPr>
              <w:t>)</w:t>
            </w:r>
          </w:p>
        </w:tc>
        <w:tc>
          <w:tcPr>
            <w:tcW w:w="1626" w:type="pct"/>
          </w:tcPr>
          <w:p w14:paraId="4290FB03"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2.94 (0.38)</w:t>
            </w:r>
          </w:p>
        </w:tc>
        <w:tc>
          <w:tcPr>
            <w:tcW w:w="1488" w:type="pct"/>
          </w:tcPr>
          <w:p w14:paraId="4EFA8A8A"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0.27 (0.76)</w:t>
            </w:r>
          </w:p>
        </w:tc>
      </w:tr>
      <w:tr w:rsidR="007E38F9" w:rsidRPr="0098660A" w14:paraId="33F44AF5" w14:textId="77777777" w:rsidTr="0088665C">
        <w:tc>
          <w:tcPr>
            <w:tcW w:w="1886" w:type="pct"/>
          </w:tcPr>
          <w:p w14:paraId="6233396B" w14:textId="77777777" w:rsidR="004B6CB4" w:rsidRPr="0098660A" w:rsidRDefault="004B6CB4" w:rsidP="004B6CB4">
            <w:pPr>
              <w:widowControl w:val="0"/>
              <w:ind w:left="180"/>
              <w:jc w:val="left"/>
              <w:rPr>
                <w:rFonts w:ascii="Arial Narrow" w:eastAsia="MS Gothic" w:hAnsi="Arial Narrow" w:cs="Times New Roman"/>
                <w:sz w:val="20"/>
              </w:rPr>
            </w:pPr>
            <w:proofErr w:type="spellStart"/>
            <w:r w:rsidRPr="0098660A">
              <w:rPr>
                <w:rFonts w:ascii="Arial Narrow" w:eastAsia="MS Gothic" w:hAnsi="Arial Narrow" w:cs="Times New Roman"/>
                <w:sz w:val="20"/>
              </w:rPr>
              <w:t>Difference</w:t>
            </w:r>
            <w:r w:rsidRPr="0098660A">
              <w:rPr>
                <w:rFonts w:ascii="Arial Narrow" w:eastAsia="MS Gothic" w:hAnsi="Arial Narrow" w:cs="Times New Roman"/>
                <w:sz w:val="20"/>
                <w:vertAlign w:val="superscript"/>
              </w:rPr>
              <w:t>b</w:t>
            </w:r>
            <w:proofErr w:type="spellEnd"/>
            <w:r w:rsidRPr="0098660A">
              <w:rPr>
                <w:rFonts w:ascii="Arial Narrow" w:eastAsia="MS Gothic" w:hAnsi="Arial Narrow" w:cs="Times New Roman"/>
                <w:sz w:val="20"/>
              </w:rPr>
              <w:t xml:space="preserve"> (95% CI)</w:t>
            </w:r>
          </w:p>
        </w:tc>
        <w:tc>
          <w:tcPr>
            <w:tcW w:w="3114" w:type="pct"/>
            <w:gridSpan w:val="2"/>
          </w:tcPr>
          <w:p w14:paraId="622EAEC9"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2.67 (0.99, 4.35)</w:t>
            </w:r>
          </w:p>
        </w:tc>
      </w:tr>
      <w:tr w:rsidR="007E38F9" w:rsidRPr="0098660A" w14:paraId="62AB81EF" w14:textId="77777777" w:rsidTr="0088665C">
        <w:tc>
          <w:tcPr>
            <w:tcW w:w="1886" w:type="pct"/>
          </w:tcPr>
          <w:p w14:paraId="3DEC6F19" w14:textId="77777777" w:rsidR="004B6CB4" w:rsidRPr="0098660A" w:rsidRDefault="004B6CB4" w:rsidP="004B6CB4">
            <w:pPr>
              <w:widowControl w:val="0"/>
              <w:ind w:left="180"/>
              <w:jc w:val="left"/>
              <w:rPr>
                <w:rFonts w:ascii="Arial Narrow" w:eastAsia="MS Gothic" w:hAnsi="Arial Narrow" w:cs="Times New Roman"/>
                <w:sz w:val="20"/>
              </w:rPr>
            </w:pPr>
            <w:r w:rsidRPr="0098660A">
              <w:rPr>
                <w:rFonts w:ascii="Arial Narrow" w:eastAsia="MS Gothic" w:hAnsi="Arial Narrow" w:cs="Times New Roman"/>
                <w:sz w:val="20"/>
              </w:rPr>
              <w:t>p-value</w:t>
            </w:r>
          </w:p>
        </w:tc>
        <w:tc>
          <w:tcPr>
            <w:tcW w:w="3114" w:type="pct"/>
            <w:gridSpan w:val="2"/>
          </w:tcPr>
          <w:p w14:paraId="326EE09C"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0.0019</w:t>
            </w:r>
          </w:p>
        </w:tc>
      </w:tr>
      <w:tr w:rsidR="00F77322" w:rsidRPr="0098660A" w14:paraId="1564379F" w14:textId="77777777" w:rsidTr="0088665C">
        <w:tc>
          <w:tcPr>
            <w:tcW w:w="1886" w:type="pct"/>
            <w:vAlign w:val="center"/>
          </w:tcPr>
          <w:p w14:paraId="68A48FAE" w14:textId="77777777" w:rsidR="004B6CB4" w:rsidRPr="0098660A" w:rsidRDefault="004B6CB4" w:rsidP="004B6CB4">
            <w:pPr>
              <w:widowControl w:val="0"/>
              <w:jc w:val="left"/>
              <w:rPr>
                <w:rFonts w:ascii="Arial Narrow" w:eastAsia="MS Gothic" w:hAnsi="Arial Narrow" w:cs="Times New Roman"/>
                <w:sz w:val="20"/>
              </w:rPr>
            </w:pPr>
            <w:r w:rsidRPr="0098660A">
              <w:rPr>
                <w:rFonts w:ascii="Arial Narrow" w:eastAsia="MS Gothic" w:hAnsi="Arial Narrow" w:cs="Times New Roman"/>
                <w:sz w:val="20"/>
              </w:rPr>
              <w:t xml:space="preserve">Transfusion </w:t>
            </w:r>
            <w:proofErr w:type="spellStart"/>
            <w:r w:rsidRPr="0098660A">
              <w:rPr>
                <w:rFonts w:ascii="Arial Narrow" w:eastAsia="MS Gothic" w:hAnsi="Arial Narrow" w:cs="Times New Roman"/>
                <w:sz w:val="20"/>
              </w:rPr>
              <w:t>avoidance</w:t>
            </w:r>
            <w:r w:rsidRPr="0098660A">
              <w:rPr>
                <w:rFonts w:ascii="Arial Narrow" w:eastAsia="MS Gothic" w:hAnsi="Arial Narrow" w:cs="Times New Roman"/>
                <w:sz w:val="20"/>
                <w:vertAlign w:val="superscript"/>
              </w:rPr>
              <w:t>e</w:t>
            </w:r>
            <w:proofErr w:type="spellEnd"/>
            <w:r w:rsidRPr="0098660A">
              <w:rPr>
                <w:rFonts w:ascii="Arial Narrow" w:eastAsia="MS Gothic" w:hAnsi="Arial Narrow" w:cs="Times New Roman"/>
                <w:sz w:val="20"/>
              </w:rPr>
              <w:t xml:space="preserve"> (%)</w:t>
            </w:r>
          </w:p>
        </w:tc>
        <w:tc>
          <w:tcPr>
            <w:tcW w:w="1626" w:type="pct"/>
            <w:vAlign w:val="center"/>
          </w:tcPr>
          <w:p w14:paraId="0C28E898"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32 (91.4)</w:t>
            </w:r>
          </w:p>
        </w:tc>
        <w:tc>
          <w:tcPr>
            <w:tcW w:w="1488" w:type="pct"/>
            <w:vAlign w:val="center"/>
          </w:tcPr>
          <w:p w14:paraId="186FD5A7"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1 (5.6)</w:t>
            </w:r>
          </w:p>
        </w:tc>
      </w:tr>
      <w:tr w:rsidR="00F77322" w:rsidRPr="0098660A" w14:paraId="771CB85F" w14:textId="77777777" w:rsidTr="0088665C">
        <w:tc>
          <w:tcPr>
            <w:tcW w:w="1886" w:type="pct"/>
            <w:vAlign w:val="center"/>
          </w:tcPr>
          <w:p w14:paraId="40B67AF8" w14:textId="77777777" w:rsidR="004B6CB4" w:rsidRPr="0098660A" w:rsidRDefault="004B6CB4" w:rsidP="004B6CB4">
            <w:pPr>
              <w:widowControl w:val="0"/>
              <w:ind w:left="180"/>
              <w:jc w:val="left"/>
              <w:rPr>
                <w:rFonts w:ascii="Arial Narrow" w:eastAsia="MS Gothic" w:hAnsi="Arial Narrow" w:cs="Times New Roman"/>
                <w:sz w:val="20"/>
              </w:rPr>
            </w:pPr>
            <w:proofErr w:type="spellStart"/>
            <w:r w:rsidRPr="0098660A">
              <w:rPr>
                <w:rFonts w:ascii="Arial Narrow" w:eastAsia="MS Gothic" w:hAnsi="Arial Narrow" w:cs="Times New Roman"/>
                <w:sz w:val="20"/>
              </w:rPr>
              <w:t>Difference</w:t>
            </w:r>
            <w:r w:rsidRPr="0098660A">
              <w:rPr>
                <w:rFonts w:ascii="Arial Narrow" w:eastAsia="MS Gothic" w:hAnsi="Arial Narrow" w:cs="Times New Roman"/>
                <w:sz w:val="20"/>
                <w:vertAlign w:val="superscript"/>
              </w:rPr>
              <w:t>b</w:t>
            </w:r>
            <w:proofErr w:type="spellEnd"/>
            <w:r w:rsidRPr="0098660A">
              <w:rPr>
                <w:rFonts w:ascii="Arial Narrow" w:eastAsia="MS Gothic" w:hAnsi="Arial Narrow" w:cs="Times New Roman"/>
                <w:sz w:val="20"/>
              </w:rPr>
              <w:t xml:space="preserve"> (95% CI)</w:t>
            </w:r>
          </w:p>
        </w:tc>
        <w:tc>
          <w:tcPr>
            <w:tcW w:w="3114" w:type="pct"/>
            <w:gridSpan w:val="2"/>
            <w:vAlign w:val="center"/>
          </w:tcPr>
          <w:p w14:paraId="33985C61"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72.4 (55.9, 89.0)</w:t>
            </w:r>
          </w:p>
        </w:tc>
      </w:tr>
      <w:tr w:rsidR="00F77322" w:rsidRPr="0098660A" w14:paraId="61B0D96C" w14:textId="77777777" w:rsidTr="0088665C">
        <w:tc>
          <w:tcPr>
            <w:tcW w:w="1886" w:type="pct"/>
            <w:vAlign w:val="center"/>
          </w:tcPr>
          <w:p w14:paraId="23DA0B20" w14:textId="77777777" w:rsidR="004B6CB4" w:rsidRPr="0098660A" w:rsidRDefault="004B6CB4" w:rsidP="004B6CB4">
            <w:pPr>
              <w:widowControl w:val="0"/>
              <w:ind w:left="180"/>
              <w:jc w:val="left"/>
              <w:rPr>
                <w:rFonts w:ascii="Arial Narrow" w:eastAsia="MS Gothic" w:hAnsi="Arial Narrow" w:cs="Times New Roman"/>
                <w:sz w:val="20"/>
              </w:rPr>
            </w:pPr>
            <w:r w:rsidRPr="0098660A">
              <w:rPr>
                <w:rFonts w:ascii="Arial Narrow" w:eastAsia="MS Gothic" w:hAnsi="Arial Narrow" w:cs="Times New Roman"/>
                <w:sz w:val="20"/>
              </w:rPr>
              <w:t>p-value</w:t>
            </w:r>
          </w:p>
        </w:tc>
        <w:tc>
          <w:tcPr>
            <w:tcW w:w="3114" w:type="pct"/>
            <w:gridSpan w:val="2"/>
            <w:vAlign w:val="center"/>
          </w:tcPr>
          <w:p w14:paraId="7EE992C7"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&lt; 0.0001</w:t>
            </w:r>
          </w:p>
        </w:tc>
      </w:tr>
      <w:tr w:rsidR="00F77322" w:rsidRPr="0098660A" w14:paraId="38A58DBC" w14:textId="77777777" w:rsidTr="0088665C">
        <w:tc>
          <w:tcPr>
            <w:tcW w:w="1886" w:type="pct"/>
            <w:vAlign w:val="center"/>
          </w:tcPr>
          <w:p w14:paraId="5891EB42" w14:textId="77777777" w:rsidR="004B6CB4" w:rsidRPr="0098660A" w:rsidRDefault="004B6CB4" w:rsidP="004B6CB4">
            <w:pPr>
              <w:widowControl w:val="0"/>
              <w:jc w:val="left"/>
              <w:rPr>
                <w:rFonts w:ascii="Arial Narrow" w:eastAsia="MS Gothic" w:hAnsi="Arial Narrow" w:cs="Times New Roman"/>
                <w:sz w:val="20"/>
              </w:rPr>
            </w:pPr>
            <w:r w:rsidRPr="0098660A">
              <w:rPr>
                <w:rFonts w:ascii="Arial Narrow" w:eastAsia="MS Gothic" w:hAnsi="Arial Narrow" w:cs="Times New Roman"/>
                <w:sz w:val="20"/>
              </w:rPr>
              <w:t>Transfusion required or decrease of Hb &gt; 2 g/dL (%)</w:t>
            </w:r>
          </w:p>
        </w:tc>
        <w:tc>
          <w:tcPr>
            <w:tcW w:w="1626" w:type="pct"/>
            <w:vAlign w:val="center"/>
          </w:tcPr>
          <w:p w14:paraId="70FB39CF"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4 (11.4)</w:t>
            </w:r>
          </w:p>
        </w:tc>
        <w:tc>
          <w:tcPr>
            <w:tcW w:w="1488" w:type="pct"/>
            <w:vAlign w:val="center"/>
          </w:tcPr>
          <w:p w14:paraId="70E5BD8C"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18 (100)</w:t>
            </w:r>
          </w:p>
        </w:tc>
      </w:tr>
      <w:tr w:rsidR="00F77322" w:rsidRPr="0098660A" w14:paraId="6A36FD60" w14:textId="77777777" w:rsidTr="0088665C">
        <w:tc>
          <w:tcPr>
            <w:tcW w:w="1886" w:type="pct"/>
            <w:vAlign w:val="center"/>
          </w:tcPr>
          <w:p w14:paraId="423B3219" w14:textId="77777777" w:rsidR="004B6CB4" w:rsidRPr="0098660A" w:rsidRDefault="004B6CB4" w:rsidP="004B6CB4">
            <w:pPr>
              <w:widowControl w:val="0"/>
              <w:ind w:left="180"/>
              <w:jc w:val="left"/>
              <w:rPr>
                <w:rFonts w:ascii="Arial Narrow" w:eastAsia="MS Gothic" w:hAnsi="Arial Narrow" w:cs="Times New Roman"/>
                <w:sz w:val="20"/>
              </w:rPr>
            </w:pPr>
            <w:proofErr w:type="spellStart"/>
            <w:r w:rsidRPr="0098660A">
              <w:rPr>
                <w:rFonts w:ascii="Arial Narrow" w:eastAsia="MS Gothic" w:hAnsi="Arial Narrow" w:cs="Times New Roman"/>
                <w:sz w:val="20"/>
              </w:rPr>
              <w:t>Difference</w:t>
            </w:r>
            <w:r w:rsidRPr="0098660A">
              <w:rPr>
                <w:rFonts w:ascii="Arial Narrow" w:eastAsia="MS Gothic" w:hAnsi="Arial Narrow" w:cs="Times New Roman"/>
                <w:sz w:val="20"/>
                <w:vertAlign w:val="superscript"/>
              </w:rPr>
              <w:t>b</w:t>
            </w:r>
            <w:proofErr w:type="spellEnd"/>
            <w:r w:rsidRPr="0098660A">
              <w:rPr>
                <w:rFonts w:ascii="Arial Narrow" w:eastAsia="MS Gothic" w:hAnsi="Arial Narrow" w:cs="Times New Roman"/>
                <w:sz w:val="20"/>
              </w:rPr>
              <w:t xml:space="preserve"> (95% CI)</w:t>
            </w:r>
          </w:p>
        </w:tc>
        <w:tc>
          <w:tcPr>
            <w:tcW w:w="3114" w:type="pct"/>
            <w:gridSpan w:val="2"/>
            <w:vAlign w:val="center"/>
          </w:tcPr>
          <w:p w14:paraId="73FDC9E3"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-75% (-90.4, -59.7)</w:t>
            </w:r>
          </w:p>
        </w:tc>
      </w:tr>
      <w:tr w:rsidR="00F77322" w:rsidRPr="0098660A" w14:paraId="36220C94" w14:textId="77777777" w:rsidTr="0088665C">
        <w:tc>
          <w:tcPr>
            <w:tcW w:w="1886" w:type="pct"/>
            <w:vAlign w:val="center"/>
          </w:tcPr>
          <w:p w14:paraId="5AA34C13" w14:textId="77777777" w:rsidR="004B6CB4" w:rsidRPr="0098660A" w:rsidRDefault="004B6CB4" w:rsidP="004B6CB4">
            <w:pPr>
              <w:widowControl w:val="0"/>
              <w:ind w:left="180"/>
              <w:jc w:val="left"/>
              <w:rPr>
                <w:rFonts w:ascii="Arial Narrow" w:eastAsia="MS Gothic" w:hAnsi="Arial Narrow" w:cs="Times New Roman"/>
                <w:sz w:val="20"/>
              </w:rPr>
            </w:pPr>
            <w:r w:rsidRPr="0098660A">
              <w:rPr>
                <w:rFonts w:ascii="Arial Narrow" w:eastAsia="MS Gothic" w:hAnsi="Arial Narrow" w:cs="Times New Roman"/>
                <w:sz w:val="20"/>
              </w:rPr>
              <w:t>p-value</w:t>
            </w:r>
          </w:p>
        </w:tc>
        <w:tc>
          <w:tcPr>
            <w:tcW w:w="3114" w:type="pct"/>
            <w:gridSpan w:val="2"/>
            <w:vAlign w:val="center"/>
          </w:tcPr>
          <w:p w14:paraId="45AA6CF0"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&lt; 0.0001</w:t>
            </w:r>
          </w:p>
        </w:tc>
      </w:tr>
      <w:tr w:rsidR="00F77322" w:rsidRPr="0098660A" w14:paraId="29F9B633" w14:textId="77777777" w:rsidTr="0088665C">
        <w:tc>
          <w:tcPr>
            <w:tcW w:w="1886" w:type="pct"/>
            <w:vAlign w:val="center"/>
          </w:tcPr>
          <w:p w14:paraId="534957FD" w14:textId="194712D6" w:rsidR="004B6CB4" w:rsidRPr="0098660A" w:rsidRDefault="004B6CB4" w:rsidP="004B6CB4">
            <w:pPr>
              <w:widowControl w:val="0"/>
              <w:jc w:val="left"/>
              <w:rPr>
                <w:rFonts w:ascii="Arial Narrow" w:eastAsia="MS Gothic" w:hAnsi="Arial Narrow" w:cs="Times New Roman"/>
                <w:sz w:val="20"/>
              </w:rPr>
            </w:pPr>
            <w:r w:rsidRPr="0098660A">
              <w:rPr>
                <w:rFonts w:ascii="Arial Narrow" w:eastAsia="MS Gothic" w:hAnsi="Arial Narrow" w:cs="Times New Roman"/>
                <w:sz w:val="20"/>
              </w:rPr>
              <w:t xml:space="preserve">Median (SD) number of PRBC units transfused during the </w:t>
            </w:r>
            <w:r w:rsidR="00AA25F6" w:rsidRPr="0098660A">
              <w:rPr>
                <w:rFonts w:ascii="Arial Narrow" w:eastAsia="MS Gothic" w:hAnsi="Arial Narrow" w:cs="Times New Roman"/>
                <w:sz w:val="20"/>
              </w:rPr>
              <w:t>26-week</w:t>
            </w:r>
            <w:r w:rsidRPr="0098660A">
              <w:rPr>
                <w:rFonts w:ascii="Arial Narrow" w:eastAsia="MS Gothic" w:hAnsi="Arial Narrow" w:cs="Times New Roman"/>
                <w:sz w:val="20"/>
              </w:rPr>
              <w:t xml:space="preserve"> period</w:t>
            </w:r>
          </w:p>
        </w:tc>
        <w:tc>
          <w:tcPr>
            <w:tcW w:w="1626" w:type="pct"/>
            <w:vAlign w:val="center"/>
          </w:tcPr>
          <w:p w14:paraId="3FC17707"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0</w:t>
            </w:r>
          </w:p>
        </w:tc>
        <w:tc>
          <w:tcPr>
            <w:tcW w:w="1488" w:type="pct"/>
            <w:vAlign w:val="center"/>
          </w:tcPr>
          <w:p w14:paraId="7C001384"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3.0</w:t>
            </w:r>
          </w:p>
        </w:tc>
      </w:tr>
      <w:tr w:rsidR="00F77322" w:rsidRPr="0098660A" w14:paraId="1B28C456" w14:textId="77777777" w:rsidTr="0088665C">
        <w:tc>
          <w:tcPr>
            <w:tcW w:w="1886" w:type="pct"/>
            <w:vAlign w:val="center"/>
          </w:tcPr>
          <w:p w14:paraId="6BCF971E" w14:textId="77777777" w:rsidR="004B6CB4" w:rsidRPr="0098660A" w:rsidRDefault="004B6CB4" w:rsidP="004B6CB4">
            <w:pPr>
              <w:widowControl w:val="0"/>
              <w:ind w:left="180"/>
              <w:jc w:val="left"/>
              <w:rPr>
                <w:rFonts w:ascii="Arial Narrow" w:eastAsia="MS Gothic" w:hAnsi="Arial Narrow" w:cs="Times New Roman"/>
                <w:sz w:val="20"/>
              </w:rPr>
            </w:pPr>
            <w:proofErr w:type="spellStart"/>
            <w:r w:rsidRPr="0098660A">
              <w:rPr>
                <w:rFonts w:ascii="Arial Narrow" w:eastAsia="MS Gothic" w:hAnsi="Arial Narrow" w:cs="Times New Roman"/>
                <w:sz w:val="20"/>
              </w:rPr>
              <w:t>Difference</w:t>
            </w:r>
            <w:r w:rsidRPr="0098660A">
              <w:rPr>
                <w:rFonts w:ascii="Arial Narrow" w:eastAsia="MS Gothic" w:hAnsi="Arial Narrow" w:cs="Times New Roman"/>
                <w:sz w:val="20"/>
                <w:vertAlign w:val="superscript"/>
              </w:rPr>
              <w:t>b</w:t>
            </w:r>
            <w:proofErr w:type="spellEnd"/>
            <w:r w:rsidRPr="0098660A">
              <w:rPr>
                <w:rFonts w:ascii="Arial Narrow" w:eastAsia="MS Gothic" w:hAnsi="Arial Narrow" w:cs="Times New Roman"/>
                <w:sz w:val="20"/>
              </w:rPr>
              <w:t xml:space="preserve"> (95% CI)</w:t>
            </w:r>
          </w:p>
        </w:tc>
        <w:tc>
          <w:tcPr>
            <w:tcW w:w="3114" w:type="pct"/>
            <w:gridSpan w:val="2"/>
            <w:vAlign w:val="center"/>
          </w:tcPr>
          <w:p w14:paraId="15E55CE0"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3.0 (2.0, 4.0)</w:t>
            </w:r>
          </w:p>
        </w:tc>
      </w:tr>
      <w:tr w:rsidR="00F77322" w:rsidRPr="0098660A" w14:paraId="7D527493" w14:textId="77777777" w:rsidTr="0088665C">
        <w:tc>
          <w:tcPr>
            <w:tcW w:w="1886" w:type="pct"/>
            <w:vAlign w:val="center"/>
          </w:tcPr>
          <w:p w14:paraId="0600CB3F" w14:textId="77777777" w:rsidR="004B6CB4" w:rsidRPr="0098660A" w:rsidRDefault="004B6CB4" w:rsidP="004B6CB4">
            <w:pPr>
              <w:widowControl w:val="0"/>
              <w:ind w:left="180"/>
              <w:jc w:val="left"/>
              <w:rPr>
                <w:rFonts w:ascii="Arial Narrow" w:eastAsia="MS Gothic" w:hAnsi="Arial Narrow" w:cs="Times New Roman"/>
                <w:sz w:val="20"/>
              </w:rPr>
            </w:pPr>
            <w:r w:rsidRPr="0098660A">
              <w:rPr>
                <w:rFonts w:ascii="Arial Narrow" w:eastAsia="MS Gothic" w:hAnsi="Arial Narrow" w:cs="Times New Roman"/>
                <w:sz w:val="20"/>
              </w:rPr>
              <w:t>p-value</w:t>
            </w:r>
          </w:p>
        </w:tc>
        <w:tc>
          <w:tcPr>
            <w:tcW w:w="3114" w:type="pct"/>
            <w:gridSpan w:val="2"/>
            <w:vAlign w:val="center"/>
          </w:tcPr>
          <w:p w14:paraId="6781E59C"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&lt; 0.0001</w:t>
            </w:r>
          </w:p>
        </w:tc>
      </w:tr>
      <w:tr w:rsidR="00F77322" w:rsidRPr="0098660A" w14:paraId="240BFF57" w14:textId="77777777" w:rsidTr="0088665C">
        <w:tc>
          <w:tcPr>
            <w:tcW w:w="1886" w:type="pct"/>
            <w:vAlign w:val="center"/>
          </w:tcPr>
          <w:p w14:paraId="5F4F229D" w14:textId="77777777" w:rsidR="004B6CB4" w:rsidRPr="0098660A" w:rsidRDefault="004B6CB4" w:rsidP="004B6CB4">
            <w:pPr>
              <w:widowControl w:val="0"/>
              <w:jc w:val="left"/>
              <w:rPr>
                <w:rFonts w:ascii="Arial Narrow" w:eastAsia="MS Gothic" w:hAnsi="Arial Narrow" w:cs="Times New Roman"/>
                <w:sz w:val="20"/>
              </w:rPr>
            </w:pPr>
            <w:r w:rsidRPr="0098660A">
              <w:rPr>
                <w:rFonts w:ascii="Arial Narrow" w:eastAsia="MS Gothic" w:hAnsi="Arial Narrow" w:cs="Times New Roman"/>
                <w:sz w:val="20"/>
              </w:rPr>
              <w:t>Normalisation of Hb level at Week 26</w:t>
            </w:r>
            <w:r w:rsidRPr="0098660A">
              <w:rPr>
                <w:rFonts w:ascii="Arial Narrow" w:eastAsia="MS Gothic" w:hAnsi="Arial Narrow" w:cs="Times New Roman"/>
                <w:sz w:val="20"/>
                <w:vertAlign w:val="superscript"/>
              </w:rPr>
              <w:t>f</w:t>
            </w:r>
            <w:r w:rsidRPr="0098660A">
              <w:rPr>
                <w:rFonts w:ascii="Arial Narrow" w:eastAsia="MS Gothic" w:hAnsi="Arial Narrow" w:cs="Times New Roman"/>
                <w:sz w:val="20"/>
              </w:rPr>
              <w:t xml:space="preserve"> (%)</w:t>
            </w:r>
          </w:p>
        </w:tc>
        <w:tc>
          <w:tcPr>
            <w:tcW w:w="1626" w:type="pct"/>
            <w:vAlign w:val="center"/>
          </w:tcPr>
          <w:p w14:paraId="79EFBA92"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16 (45.7)</w:t>
            </w:r>
          </w:p>
        </w:tc>
        <w:tc>
          <w:tcPr>
            <w:tcW w:w="1488" w:type="pct"/>
            <w:vAlign w:val="center"/>
          </w:tcPr>
          <w:p w14:paraId="7CD57590"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0</w:t>
            </w:r>
          </w:p>
        </w:tc>
      </w:tr>
      <w:tr w:rsidR="00F77322" w:rsidRPr="0098660A" w14:paraId="050E7534" w14:textId="77777777" w:rsidTr="0088665C">
        <w:tc>
          <w:tcPr>
            <w:tcW w:w="1886" w:type="pct"/>
            <w:vAlign w:val="center"/>
          </w:tcPr>
          <w:p w14:paraId="7B4F60FA" w14:textId="77777777" w:rsidR="004B6CB4" w:rsidRPr="0098660A" w:rsidRDefault="004B6CB4" w:rsidP="004B6CB4">
            <w:pPr>
              <w:widowControl w:val="0"/>
              <w:ind w:left="180"/>
              <w:jc w:val="left"/>
              <w:rPr>
                <w:rFonts w:ascii="Arial Narrow" w:eastAsia="MS Gothic" w:hAnsi="Arial Narrow" w:cs="Times New Roman"/>
                <w:sz w:val="20"/>
              </w:rPr>
            </w:pPr>
            <w:proofErr w:type="spellStart"/>
            <w:r w:rsidRPr="0098660A">
              <w:rPr>
                <w:rFonts w:ascii="Arial Narrow" w:eastAsia="MS Gothic" w:hAnsi="Arial Narrow" w:cs="Times New Roman"/>
                <w:sz w:val="20"/>
              </w:rPr>
              <w:lastRenderedPageBreak/>
              <w:t>Difference</w:t>
            </w:r>
            <w:r w:rsidRPr="0098660A">
              <w:rPr>
                <w:rFonts w:ascii="Arial Narrow" w:eastAsia="MS Gothic" w:hAnsi="Arial Narrow" w:cs="Times New Roman"/>
                <w:sz w:val="20"/>
                <w:vertAlign w:val="superscript"/>
              </w:rPr>
              <w:t>b</w:t>
            </w:r>
            <w:proofErr w:type="spellEnd"/>
            <w:r w:rsidRPr="0098660A">
              <w:rPr>
                <w:rFonts w:ascii="Arial Narrow" w:eastAsia="MS Gothic" w:hAnsi="Arial Narrow" w:cs="Times New Roman"/>
                <w:sz w:val="20"/>
              </w:rPr>
              <w:t xml:space="preserve"> (95% CI)</w:t>
            </w:r>
          </w:p>
        </w:tc>
        <w:tc>
          <w:tcPr>
            <w:tcW w:w="3114" w:type="pct"/>
            <w:gridSpan w:val="2"/>
            <w:vAlign w:val="center"/>
          </w:tcPr>
          <w:p w14:paraId="2F4855C0"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36.5% (16.5, 56.4)</w:t>
            </w:r>
          </w:p>
        </w:tc>
      </w:tr>
      <w:tr w:rsidR="00F77322" w:rsidRPr="0098660A" w14:paraId="2DC82AE4" w14:textId="77777777" w:rsidTr="0088665C">
        <w:tc>
          <w:tcPr>
            <w:tcW w:w="1886" w:type="pct"/>
            <w:vAlign w:val="center"/>
          </w:tcPr>
          <w:p w14:paraId="16B30630" w14:textId="77777777" w:rsidR="004B6CB4" w:rsidRPr="0098660A" w:rsidRDefault="004B6CB4" w:rsidP="004B6CB4">
            <w:pPr>
              <w:widowControl w:val="0"/>
              <w:jc w:val="left"/>
              <w:rPr>
                <w:rFonts w:ascii="Arial Narrow" w:eastAsia="MS Gothic" w:hAnsi="Arial Narrow" w:cs="Times New Roman"/>
                <w:sz w:val="20"/>
              </w:rPr>
            </w:pPr>
            <w:r w:rsidRPr="0098660A">
              <w:rPr>
                <w:rFonts w:ascii="Arial Narrow" w:eastAsia="MS Gothic" w:hAnsi="Arial Narrow" w:cs="Times New Roman"/>
                <w:sz w:val="20"/>
              </w:rPr>
              <w:t>Normalisation of ARC at Week 26</w:t>
            </w:r>
            <w:r w:rsidRPr="0098660A">
              <w:rPr>
                <w:rFonts w:ascii="Arial Narrow" w:eastAsia="MS Gothic" w:hAnsi="Arial Narrow" w:cs="Times New Roman"/>
                <w:sz w:val="20"/>
                <w:vertAlign w:val="superscript"/>
              </w:rPr>
              <w:t xml:space="preserve">f,g </w:t>
            </w:r>
            <w:r w:rsidRPr="0098660A">
              <w:rPr>
                <w:rFonts w:ascii="Arial Narrow" w:eastAsia="MS Gothic" w:hAnsi="Arial Narrow" w:cs="Times New Roman"/>
                <w:sz w:val="20"/>
              </w:rPr>
              <w:t>(%)</w:t>
            </w:r>
          </w:p>
        </w:tc>
        <w:tc>
          <w:tcPr>
            <w:tcW w:w="1626" w:type="pct"/>
            <w:vAlign w:val="center"/>
          </w:tcPr>
          <w:p w14:paraId="6D011F0D"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21 (60%)</w:t>
            </w:r>
          </w:p>
        </w:tc>
        <w:tc>
          <w:tcPr>
            <w:tcW w:w="1488" w:type="pct"/>
            <w:vAlign w:val="center"/>
          </w:tcPr>
          <w:p w14:paraId="5F1117BA"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1 (5.6)</w:t>
            </w:r>
          </w:p>
        </w:tc>
      </w:tr>
      <w:tr w:rsidR="00F77322" w:rsidRPr="0098660A" w14:paraId="2700A68F" w14:textId="77777777" w:rsidTr="0088665C">
        <w:tc>
          <w:tcPr>
            <w:tcW w:w="1886" w:type="pct"/>
            <w:vAlign w:val="center"/>
          </w:tcPr>
          <w:p w14:paraId="73222B04" w14:textId="77777777" w:rsidR="004B6CB4" w:rsidRPr="0098660A" w:rsidRDefault="004B6CB4" w:rsidP="004B6CB4">
            <w:pPr>
              <w:widowControl w:val="0"/>
              <w:ind w:left="180"/>
              <w:jc w:val="left"/>
              <w:rPr>
                <w:rFonts w:ascii="Arial Narrow" w:eastAsia="MS Gothic" w:hAnsi="Arial Narrow" w:cs="Times New Roman"/>
                <w:sz w:val="20"/>
              </w:rPr>
            </w:pPr>
            <w:proofErr w:type="spellStart"/>
            <w:r w:rsidRPr="0098660A">
              <w:rPr>
                <w:rFonts w:ascii="Arial Narrow" w:eastAsia="MS Gothic" w:hAnsi="Arial Narrow" w:cs="Times New Roman"/>
                <w:sz w:val="20"/>
              </w:rPr>
              <w:t>Difference</w:t>
            </w:r>
            <w:r w:rsidRPr="0098660A">
              <w:rPr>
                <w:rFonts w:ascii="Arial Narrow" w:eastAsia="MS Gothic" w:hAnsi="Arial Narrow" w:cs="Times New Roman"/>
                <w:sz w:val="20"/>
                <w:vertAlign w:val="superscript"/>
              </w:rPr>
              <w:t>b</w:t>
            </w:r>
            <w:proofErr w:type="spellEnd"/>
            <w:r w:rsidRPr="0098660A">
              <w:rPr>
                <w:rFonts w:ascii="Arial Narrow" w:eastAsia="MS Gothic" w:hAnsi="Arial Narrow" w:cs="Times New Roman"/>
                <w:sz w:val="20"/>
              </w:rPr>
              <w:t xml:space="preserve"> (95% CI)</w:t>
            </w:r>
          </w:p>
        </w:tc>
        <w:tc>
          <w:tcPr>
            <w:tcW w:w="3114" w:type="pct"/>
            <w:gridSpan w:val="2"/>
            <w:vAlign w:val="center"/>
          </w:tcPr>
          <w:p w14:paraId="00D92F85"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46.3% (25.29, 67.50)</w:t>
            </w:r>
          </w:p>
        </w:tc>
      </w:tr>
      <w:tr w:rsidR="00F77322" w:rsidRPr="0098660A" w14:paraId="7B5FAB9E" w14:textId="77777777" w:rsidTr="0088665C">
        <w:tc>
          <w:tcPr>
            <w:tcW w:w="1886" w:type="pct"/>
          </w:tcPr>
          <w:p w14:paraId="5F0279FD" w14:textId="77777777" w:rsidR="004B6CB4" w:rsidRPr="0098660A" w:rsidRDefault="004B6CB4" w:rsidP="004B6CB4">
            <w:pPr>
              <w:widowControl w:val="0"/>
              <w:ind w:right="-113"/>
              <w:jc w:val="left"/>
              <w:rPr>
                <w:rFonts w:ascii="Arial Narrow" w:eastAsia="MS Gothic" w:hAnsi="Arial Narrow" w:cs="Times New Roman"/>
                <w:sz w:val="20"/>
              </w:rPr>
            </w:pPr>
            <w:r w:rsidRPr="0098660A">
              <w:rPr>
                <w:rFonts w:ascii="Arial Narrow" w:eastAsia="MS Gothic" w:hAnsi="Arial Narrow" w:cs="Times New Roman"/>
                <w:sz w:val="20"/>
              </w:rPr>
              <w:t>Normalisation of LDH level at Week 26</w:t>
            </w:r>
            <w:r w:rsidRPr="0098660A">
              <w:rPr>
                <w:rFonts w:ascii="Arial Narrow" w:eastAsia="MS Gothic" w:hAnsi="Arial Narrow" w:cs="Times New Roman"/>
                <w:sz w:val="20"/>
                <w:vertAlign w:val="superscript"/>
              </w:rPr>
              <w:t>f,h</w:t>
            </w:r>
            <w:r w:rsidRPr="0098660A">
              <w:rPr>
                <w:rFonts w:ascii="Arial Narrow" w:eastAsia="MS Gothic" w:hAnsi="Arial Narrow" w:cs="Times New Roman"/>
                <w:sz w:val="20"/>
              </w:rPr>
              <w:t xml:space="preserve"> (%)</w:t>
            </w:r>
          </w:p>
        </w:tc>
        <w:tc>
          <w:tcPr>
            <w:tcW w:w="1626" w:type="pct"/>
            <w:vAlign w:val="center"/>
          </w:tcPr>
          <w:p w14:paraId="7D0ED388"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23 (65.7)</w:t>
            </w:r>
          </w:p>
        </w:tc>
        <w:tc>
          <w:tcPr>
            <w:tcW w:w="1488" w:type="pct"/>
            <w:vAlign w:val="center"/>
          </w:tcPr>
          <w:p w14:paraId="3CD6113A"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0</w:t>
            </w:r>
          </w:p>
        </w:tc>
      </w:tr>
      <w:tr w:rsidR="00F77322" w:rsidRPr="0098660A" w14:paraId="6AE739A3" w14:textId="77777777" w:rsidTr="0088665C">
        <w:tc>
          <w:tcPr>
            <w:tcW w:w="1886" w:type="pct"/>
            <w:vAlign w:val="center"/>
          </w:tcPr>
          <w:p w14:paraId="2047CC87" w14:textId="77777777" w:rsidR="004B6CB4" w:rsidRPr="0098660A" w:rsidRDefault="004B6CB4" w:rsidP="004B6CB4">
            <w:pPr>
              <w:widowControl w:val="0"/>
              <w:ind w:left="142"/>
              <w:jc w:val="left"/>
              <w:rPr>
                <w:rFonts w:ascii="Arial Narrow" w:eastAsia="MS Gothic" w:hAnsi="Arial Narrow" w:cs="Times New Roman"/>
                <w:sz w:val="20"/>
              </w:rPr>
            </w:pPr>
            <w:r w:rsidRPr="0098660A">
              <w:rPr>
                <w:rFonts w:ascii="Arial Narrow" w:eastAsia="MS Gothic" w:hAnsi="Arial Narrow" w:cs="Times New Roman"/>
                <w:sz w:val="20"/>
              </w:rPr>
              <w:t>Difference (95% CI)</w:t>
            </w:r>
          </w:p>
        </w:tc>
        <w:tc>
          <w:tcPr>
            <w:tcW w:w="3114" w:type="pct"/>
            <w:gridSpan w:val="2"/>
            <w:vAlign w:val="center"/>
          </w:tcPr>
          <w:p w14:paraId="7D7E21E5"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55.9% (36.82, 75.02)</w:t>
            </w:r>
          </w:p>
        </w:tc>
      </w:tr>
      <w:tr w:rsidR="00F77322" w:rsidRPr="0098660A" w14:paraId="37ABF33D" w14:textId="77777777" w:rsidTr="0088665C">
        <w:tc>
          <w:tcPr>
            <w:tcW w:w="1886" w:type="pct"/>
            <w:vAlign w:val="center"/>
          </w:tcPr>
          <w:p w14:paraId="439B0E56" w14:textId="77777777" w:rsidR="004B6CB4" w:rsidRPr="0098660A" w:rsidRDefault="004B6CB4" w:rsidP="004B6CB4">
            <w:pPr>
              <w:widowControl w:val="0"/>
              <w:jc w:val="left"/>
              <w:rPr>
                <w:rFonts w:ascii="Arial Narrow" w:eastAsia="MS Gothic" w:hAnsi="Arial Narrow" w:cs="Times New Roman"/>
                <w:sz w:val="20"/>
              </w:rPr>
            </w:pPr>
            <w:r w:rsidRPr="0098660A">
              <w:rPr>
                <w:rFonts w:ascii="Arial Narrow" w:eastAsia="MS Gothic" w:hAnsi="Arial Narrow" w:cs="Times New Roman"/>
                <w:sz w:val="20"/>
              </w:rPr>
              <w:t xml:space="preserve">Change in FACIT-Fatigue Scale score at Week 26 from </w:t>
            </w:r>
            <w:proofErr w:type="spellStart"/>
            <w:r w:rsidRPr="0098660A">
              <w:rPr>
                <w:rFonts w:ascii="Arial Narrow" w:eastAsia="MS Gothic" w:hAnsi="Arial Narrow" w:cs="Times New Roman"/>
                <w:sz w:val="20"/>
              </w:rPr>
              <w:t>baseline</w:t>
            </w:r>
            <w:r w:rsidRPr="0098660A">
              <w:rPr>
                <w:rFonts w:ascii="Arial Narrow" w:eastAsia="MS Gothic" w:hAnsi="Arial Narrow" w:cs="Times New Roman"/>
                <w:sz w:val="20"/>
                <w:vertAlign w:val="superscript"/>
              </w:rPr>
              <w:t>e</w:t>
            </w:r>
            <w:proofErr w:type="spellEnd"/>
            <w:r w:rsidRPr="0098660A">
              <w:rPr>
                <w:rFonts w:ascii="Arial Narrow" w:eastAsia="MS Gothic" w:hAnsi="Arial Narrow" w:cs="Times New Roman"/>
                <w:sz w:val="20"/>
              </w:rPr>
              <w:t xml:space="preserve"> (LS mean [SE])</w:t>
            </w:r>
          </w:p>
        </w:tc>
        <w:tc>
          <w:tcPr>
            <w:tcW w:w="1626" w:type="pct"/>
            <w:vAlign w:val="center"/>
          </w:tcPr>
          <w:p w14:paraId="2E81D747"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7.78 (1.21)</w:t>
            </w:r>
          </w:p>
        </w:tc>
        <w:tc>
          <w:tcPr>
            <w:tcW w:w="1488" w:type="pct"/>
            <w:vAlign w:val="center"/>
          </w:tcPr>
          <w:p w14:paraId="462C970F"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3.26 (2.11)</w:t>
            </w:r>
          </w:p>
        </w:tc>
      </w:tr>
      <w:tr w:rsidR="00F77322" w:rsidRPr="0098660A" w14:paraId="66346E34" w14:textId="77777777" w:rsidTr="0088665C">
        <w:tc>
          <w:tcPr>
            <w:tcW w:w="1886" w:type="pct"/>
            <w:vAlign w:val="center"/>
          </w:tcPr>
          <w:p w14:paraId="5A9F4E5D" w14:textId="77777777" w:rsidR="004B6CB4" w:rsidRPr="0098660A" w:rsidRDefault="004B6CB4" w:rsidP="004B6CB4">
            <w:pPr>
              <w:widowControl w:val="0"/>
              <w:ind w:left="142"/>
              <w:jc w:val="left"/>
              <w:rPr>
                <w:rFonts w:ascii="Arial Narrow" w:eastAsia="MS Gothic" w:hAnsi="Arial Narrow" w:cs="Times New Roman"/>
                <w:sz w:val="20"/>
              </w:rPr>
            </w:pPr>
            <w:proofErr w:type="spellStart"/>
            <w:r w:rsidRPr="0098660A">
              <w:rPr>
                <w:rFonts w:ascii="Arial Narrow" w:eastAsia="MS Gothic" w:hAnsi="Arial Narrow" w:cs="Times New Roman"/>
                <w:sz w:val="20"/>
              </w:rPr>
              <w:t>Difference</w:t>
            </w:r>
            <w:r w:rsidRPr="0098660A">
              <w:rPr>
                <w:rFonts w:ascii="Arial Narrow" w:eastAsia="MS Gothic" w:hAnsi="Arial Narrow" w:cs="Times New Roman"/>
                <w:sz w:val="20"/>
                <w:vertAlign w:val="superscript"/>
              </w:rPr>
              <w:t>b</w:t>
            </w:r>
            <w:proofErr w:type="spellEnd"/>
            <w:r w:rsidRPr="0098660A">
              <w:rPr>
                <w:rFonts w:ascii="Arial Narrow" w:eastAsia="MS Gothic" w:hAnsi="Arial Narrow" w:cs="Times New Roman"/>
                <w:sz w:val="20"/>
              </w:rPr>
              <w:t xml:space="preserve"> (95% CI)</w:t>
            </w:r>
          </w:p>
        </w:tc>
        <w:tc>
          <w:tcPr>
            <w:tcW w:w="3114" w:type="pct"/>
            <w:gridSpan w:val="2"/>
            <w:vAlign w:val="center"/>
          </w:tcPr>
          <w:p w14:paraId="2C8E3282"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4.51 (-0.21, 9.24)</w:t>
            </w:r>
          </w:p>
        </w:tc>
      </w:tr>
      <w:tr w:rsidR="00F77322" w:rsidRPr="0098660A" w14:paraId="7969814E" w14:textId="77777777" w:rsidTr="0088665C">
        <w:tc>
          <w:tcPr>
            <w:tcW w:w="1886" w:type="pct"/>
            <w:vAlign w:val="center"/>
          </w:tcPr>
          <w:p w14:paraId="0474BDF3" w14:textId="77777777" w:rsidR="004B6CB4" w:rsidRPr="0098660A" w:rsidRDefault="004B6CB4" w:rsidP="004B6CB4">
            <w:pPr>
              <w:widowControl w:val="0"/>
              <w:ind w:left="142"/>
              <w:jc w:val="left"/>
              <w:rPr>
                <w:rFonts w:ascii="Arial Narrow" w:eastAsia="MS Gothic" w:hAnsi="Arial Narrow" w:cs="Times New Roman"/>
                <w:sz w:val="20"/>
              </w:rPr>
            </w:pPr>
            <w:r w:rsidRPr="0098660A">
              <w:rPr>
                <w:rFonts w:ascii="Arial Narrow" w:eastAsia="MS Gothic" w:hAnsi="Arial Narrow" w:cs="Times New Roman"/>
                <w:sz w:val="20"/>
              </w:rPr>
              <w:t>p-value</w:t>
            </w:r>
          </w:p>
        </w:tc>
        <w:tc>
          <w:tcPr>
            <w:tcW w:w="3114" w:type="pct"/>
            <w:gridSpan w:val="2"/>
            <w:vAlign w:val="center"/>
          </w:tcPr>
          <w:p w14:paraId="0DA7CCD3"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0.0610</w:t>
            </w:r>
          </w:p>
        </w:tc>
      </w:tr>
      <w:tr w:rsidR="00F77322" w:rsidRPr="0098660A" w14:paraId="14BAB0E3" w14:textId="77777777" w:rsidTr="0088665C">
        <w:tc>
          <w:tcPr>
            <w:tcW w:w="1886" w:type="pct"/>
            <w:vAlign w:val="center"/>
          </w:tcPr>
          <w:p w14:paraId="5F92988D" w14:textId="77777777" w:rsidR="004B6CB4" w:rsidRPr="0098660A" w:rsidRDefault="004B6CB4" w:rsidP="004B6CB4">
            <w:pPr>
              <w:widowControl w:val="0"/>
              <w:ind w:left="142"/>
              <w:jc w:val="left"/>
              <w:rPr>
                <w:rFonts w:ascii="Arial Narrow" w:eastAsia="MS Gothic" w:hAnsi="Arial Narrow" w:cs="Times New Roman"/>
                <w:sz w:val="20"/>
              </w:rPr>
            </w:pPr>
            <w:r w:rsidRPr="0098660A">
              <w:rPr>
                <w:rFonts w:ascii="Arial Narrow" w:eastAsia="MS Gothic" w:hAnsi="Arial Narrow" w:cs="Times New Roman"/>
                <w:sz w:val="20"/>
              </w:rPr>
              <w:t>Patients achieved ≥ 3 points improvement at Week 26 (%)</w:t>
            </w:r>
          </w:p>
        </w:tc>
        <w:tc>
          <w:tcPr>
            <w:tcW w:w="1626" w:type="pct"/>
            <w:vAlign w:val="center"/>
          </w:tcPr>
          <w:p w14:paraId="15F345F2"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21 (60)</w:t>
            </w:r>
          </w:p>
        </w:tc>
        <w:tc>
          <w:tcPr>
            <w:tcW w:w="1488" w:type="pct"/>
            <w:vAlign w:val="center"/>
          </w:tcPr>
          <w:p w14:paraId="30CF1DE5"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2 (11.1)</w:t>
            </w:r>
          </w:p>
        </w:tc>
      </w:tr>
      <w:tr w:rsidR="00F77322" w:rsidRPr="0098660A" w14:paraId="59CD2BBB" w14:textId="77777777" w:rsidTr="0088665C">
        <w:tc>
          <w:tcPr>
            <w:tcW w:w="1886" w:type="pct"/>
            <w:vAlign w:val="center"/>
          </w:tcPr>
          <w:p w14:paraId="5920AE02" w14:textId="77777777" w:rsidR="004B6CB4" w:rsidRPr="0098660A" w:rsidRDefault="004B6CB4" w:rsidP="004B6CB4">
            <w:pPr>
              <w:widowControl w:val="0"/>
              <w:jc w:val="left"/>
              <w:rPr>
                <w:rFonts w:ascii="Arial Narrow" w:eastAsia="MS Gothic" w:hAnsi="Arial Narrow" w:cs="Times New Roman"/>
                <w:sz w:val="20"/>
              </w:rPr>
            </w:pPr>
            <w:r w:rsidRPr="0098660A">
              <w:rPr>
                <w:rFonts w:ascii="Arial Narrow" w:eastAsia="MS Gothic" w:hAnsi="Arial Narrow" w:cs="Times New Roman"/>
                <w:sz w:val="20"/>
              </w:rPr>
              <w:t>Change in EORTC QLQ-C30 score from baseline (LS mean [SE]) (improvement)</w:t>
            </w:r>
          </w:p>
        </w:tc>
        <w:tc>
          <w:tcPr>
            <w:tcW w:w="1626" w:type="pct"/>
            <w:vAlign w:val="center"/>
          </w:tcPr>
          <w:p w14:paraId="55C06FBF"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18.90 (2.91)</w:t>
            </w:r>
          </w:p>
        </w:tc>
        <w:tc>
          <w:tcPr>
            <w:tcW w:w="1488" w:type="pct"/>
            <w:vAlign w:val="center"/>
          </w:tcPr>
          <w:p w14:paraId="528BD73D"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-2.85 (5.70)</w:t>
            </w:r>
          </w:p>
        </w:tc>
      </w:tr>
      <w:tr w:rsidR="00F77322" w:rsidRPr="0098660A" w14:paraId="263D0B4B" w14:textId="77777777" w:rsidTr="0088665C">
        <w:tc>
          <w:tcPr>
            <w:tcW w:w="1886" w:type="pct"/>
            <w:vAlign w:val="center"/>
          </w:tcPr>
          <w:p w14:paraId="2F138657" w14:textId="77777777" w:rsidR="004B6CB4" w:rsidRPr="0098660A" w:rsidRDefault="004B6CB4" w:rsidP="004B6CB4">
            <w:pPr>
              <w:widowControl w:val="0"/>
              <w:ind w:left="142"/>
              <w:jc w:val="left"/>
              <w:rPr>
                <w:rFonts w:ascii="Arial Narrow" w:eastAsia="MS Gothic" w:hAnsi="Arial Narrow" w:cs="Times New Roman"/>
                <w:sz w:val="20"/>
              </w:rPr>
            </w:pPr>
            <w:proofErr w:type="spellStart"/>
            <w:r w:rsidRPr="0098660A">
              <w:rPr>
                <w:rFonts w:ascii="Arial Narrow" w:eastAsia="MS Gothic" w:hAnsi="Arial Narrow" w:cs="Times New Roman"/>
                <w:sz w:val="20"/>
              </w:rPr>
              <w:t>Difference</w:t>
            </w:r>
            <w:r w:rsidRPr="0098660A">
              <w:rPr>
                <w:rFonts w:ascii="Arial Narrow" w:eastAsia="MS Gothic" w:hAnsi="Arial Narrow" w:cs="Times New Roman"/>
                <w:sz w:val="20"/>
                <w:vertAlign w:val="superscript"/>
              </w:rPr>
              <w:t>b</w:t>
            </w:r>
            <w:proofErr w:type="spellEnd"/>
            <w:r w:rsidRPr="0098660A">
              <w:rPr>
                <w:rFonts w:ascii="Arial Narrow" w:eastAsia="MS Gothic" w:hAnsi="Arial Narrow" w:cs="Times New Roman"/>
                <w:sz w:val="20"/>
              </w:rPr>
              <w:t xml:space="preserve"> (95% CI)</w:t>
            </w:r>
          </w:p>
        </w:tc>
        <w:tc>
          <w:tcPr>
            <w:tcW w:w="3114" w:type="pct"/>
            <w:gridSpan w:val="2"/>
            <w:vAlign w:val="center"/>
          </w:tcPr>
          <w:p w14:paraId="1B15968B"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21.75 (9.35, 34.16)</w:t>
            </w:r>
          </w:p>
        </w:tc>
      </w:tr>
      <w:tr w:rsidR="00F77322" w:rsidRPr="0098660A" w14:paraId="4FC9192E" w14:textId="77777777" w:rsidTr="0088665C">
        <w:tc>
          <w:tcPr>
            <w:tcW w:w="1886" w:type="pct"/>
            <w:vAlign w:val="center"/>
          </w:tcPr>
          <w:p w14:paraId="0EE709F3" w14:textId="77777777" w:rsidR="004B6CB4" w:rsidRPr="0098660A" w:rsidRDefault="004B6CB4" w:rsidP="004B6CB4">
            <w:pPr>
              <w:widowControl w:val="0"/>
              <w:jc w:val="left"/>
              <w:rPr>
                <w:rFonts w:ascii="Arial Narrow" w:eastAsia="MS Gothic" w:hAnsi="Arial Narrow" w:cs="Times New Roman"/>
                <w:sz w:val="20"/>
              </w:rPr>
            </w:pPr>
            <w:r w:rsidRPr="0098660A">
              <w:rPr>
                <w:rFonts w:ascii="Arial Narrow" w:eastAsia="MS Gothic" w:hAnsi="Arial Narrow" w:cs="Times New Roman"/>
                <w:sz w:val="20"/>
              </w:rPr>
              <w:t>Change in LASA score from baseline (LS mean [SE]) (improvement)</w:t>
            </w:r>
          </w:p>
        </w:tc>
        <w:tc>
          <w:tcPr>
            <w:tcW w:w="1626" w:type="pct"/>
            <w:vAlign w:val="center"/>
          </w:tcPr>
          <w:p w14:paraId="5075709D"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50.39 (9.06)</w:t>
            </w:r>
          </w:p>
        </w:tc>
        <w:tc>
          <w:tcPr>
            <w:tcW w:w="1488" w:type="pct"/>
            <w:vAlign w:val="center"/>
          </w:tcPr>
          <w:p w14:paraId="446E1FDC"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-5.39 (17.69)</w:t>
            </w:r>
          </w:p>
        </w:tc>
      </w:tr>
      <w:tr w:rsidR="00F77322" w:rsidRPr="0098660A" w14:paraId="00A27760" w14:textId="77777777" w:rsidTr="0088665C">
        <w:tc>
          <w:tcPr>
            <w:tcW w:w="1886" w:type="pct"/>
            <w:vAlign w:val="center"/>
          </w:tcPr>
          <w:p w14:paraId="70D7E6E1" w14:textId="77777777" w:rsidR="004B6CB4" w:rsidRPr="0098660A" w:rsidRDefault="004B6CB4" w:rsidP="004B6CB4">
            <w:pPr>
              <w:widowControl w:val="0"/>
              <w:ind w:left="142"/>
              <w:jc w:val="left"/>
              <w:rPr>
                <w:rFonts w:ascii="Arial Narrow" w:eastAsia="MS Gothic" w:hAnsi="Arial Narrow" w:cs="Times New Roman"/>
                <w:sz w:val="20"/>
              </w:rPr>
            </w:pPr>
            <w:proofErr w:type="spellStart"/>
            <w:r w:rsidRPr="0098660A">
              <w:rPr>
                <w:rFonts w:ascii="Arial Narrow" w:eastAsia="MS Gothic" w:hAnsi="Arial Narrow" w:cs="Times New Roman"/>
                <w:sz w:val="20"/>
              </w:rPr>
              <w:t>Difference</w:t>
            </w:r>
            <w:r w:rsidRPr="0098660A">
              <w:rPr>
                <w:rFonts w:ascii="Arial Narrow" w:eastAsia="MS Gothic" w:hAnsi="Arial Narrow" w:cs="Times New Roman"/>
                <w:sz w:val="20"/>
                <w:vertAlign w:val="superscript"/>
              </w:rPr>
              <w:t>b</w:t>
            </w:r>
            <w:proofErr w:type="spellEnd"/>
            <w:r w:rsidRPr="0098660A">
              <w:rPr>
                <w:rFonts w:ascii="Arial Narrow" w:eastAsia="MS Gothic" w:hAnsi="Arial Narrow" w:cs="Times New Roman"/>
                <w:sz w:val="20"/>
              </w:rPr>
              <w:t xml:space="preserve"> (95% CI)</w:t>
            </w:r>
          </w:p>
        </w:tc>
        <w:tc>
          <w:tcPr>
            <w:tcW w:w="3114" w:type="pct"/>
            <w:gridSpan w:val="2"/>
            <w:vAlign w:val="center"/>
          </w:tcPr>
          <w:p w14:paraId="25C13888" w14:textId="77777777" w:rsidR="004B6CB4" w:rsidRPr="0098660A" w:rsidRDefault="004B6CB4" w:rsidP="004B6CB4">
            <w:pPr>
              <w:widowControl w:val="0"/>
              <w:jc w:val="center"/>
              <w:rPr>
                <w:rFonts w:ascii="Arial Narrow" w:eastAsia="MS Gothic" w:hAnsi="Arial Narrow" w:cs="Times New Roman"/>
                <w:sz w:val="20"/>
              </w:rPr>
            </w:pPr>
            <w:r w:rsidRPr="0098660A">
              <w:rPr>
                <w:rFonts w:ascii="Arial Narrow" w:eastAsia="MS Gothic" w:hAnsi="Arial Narrow" w:cs="Times New Roman"/>
                <w:sz w:val="20"/>
              </w:rPr>
              <w:t>55.79 (16.83, 94.74)</w:t>
            </w:r>
          </w:p>
        </w:tc>
      </w:tr>
    </w:tbl>
    <w:p w14:paraId="73CA59AA" w14:textId="77777777" w:rsidR="004B6CB4" w:rsidRPr="0098660A" w:rsidRDefault="004B6CB4" w:rsidP="004B6CB4">
      <w:pPr>
        <w:rPr>
          <w:rFonts w:ascii="Arial Narrow" w:eastAsia="Calibri" w:hAnsi="Arial Narrow" w:cs="Times New Roman"/>
          <w:sz w:val="18"/>
          <w:szCs w:val="18"/>
          <w14:ligatures w14:val="standardContextual"/>
        </w:rPr>
      </w:pPr>
      <w:r w:rsidRPr="0098660A">
        <w:rPr>
          <w:rFonts w:ascii="Arial Narrow" w:eastAsia="Calibri" w:hAnsi="Arial Narrow" w:cs="Times New Roman"/>
          <w:sz w:val="18"/>
          <w:szCs w:val="18"/>
          <w14:ligatures w14:val="standardContextual"/>
        </w:rPr>
        <w:t xml:space="preserve">Source: Formulated during the evaluation, based on Table 2-31 and Table 2-32, pp62-63 of the submission; pp99-113 of the Pegcetacoplan APL-308 Clinical Study Report. </w:t>
      </w:r>
    </w:p>
    <w:p w14:paraId="34DECD04" w14:textId="7234F67C" w:rsidR="004B6CB4" w:rsidRPr="0098660A" w:rsidRDefault="004B6CB4" w:rsidP="004B6CB4">
      <w:pPr>
        <w:rPr>
          <w:rFonts w:ascii="Arial Narrow" w:hAnsi="Arial Narrow"/>
          <w:sz w:val="18"/>
          <w:szCs w:val="18"/>
        </w:rPr>
      </w:pPr>
      <w:bookmarkStart w:id="37" w:name="_Hlk190349332"/>
      <w:r w:rsidRPr="0098660A">
        <w:rPr>
          <w:rFonts w:ascii="Arial Narrow" w:hAnsi="Arial Narrow"/>
          <w:sz w:val="18"/>
          <w:szCs w:val="18"/>
        </w:rPr>
        <w:t>ARC = absolute reticulocyte count; BSC = best support</w:t>
      </w:r>
      <w:r w:rsidR="003A3499" w:rsidRPr="0098660A">
        <w:rPr>
          <w:rFonts w:ascii="Arial Narrow" w:hAnsi="Arial Narrow"/>
          <w:sz w:val="18"/>
          <w:szCs w:val="18"/>
        </w:rPr>
        <w:t>ive</w:t>
      </w:r>
      <w:r w:rsidRPr="0098660A">
        <w:rPr>
          <w:rFonts w:ascii="Arial Narrow" w:hAnsi="Arial Narrow"/>
          <w:sz w:val="18"/>
          <w:szCs w:val="18"/>
        </w:rPr>
        <w:t xml:space="preserve"> care; CI = confidence interval; EORTC = European Organisation for Research and Treatment of Cancer; FACIT = Functional Assessment of Chronic Illness Therapy; Hb = haemoglobin; LASA = Linear Analog Scale Assessment; LDH = lactate dehydrogenase; LS = least square; </w:t>
      </w:r>
      <w:r w:rsidR="00863EC6" w:rsidRPr="0098660A">
        <w:rPr>
          <w:rFonts w:ascii="Arial Narrow" w:hAnsi="Arial Narrow"/>
          <w:sz w:val="18"/>
          <w:szCs w:val="18"/>
        </w:rPr>
        <w:t xml:space="preserve">PRBC = packed red blood cell; </w:t>
      </w:r>
      <w:r w:rsidRPr="0098660A">
        <w:rPr>
          <w:rFonts w:ascii="Arial Narrow" w:hAnsi="Arial Narrow"/>
          <w:sz w:val="18"/>
          <w:szCs w:val="18"/>
        </w:rPr>
        <w:t xml:space="preserve">SC = subcutaneous; SD = standard deviation; SE = standard error </w:t>
      </w:r>
    </w:p>
    <w:bookmarkEnd w:id="37"/>
    <w:p w14:paraId="626BD403" w14:textId="77777777" w:rsidR="004B6CB4" w:rsidRPr="0098660A" w:rsidRDefault="004B6CB4" w:rsidP="004B6CB4">
      <w:pPr>
        <w:rPr>
          <w:rFonts w:ascii="Arial Narrow" w:hAnsi="Arial Narrow"/>
          <w:sz w:val="18"/>
          <w:szCs w:val="18"/>
        </w:rPr>
      </w:pPr>
      <w:r w:rsidRPr="0098660A">
        <w:rPr>
          <w:rFonts w:ascii="Arial Narrow" w:hAnsi="Arial Narrow"/>
          <w:sz w:val="18"/>
          <w:szCs w:val="18"/>
          <w:vertAlign w:val="superscript"/>
        </w:rPr>
        <w:t>a</w:t>
      </w:r>
      <w:r w:rsidRPr="0098660A">
        <w:rPr>
          <w:rFonts w:ascii="Arial Narrow" w:hAnsi="Arial Narrow"/>
          <w:sz w:val="18"/>
          <w:szCs w:val="18"/>
        </w:rPr>
        <w:t xml:space="preserve"> Defined as a ≥ 1 g/dL increase in haemoglobin from baseline at Week 26 in the absence of transfusions</w:t>
      </w:r>
    </w:p>
    <w:p w14:paraId="5DB174D1" w14:textId="77777777" w:rsidR="004B6CB4" w:rsidRPr="0098660A" w:rsidRDefault="004B6CB4" w:rsidP="004B6CB4">
      <w:pPr>
        <w:rPr>
          <w:rFonts w:ascii="Arial Narrow" w:hAnsi="Arial Narrow"/>
          <w:sz w:val="18"/>
          <w:szCs w:val="18"/>
        </w:rPr>
      </w:pPr>
      <w:r w:rsidRPr="0098660A">
        <w:rPr>
          <w:rFonts w:ascii="Arial Narrow" w:hAnsi="Arial Narrow"/>
          <w:sz w:val="18"/>
          <w:szCs w:val="18"/>
          <w:vertAlign w:val="superscript"/>
        </w:rPr>
        <w:t>b</w:t>
      </w:r>
      <w:r w:rsidRPr="0098660A">
        <w:rPr>
          <w:rFonts w:ascii="Arial Narrow" w:hAnsi="Arial Narrow"/>
          <w:sz w:val="18"/>
          <w:szCs w:val="18"/>
        </w:rPr>
        <w:t xml:space="preserve"> Adjusted difference</w:t>
      </w:r>
    </w:p>
    <w:p w14:paraId="7BDB6E2F" w14:textId="77777777" w:rsidR="004B6CB4" w:rsidRPr="0098660A" w:rsidRDefault="004B6CB4" w:rsidP="004B6CB4">
      <w:pPr>
        <w:rPr>
          <w:rFonts w:ascii="Arial Narrow" w:hAnsi="Arial Narrow"/>
          <w:sz w:val="18"/>
          <w:szCs w:val="18"/>
        </w:rPr>
      </w:pPr>
      <w:r w:rsidRPr="0098660A">
        <w:rPr>
          <w:rFonts w:ascii="Arial Narrow" w:hAnsi="Arial Narrow"/>
          <w:sz w:val="18"/>
          <w:szCs w:val="18"/>
          <w:vertAlign w:val="superscript"/>
        </w:rPr>
        <w:t>c</w:t>
      </w:r>
      <w:r w:rsidRPr="0098660A">
        <w:rPr>
          <w:rFonts w:ascii="Arial Narrow" w:hAnsi="Arial Narrow"/>
          <w:sz w:val="18"/>
          <w:szCs w:val="18"/>
        </w:rPr>
        <w:t xml:space="preserve"> Defined as a ≥ 1 g/dL increase in haemoglobin from baseline at Week 26 in the absence of transfusions</w:t>
      </w:r>
    </w:p>
    <w:p w14:paraId="2C1EEF5F" w14:textId="77777777" w:rsidR="004B6CB4" w:rsidRPr="0098660A" w:rsidRDefault="004B6CB4" w:rsidP="004B6CB4">
      <w:pPr>
        <w:rPr>
          <w:rFonts w:ascii="Arial Narrow" w:hAnsi="Arial Narrow"/>
          <w:sz w:val="18"/>
          <w:szCs w:val="18"/>
        </w:rPr>
      </w:pPr>
      <w:r w:rsidRPr="0098660A">
        <w:rPr>
          <w:rFonts w:ascii="Arial Narrow" w:hAnsi="Arial Narrow"/>
          <w:sz w:val="18"/>
          <w:szCs w:val="18"/>
          <w:vertAlign w:val="superscript"/>
        </w:rPr>
        <w:t>d</w:t>
      </w:r>
      <w:r w:rsidRPr="0098660A">
        <w:rPr>
          <w:rFonts w:ascii="Arial Narrow" w:hAnsi="Arial Narrow"/>
          <w:sz w:val="18"/>
          <w:szCs w:val="18"/>
        </w:rPr>
        <w:t xml:space="preserve"> All values after switching from BSC to pegcetacoplan were set to missing</w:t>
      </w:r>
    </w:p>
    <w:p w14:paraId="39D1D160" w14:textId="77777777" w:rsidR="004B6CB4" w:rsidRPr="0098660A" w:rsidRDefault="004B6CB4" w:rsidP="004B6CB4">
      <w:pPr>
        <w:rPr>
          <w:rFonts w:ascii="Arial Narrow" w:hAnsi="Arial Narrow"/>
          <w:sz w:val="18"/>
          <w:szCs w:val="18"/>
        </w:rPr>
      </w:pPr>
      <w:r w:rsidRPr="0098660A">
        <w:rPr>
          <w:rFonts w:ascii="Arial Narrow" w:hAnsi="Arial Narrow"/>
          <w:sz w:val="18"/>
          <w:szCs w:val="18"/>
          <w:vertAlign w:val="superscript"/>
        </w:rPr>
        <w:t>e</w:t>
      </w:r>
      <w:r w:rsidRPr="0098660A">
        <w:rPr>
          <w:rFonts w:ascii="Arial Narrow" w:hAnsi="Arial Narrow"/>
          <w:sz w:val="18"/>
          <w:szCs w:val="18"/>
        </w:rPr>
        <w:t xml:space="preserve"> Patients who did not have a transfusion but withdrew before Week 26 or escaped from SoC to pegcetacoplan were not considered to have achieved transfusion avoidance</w:t>
      </w:r>
    </w:p>
    <w:p w14:paraId="415A1CC0" w14:textId="77777777" w:rsidR="004B6CB4" w:rsidRPr="0098660A" w:rsidRDefault="004B6CB4" w:rsidP="004B6CB4">
      <w:pPr>
        <w:rPr>
          <w:rFonts w:ascii="Arial Narrow" w:hAnsi="Arial Narrow"/>
          <w:sz w:val="18"/>
          <w:szCs w:val="18"/>
        </w:rPr>
      </w:pPr>
      <w:r w:rsidRPr="0098660A">
        <w:rPr>
          <w:rFonts w:ascii="Arial Narrow" w:hAnsi="Arial Narrow"/>
          <w:sz w:val="18"/>
          <w:szCs w:val="18"/>
          <w:vertAlign w:val="superscript"/>
        </w:rPr>
        <w:t>f</w:t>
      </w:r>
      <w:r w:rsidRPr="0098660A">
        <w:rPr>
          <w:rFonts w:ascii="Arial Narrow" w:hAnsi="Arial Narrow"/>
          <w:sz w:val="18"/>
          <w:szCs w:val="18"/>
        </w:rPr>
        <w:t xml:space="preserve"> All values after the intercurrent events including transfusions, treatment escape, discontinuation of study treatment, withdrawal from study, and lost to follow-up, were set to be missing</w:t>
      </w:r>
    </w:p>
    <w:p w14:paraId="390DD987" w14:textId="77777777" w:rsidR="004B6CB4" w:rsidRPr="0098660A" w:rsidRDefault="004B6CB4" w:rsidP="004B6CB4">
      <w:pPr>
        <w:rPr>
          <w:rFonts w:ascii="Arial Narrow" w:hAnsi="Arial Narrow"/>
          <w:sz w:val="18"/>
          <w:szCs w:val="18"/>
        </w:rPr>
      </w:pPr>
      <w:r w:rsidRPr="0098660A">
        <w:rPr>
          <w:rFonts w:ascii="Arial Narrow" w:hAnsi="Arial Narrow"/>
          <w:sz w:val="18"/>
          <w:szCs w:val="18"/>
          <w:vertAlign w:val="superscript"/>
        </w:rPr>
        <w:t xml:space="preserve">g </w:t>
      </w:r>
      <w:r w:rsidRPr="0098660A">
        <w:rPr>
          <w:rFonts w:ascii="Arial Narrow" w:hAnsi="Arial Narrow"/>
          <w:sz w:val="18"/>
          <w:szCs w:val="18"/>
        </w:rPr>
        <w:t>Defined as absolute reticulocyte count &lt; 1 x ULN</w:t>
      </w:r>
    </w:p>
    <w:p w14:paraId="50C6BC73" w14:textId="2B15737B" w:rsidR="004B6CB4" w:rsidRPr="0098660A" w:rsidRDefault="004B6CB4" w:rsidP="0088665C">
      <w:pPr>
        <w:spacing w:after="120"/>
        <w:rPr>
          <w:rFonts w:ascii="Arial Narrow" w:hAnsi="Arial Narrow"/>
          <w:sz w:val="18"/>
          <w:szCs w:val="18"/>
        </w:rPr>
      </w:pPr>
      <w:r w:rsidRPr="0098660A">
        <w:rPr>
          <w:rFonts w:ascii="Arial Narrow" w:hAnsi="Arial Narrow"/>
          <w:sz w:val="18"/>
          <w:szCs w:val="18"/>
          <w:vertAlign w:val="superscript"/>
        </w:rPr>
        <w:t>h</w:t>
      </w:r>
      <w:r w:rsidRPr="0098660A">
        <w:rPr>
          <w:rFonts w:ascii="Arial Narrow" w:hAnsi="Arial Narrow"/>
          <w:sz w:val="18"/>
          <w:szCs w:val="18"/>
        </w:rPr>
        <w:t xml:space="preserve"> Defined as LDH &lt; 1</w:t>
      </w:r>
      <w:r w:rsidR="006E0D84" w:rsidRPr="0098660A">
        <w:rPr>
          <w:rFonts w:ascii="Arial Narrow" w:hAnsi="Arial Narrow"/>
          <w:sz w:val="18"/>
          <w:szCs w:val="18"/>
        </w:rPr>
        <w:t xml:space="preserve"> </w:t>
      </w:r>
      <w:r w:rsidRPr="0098660A">
        <w:rPr>
          <w:rFonts w:ascii="Arial Narrow" w:hAnsi="Arial Narrow"/>
          <w:sz w:val="18"/>
          <w:szCs w:val="18"/>
        </w:rPr>
        <w:t>x ULN (226 U/L)</w:t>
      </w:r>
    </w:p>
    <w:p w14:paraId="287C22DA" w14:textId="4268B9E8" w:rsidR="004B6CB4" w:rsidRPr="0098660A" w:rsidRDefault="004B6CB4" w:rsidP="004B6CB4">
      <w:pPr>
        <w:pStyle w:val="3-BodyText"/>
      </w:pPr>
      <w:r w:rsidRPr="0098660A">
        <w:t>Breakthrough haemolysis was the exploratory efficacy endpoint in the PRINCE trial. Two patients (5.7%) randomised to the pegcetacoplan arm (n = 35) experienced breakthrough haemolysis. Among the switch patients (n = 11), no</w:t>
      </w:r>
      <w:r w:rsidR="00E56B46" w:rsidRPr="0098660A">
        <w:t xml:space="preserve"> patient</w:t>
      </w:r>
      <w:r w:rsidRPr="0098660A">
        <w:t xml:space="preserve"> experienced breakthrough ha</w:t>
      </w:r>
      <w:r w:rsidR="00E17CFD" w:rsidRPr="0098660A">
        <w:t>emo</w:t>
      </w:r>
      <w:r w:rsidRPr="0098660A">
        <w:t xml:space="preserve">lysis after switching. </w:t>
      </w:r>
    </w:p>
    <w:p w14:paraId="04EDB7DF" w14:textId="557C4AAB" w:rsidR="004B6CB4" w:rsidRPr="0098660A" w:rsidRDefault="003879D3" w:rsidP="004B6CB4">
      <w:pPr>
        <w:pStyle w:val="3-BodyText"/>
      </w:pPr>
      <w:r w:rsidRPr="0098660A">
        <w:t xml:space="preserve">Patients treated with pegcetacoplan for 26 weeks demonstrated clinically significant results of stabilised haemoglobin level and lowered LDH level (indicating less haemolysis), compared to patients receiving BSC. Patients with PNH and coexisting aplastic anaemia may have poorer haemoglobin response and stabilisation and higher rates of transfusion. Although there were a higher proportion of patients with aplastic anaemia in the BSC arm of the trial, the magnitude of the benefit of pegcetacoplan is unlikely to be a consequence of the differences in aplastic anaemia across the arms. Due to the open-label design of the study, patient reported outcomes, including the changes in the </w:t>
      </w:r>
      <w:r w:rsidR="0060760C" w:rsidRPr="0098660A">
        <w:t>Functional Assessment of Chronic Illness Therapy (</w:t>
      </w:r>
      <w:r w:rsidRPr="0098660A">
        <w:t>FACIT</w:t>
      </w:r>
      <w:r w:rsidR="0060760C" w:rsidRPr="0098660A">
        <w:t>)</w:t>
      </w:r>
      <w:r w:rsidRPr="0098660A">
        <w:t xml:space="preserve">-Fatigue Scale score, </w:t>
      </w:r>
      <w:r w:rsidR="0060760C" w:rsidRPr="0098660A">
        <w:t>European Organisation for Research and Treatment of Cancer (</w:t>
      </w:r>
      <w:r w:rsidRPr="0098660A">
        <w:t>EORTC</w:t>
      </w:r>
      <w:r w:rsidR="0060760C" w:rsidRPr="0098660A">
        <w:t>)</w:t>
      </w:r>
      <w:r w:rsidRPr="0098660A">
        <w:t xml:space="preserve"> QLQ-C30, and </w:t>
      </w:r>
      <w:r w:rsidR="0060760C" w:rsidRPr="0098660A">
        <w:t>Linear Analog Scale Assessment (</w:t>
      </w:r>
      <w:r w:rsidRPr="0098660A">
        <w:t>LASA</w:t>
      </w:r>
      <w:r w:rsidR="0060760C" w:rsidRPr="0098660A">
        <w:t>)</w:t>
      </w:r>
      <w:r w:rsidRPr="0098660A">
        <w:t xml:space="preserve"> score may be subject to bias</w:t>
      </w:r>
      <w:r w:rsidR="004B6CB4" w:rsidRPr="0098660A">
        <w:t>.</w:t>
      </w:r>
    </w:p>
    <w:p w14:paraId="5E6B4384" w14:textId="3CC44E59" w:rsidR="004B6CB4" w:rsidRPr="0098660A" w:rsidRDefault="009D546C">
      <w:pPr>
        <w:pStyle w:val="3-BodyText"/>
      </w:pPr>
      <w:r w:rsidRPr="0098660A">
        <w:lastRenderedPageBreak/>
        <w:t>The PRINCE trial did not report on clinically relevant long-term outcomes, and the magnitude of benefit of pegcetacoplan in terms of longer-term or clinically relevant outcomes</w:t>
      </w:r>
      <w:r w:rsidR="005D0352" w:rsidRPr="0098660A">
        <w:t xml:space="preserve">, </w:t>
      </w:r>
      <w:r w:rsidR="00F240E7" w:rsidRPr="0098660A">
        <w:t>including</w:t>
      </w:r>
      <w:r w:rsidR="005D0352" w:rsidRPr="0098660A">
        <w:t xml:space="preserve"> </w:t>
      </w:r>
      <w:r w:rsidR="00A421AE" w:rsidRPr="0098660A">
        <w:t xml:space="preserve">prevention of </w:t>
      </w:r>
      <w:r w:rsidR="005D0352" w:rsidRPr="0098660A">
        <w:t>thromboembolism and</w:t>
      </w:r>
      <w:r w:rsidR="00F240E7" w:rsidRPr="0098660A">
        <w:t xml:space="preserve"> improving</w:t>
      </w:r>
      <w:r w:rsidR="005D0352" w:rsidRPr="0098660A">
        <w:t xml:space="preserve"> survival,</w:t>
      </w:r>
      <w:r w:rsidRPr="0098660A">
        <w:t xml:space="preserve"> remains uncertain</w:t>
      </w:r>
      <w:r w:rsidR="004B6CB4" w:rsidRPr="0098660A">
        <w:t>.</w:t>
      </w:r>
    </w:p>
    <w:p w14:paraId="7A865FEF" w14:textId="77777777" w:rsidR="004D5C07" w:rsidRPr="0098660A" w:rsidRDefault="004D5C07" w:rsidP="004908CF">
      <w:pPr>
        <w:pStyle w:val="5-SubsectionSubheading"/>
      </w:pPr>
      <w:bookmarkStart w:id="38" w:name="_Toc193368020"/>
      <w:r w:rsidRPr="0098660A">
        <w:t>Indirect comparison of pegcetacoplan vs ravulizumab</w:t>
      </w:r>
      <w:bookmarkEnd w:id="38"/>
    </w:p>
    <w:p w14:paraId="51298A9B" w14:textId="77B3CE57" w:rsidR="002E4876" w:rsidRPr="0098660A" w:rsidRDefault="002E4876" w:rsidP="00354F2F">
      <w:pPr>
        <w:pStyle w:val="3-BodyText"/>
        <w:rPr>
          <w:iCs/>
        </w:rPr>
      </w:pPr>
      <w:bookmarkStart w:id="39" w:name="_Toc176802409"/>
      <w:r w:rsidRPr="0098660A">
        <w:t>Indirect comparison</w:t>
      </w:r>
      <w:r w:rsidR="00072CB0" w:rsidRPr="0098660A">
        <w:t>s</w:t>
      </w:r>
      <w:r w:rsidRPr="0098660A">
        <w:t xml:space="preserve"> of </w:t>
      </w:r>
      <w:bookmarkEnd w:id="39"/>
      <w:r w:rsidRPr="0098660A">
        <w:t>pegcetacoplan vs ravulizumab</w:t>
      </w:r>
      <w:r w:rsidR="00072CB0" w:rsidRPr="0098660A">
        <w:t xml:space="preserve">, using unanchored MAIC and unanchored, unadjusted ITC, are presented in </w:t>
      </w:r>
      <w:r w:rsidR="00524F05" w:rsidRPr="0098660A">
        <w:rPr>
          <w:rFonts w:ascii="Arial Narrow" w:eastAsia="Calibri" w:hAnsi="Arial Narrow" w:cs="Arial"/>
          <w:b/>
          <w:bCs/>
          <w:color w:val="000000" w:themeColor="text1"/>
          <w:sz w:val="20"/>
          <w:szCs w:val="18"/>
        </w:rPr>
        <w:fldChar w:fldCharType="begin"/>
      </w:r>
      <w:r w:rsidR="00524F05" w:rsidRPr="0098660A">
        <w:rPr>
          <w:rFonts w:eastAsia="Calibri"/>
        </w:rPr>
        <w:instrText xml:space="preserve"> REF _Ref189935438 \h </w:instrText>
      </w:r>
      <w:r w:rsidR="00524F05" w:rsidRPr="0098660A">
        <w:rPr>
          <w:rFonts w:ascii="Arial Narrow" w:eastAsia="Calibri" w:hAnsi="Arial Narrow" w:cs="Arial"/>
          <w:b/>
          <w:bCs/>
          <w:color w:val="000000" w:themeColor="text1"/>
          <w:sz w:val="20"/>
          <w:szCs w:val="18"/>
        </w:rPr>
      </w:r>
      <w:r w:rsidR="00524F05" w:rsidRPr="0098660A">
        <w:rPr>
          <w:rFonts w:ascii="Arial Narrow" w:eastAsia="Calibri" w:hAnsi="Arial Narrow" w:cs="Arial"/>
          <w:b/>
          <w:bCs/>
          <w:color w:val="000000" w:themeColor="text1"/>
          <w:sz w:val="20"/>
          <w:szCs w:val="18"/>
        </w:rPr>
        <w:fldChar w:fldCharType="separate"/>
      </w:r>
      <w:r w:rsidR="00134128" w:rsidRPr="0098660A">
        <w:t xml:space="preserve">Table </w:t>
      </w:r>
      <w:r w:rsidR="00134128">
        <w:rPr>
          <w:noProof/>
        </w:rPr>
        <w:t>5</w:t>
      </w:r>
      <w:r w:rsidR="00524F05" w:rsidRPr="0098660A">
        <w:rPr>
          <w:rFonts w:eastAsia="Calibri"/>
        </w:rPr>
        <w:fldChar w:fldCharType="end"/>
      </w:r>
      <w:r w:rsidR="00524F05" w:rsidRPr="0098660A">
        <w:rPr>
          <w:rFonts w:eastAsia="Calibri"/>
        </w:rPr>
        <w:t xml:space="preserve"> and </w:t>
      </w:r>
      <w:r w:rsidR="00524F05" w:rsidRPr="0098660A">
        <w:rPr>
          <w:rFonts w:eastAsia="Calibri"/>
        </w:rPr>
        <w:fldChar w:fldCharType="begin"/>
      </w:r>
      <w:r w:rsidR="00524F05" w:rsidRPr="0098660A">
        <w:rPr>
          <w:rFonts w:eastAsia="Calibri"/>
        </w:rPr>
        <w:instrText xml:space="preserve"> REF _Ref189935443 \h </w:instrText>
      </w:r>
      <w:r w:rsidR="00524F05" w:rsidRPr="0098660A">
        <w:rPr>
          <w:rFonts w:eastAsia="Calibri"/>
        </w:rPr>
      </w:r>
      <w:r w:rsidR="00524F05" w:rsidRPr="0098660A">
        <w:rPr>
          <w:rFonts w:eastAsia="Calibri"/>
        </w:rPr>
        <w:fldChar w:fldCharType="separate"/>
      </w:r>
      <w:r w:rsidR="00134128" w:rsidRPr="0098660A">
        <w:t xml:space="preserve">Table </w:t>
      </w:r>
      <w:r w:rsidR="00134128">
        <w:rPr>
          <w:noProof/>
        </w:rPr>
        <w:t>6</w:t>
      </w:r>
      <w:r w:rsidR="00524F05" w:rsidRPr="0098660A">
        <w:rPr>
          <w:rFonts w:eastAsia="Calibri"/>
        </w:rPr>
        <w:fldChar w:fldCharType="end"/>
      </w:r>
      <w:r w:rsidR="00072CB0" w:rsidRPr="0098660A">
        <w:rPr>
          <w:rFonts w:eastAsia="Calibri"/>
        </w:rPr>
        <w:t>, respectively</w:t>
      </w:r>
      <w:r w:rsidR="00524F05" w:rsidRPr="0098660A">
        <w:rPr>
          <w:rFonts w:eastAsia="Calibri"/>
        </w:rPr>
        <w:t>.</w:t>
      </w:r>
    </w:p>
    <w:p w14:paraId="468D412F" w14:textId="372EE5BB" w:rsidR="002E4876" w:rsidRPr="0098660A" w:rsidRDefault="002E4876" w:rsidP="002C3F85">
      <w:pPr>
        <w:pStyle w:val="Caption"/>
      </w:pPr>
      <w:bookmarkStart w:id="40" w:name="_Ref189935438"/>
      <w:r w:rsidRPr="0098660A">
        <w:t xml:space="preserve">Table </w:t>
      </w:r>
      <w:r w:rsidR="00ED489E" w:rsidRPr="0098660A">
        <w:fldChar w:fldCharType="begin"/>
      </w:r>
      <w:r w:rsidR="00ED489E" w:rsidRPr="0098660A">
        <w:instrText xml:space="preserve"> SEQ Table \* ARABIC </w:instrText>
      </w:r>
      <w:r w:rsidR="00ED489E" w:rsidRPr="0098660A">
        <w:fldChar w:fldCharType="separate"/>
      </w:r>
      <w:r w:rsidR="00134128">
        <w:rPr>
          <w:noProof/>
        </w:rPr>
        <w:t>5</w:t>
      </w:r>
      <w:r w:rsidR="00ED489E" w:rsidRPr="0098660A">
        <w:fldChar w:fldCharType="end"/>
      </w:r>
      <w:bookmarkEnd w:id="40"/>
      <w:r w:rsidRPr="0098660A">
        <w:t>: Summary of comparative treatment efficacy results (pegcetacoplan vs ravulizumab) in treatment naïve PNH patients using the unanchored MAIC method</w:t>
      </w:r>
    </w:p>
    <w:tbl>
      <w:tblPr>
        <w:tblW w:w="49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2834"/>
        <w:gridCol w:w="2834"/>
      </w:tblGrid>
      <w:tr w:rsidR="00461C55" w:rsidRPr="0098660A" w14:paraId="12DF7023" w14:textId="77777777" w:rsidTr="00857DDE">
        <w:trPr>
          <w:trHeight w:val="75"/>
          <w:tblHeader/>
        </w:trPr>
        <w:tc>
          <w:tcPr>
            <w:tcW w:w="1826" w:type="pct"/>
            <w:vAlign w:val="center"/>
          </w:tcPr>
          <w:p w14:paraId="35CAB0A7" w14:textId="77777777" w:rsidR="002E4876" w:rsidRPr="0098660A" w:rsidRDefault="002E4876" w:rsidP="0069598B">
            <w:pPr>
              <w:keepNext/>
              <w:keepLines/>
              <w:jc w:val="center"/>
              <w:rPr>
                <w:rFonts w:ascii="Arial Narrow" w:eastAsia="MS Gothic" w:hAnsi="Arial Narrow" w:cs="Times New Roman"/>
                <w:b/>
                <w:iCs/>
                <w:sz w:val="20"/>
                <w:szCs w:val="20"/>
              </w:rPr>
            </w:pPr>
            <w:r w:rsidRPr="0098660A">
              <w:rPr>
                <w:rFonts w:ascii="Arial Narrow" w:eastAsia="MS Gothic" w:hAnsi="Arial Narrow" w:cs="Times New Roman"/>
                <w:b/>
                <w:iCs/>
                <w:sz w:val="20"/>
                <w:szCs w:val="20"/>
              </w:rPr>
              <w:t>Trial</w:t>
            </w:r>
          </w:p>
        </w:tc>
        <w:tc>
          <w:tcPr>
            <w:tcW w:w="1587" w:type="pct"/>
            <w:vAlign w:val="center"/>
          </w:tcPr>
          <w:p w14:paraId="3BE7D3CE" w14:textId="77777777" w:rsidR="002E4876" w:rsidRPr="0098660A" w:rsidRDefault="002E4876" w:rsidP="0069598B">
            <w:pPr>
              <w:keepNext/>
              <w:keepLines/>
              <w:jc w:val="center"/>
              <w:rPr>
                <w:rFonts w:ascii="Arial Narrow" w:hAnsi="Arial Narrow"/>
                <w:b/>
                <w:sz w:val="20"/>
                <w:szCs w:val="20"/>
              </w:rPr>
            </w:pPr>
            <w:r w:rsidRPr="0098660A">
              <w:rPr>
                <w:rFonts w:ascii="Arial Narrow" w:hAnsi="Arial Narrow"/>
                <w:b/>
                <w:sz w:val="20"/>
                <w:szCs w:val="20"/>
              </w:rPr>
              <w:t>PRINCE</w:t>
            </w:r>
          </w:p>
        </w:tc>
        <w:tc>
          <w:tcPr>
            <w:tcW w:w="1587" w:type="pct"/>
            <w:vAlign w:val="center"/>
          </w:tcPr>
          <w:p w14:paraId="47B55735" w14:textId="77777777" w:rsidR="002E4876" w:rsidRPr="0098660A" w:rsidRDefault="002E4876" w:rsidP="0069598B">
            <w:pPr>
              <w:keepNext/>
              <w:keepLines/>
              <w:jc w:val="center"/>
              <w:rPr>
                <w:rFonts w:ascii="Arial Narrow" w:hAnsi="Arial Narrow"/>
                <w:b/>
                <w:sz w:val="20"/>
                <w:szCs w:val="20"/>
              </w:rPr>
            </w:pPr>
            <w:r w:rsidRPr="0098660A">
              <w:rPr>
                <w:rFonts w:ascii="Arial Narrow" w:hAnsi="Arial Narrow"/>
                <w:b/>
                <w:sz w:val="20"/>
                <w:szCs w:val="20"/>
              </w:rPr>
              <w:t>ALXN1210-301</w:t>
            </w:r>
          </w:p>
        </w:tc>
      </w:tr>
      <w:tr w:rsidR="00461C55" w:rsidRPr="0098660A" w14:paraId="7A78E937" w14:textId="77777777" w:rsidTr="00857DDE">
        <w:trPr>
          <w:trHeight w:val="75"/>
          <w:tblHeader/>
        </w:trPr>
        <w:tc>
          <w:tcPr>
            <w:tcW w:w="1826" w:type="pct"/>
            <w:vAlign w:val="center"/>
          </w:tcPr>
          <w:p w14:paraId="20DDA710" w14:textId="77777777" w:rsidR="002E4876" w:rsidRPr="0098660A" w:rsidRDefault="002E4876" w:rsidP="002E4876">
            <w:pPr>
              <w:keepNext/>
              <w:keepLines/>
              <w:jc w:val="left"/>
              <w:rPr>
                <w:rFonts w:ascii="Arial Narrow" w:eastAsia="MS Gothic" w:hAnsi="Arial Narrow" w:cs="Times New Roman"/>
                <w:bCs/>
                <w:iCs/>
                <w:sz w:val="20"/>
                <w:szCs w:val="20"/>
              </w:rPr>
            </w:pPr>
            <w:r w:rsidRPr="0098660A">
              <w:rPr>
                <w:rFonts w:ascii="Arial Narrow" w:eastAsia="MS Gothic" w:hAnsi="Arial Narrow" w:cs="Times New Roman"/>
                <w:bCs/>
                <w:iCs/>
                <w:sz w:val="20"/>
                <w:szCs w:val="20"/>
              </w:rPr>
              <w:t>Treatment/endpoints</w:t>
            </w:r>
          </w:p>
        </w:tc>
        <w:tc>
          <w:tcPr>
            <w:tcW w:w="1587" w:type="pct"/>
            <w:vAlign w:val="center"/>
          </w:tcPr>
          <w:p w14:paraId="725EDB10" w14:textId="77777777" w:rsidR="002E4876" w:rsidRPr="0098660A" w:rsidRDefault="002E4876" w:rsidP="002E4876">
            <w:pPr>
              <w:keepNext/>
              <w:keepLines/>
              <w:jc w:val="center"/>
              <w:rPr>
                <w:rFonts w:ascii="Arial Narrow" w:hAnsi="Arial Narrow"/>
                <w:sz w:val="20"/>
                <w:szCs w:val="20"/>
              </w:rPr>
            </w:pPr>
            <w:r w:rsidRPr="0098660A">
              <w:rPr>
                <w:rFonts w:ascii="Arial Narrow" w:hAnsi="Arial Narrow"/>
                <w:sz w:val="20"/>
                <w:szCs w:val="20"/>
              </w:rPr>
              <w:t>Pegcetacoplan</w:t>
            </w:r>
          </w:p>
          <w:p w14:paraId="3C06F53D" w14:textId="77777777" w:rsidR="002E4876" w:rsidRPr="0098660A" w:rsidRDefault="002E4876" w:rsidP="002E4876">
            <w:pPr>
              <w:keepNext/>
              <w:keepLines/>
              <w:jc w:val="center"/>
              <w:rPr>
                <w:rFonts w:ascii="Arial Narrow" w:hAnsi="Arial Narrow"/>
                <w:b/>
                <w:bCs/>
                <w:sz w:val="20"/>
                <w:szCs w:val="20"/>
              </w:rPr>
            </w:pPr>
            <w:r w:rsidRPr="0098660A">
              <w:rPr>
                <w:rFonts w:ascii="Arial Narrow" w:hAnsi="Arial Narrow"/>
                <w:sz w:val="20"/>
                <w:szCs w:val="20"/>
              </w:rPr>
              <w:t>(n = 35)</w:t>
            </w:r>
          </w:p>
        </w:tc>
        <w:tc>
          <w:tcPr>
            <w:tcW w:w="1587" w:type="pct"/>
            <w:vAlign w:val="center"/>
          </w:tcPr>
          <w:p w14:paraId="71FB0BE2" w14:textId="77777777" w:rsidR="002E4876" w:rsidRPr="0098660A" w:rsidRDefault="002E4876" w:rsidP="002E4876">
            <w:pPr>
              <w:keepNext/>
              <w:keepLines/>
              <w:jc w:val="center"/>
              <w:rPr>
                <w:rFonts w:ascii="Arial Narrow" w:hAnsi="Arial Narrow"/>
                <w:sz w:val="20"/>
                <w:szCs w:val="20"/>
              </w:rPr>
            </w:pPr>
            <w:r w:rsidRPr="0098660A">
              <w:rPr>
                <w:rFonts w:ascii="Arial Narrow" w:hAnsi="Arial Narrow"/>
                <w:sz w:val="20"/>
                <w:szCs w:val="20"/>
              </w:rPr>
              <w:t>Ravulizumab</w:t>
            </w:r>
          </w:p>
          <w:p w14:paraId="4703DE6D" w14:textId="77777777" w:rsidR="002E4876" w:rsidRPr="0098660A" w:rsidRDefault="002E4876" w:rsidP="002E4876">
            <w:pPr>
              <w:keepNext/>
              <w:keepLines/>
              <w:jc w:val="center"/>
              <w:rPr>
                <w:rFonts w:ascii="Arial Narrow" w:hAnsi="Arial Narrow"/>
                <w:b/>
                <w:bCs/>
                <w:sz w:val="20"/>
                <w:szCs w:val="20"/>
              </w:rPr>
            </w:pPr>
            <w:r w:rsidRPr="0098660A">
              <w:rPr>
                <w:rFonts w:ascii="Arial Narrow" w:hAnsi="Arial Narrow"/>
                <w:sz w:val="20"/>
                <w:szCs w:val="20"/>
              </w:rPr>
              <w:t>(n = 125)</w:t>
            </w:r>
          </w:p>
        </w:tc>
      </w:tr>
      <w:tr w:rsidR="00461C55" w:rsidRPr="0098660A" w14:paraId="53458C55" w14:textId="77777777" w:rsidTr="00857DDE">
        <w:trPr>
          <w:tblHeader/>
        </w:trPr>
        <w:tc>
          <w:tcPr>
            <w:tcW w:w="1826" w:type="pct"/>
            <w:vAlign w:val="center"/>
          </w:tcPr>
          <w:p w14:paraId="0B97D939" w14:textId="77777777" w:rsidR="002E4876" w:rsidRPr="0098660A" w:rsidRDefault="002E4876" w:rsidP="002E4876">
            <w:pPr>
              <w:keepNext/>
              <w:keepLines/>
              <w:jc w:val="left"/>
              <w:rPr>
                <w:rFonts w:ascii="Arial Narrow" w:eastAsia="MS Gothic" w:hAnsi="Arial Narrow" w:cs="Times New Roman"/>
                <w:bCs/>
                <w:iCs/>
                <w:sz w:val="20"/>
                <w:szCs w:val="20"/>
              </w:rPr>
            </w:pPr>
            <w:r w:rsidRPr="0098660A">
              <w:rPr>
                <w:rFonts w:ascii="Arial Narrow" w:eastAsia="MS Gothic" w:hAnsi="Arial Narrow" w:cs="Times New Roman"/>
                <w:bCs/>
                <w:iCs/>
                <w:sz w:val="20"/>
                <w:szCs w:val="20"/>
              </w:rPr>
              <w:t>Change in LDH level, mean (U/L)</w:t>
            </w:r>
          </w:p>
        </w:tc>
        <w:tc>
          <w:tcPr>
            <w:tcW w:w="1587" w:type="pct"/>
            <w:vAlign w:val="center"/>
          </w:tcPr>
          <w:p w14:paraId="5B750518"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-2,019.23</w:t>
            </w:r>
          </w:p>
        </w:tc>
        <w:tc>
          <w:tcPr>
            <w:tcW w:w="1587" w:type="pct"/>
            <w:vAlign w:val="center"/>
          </w:tcPr>
          <w:p w14:paraId="33515C0F"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-1,255.18</w:t>
            </w:r>
          </w:p>
        </w:tc>
      </w:tr>
      <w:tr w:rsidR="00461C55" w:rsidRPr="0098660A" w14:paraId="50AE191B" w14:textId="77777777" w:rsidTr="00857DDE">
        <w:trPr>
          <w:tblHeader/>
        </w:trPr>
        <w:tc>
          <w:tcPr>
            <w:tcW w:w="1826" w:type="pct"/>
            <w:vAlign w:val="center"/>
          </w:tcPr>
          <w:p w14:paraId="2E256D66" w14:textId="77777777" w:rsidR="002E4876" w:rsidRPr="0098660A" w:rsidRDefault="002E4876" w:rsidP="002E4876">
            <w:pPr>
              <w:keepNext/>
              <w:keepLines/>
              <w:jc w:val="left"/>
              <w:rPr>
                <w:rFonts w:ascii="Arial Narrow" w:eastAsia="MS Gothic" w:hAnsi="Arial Narrow" w:cs="Times New Roman"/>
                <w:bCs/>
                <w:iCs/>
                <w:sz w:val="20"/>
                <w:szCs w:val="20"/>
              </w:rPr>
            </w:pPr>
            <w:r w:rsidRPr="0098660A">
              <w:rPr>
                <w:rFonts w:ascii="Arial Narrow" w:eastAsia="MS Gothic" w:hAnsi="Arial Narrow" w:cs="Times New Roman"/>
                <w:bCs/>
                <w:iCs/>
                <w:sz w:val="20"/>
                <w:szCs w:val="20"/>
              </w:rPr>
              <w:t xml:space="preserve">   Difference (95% CI)</w:t>
            </w:r>
          </w:p>
        </w:tc>
        <w:tc>
          <w:tcPr>
            <w:tcW w:w="3174" w:type="pct"/>
            <w:gridSpan w:val="2"/>
            <w:vAlign w:val="center"/>
          </w:tcPr>
          <w:p w14:paraId="6CE2B7B2"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-764.05 (-1,093.48, -434.63)</w:t>
            </w:r>
          </w:p>
        </w:tc>
      </w:tr>
      <w:tr w:rsidR="00461C55" w:rsidRPr="0098660A" w14:paraId="0F868EC7" w14:textId="77777777" w:rsidTr="00857DDE">
        <w:trPr>
          <w:tblHeader/>
        </w:trPr>
        <w:tc>
          <w:tcPr>
            <w:tcW w:w="1826" w:type="pct"/>
          </w:tcPr>
          <w:p w14:paraId="4205FAF3" w14:textId="77777777" w:rsidR="002E4876" w:rsidRPr="0098660A" w:rsidRDefault="002E4876" w:rsidP="002E4876">
            <w:pPr>
              <w:widowControl w:val="0"/>
              <w:ind w:left="174"/>
              <w:jc w:val="left"/>
              <w:rPr>
                <w:rFonts w:ascii="Arial Narrow" w:eastAsia="MS Gothic" w:hAnsi="Arial Narrow" w:cs="Times New Roman"/>
                <w:bCs/>
                <w:sz w:val="20"/>
                <w:szCs w:val="20"/>
              </w:rPr>
            </w:pPr>
            <w:r w:rsidRPr="0098660A">
              <w:rPr>
                <w:rFonts w:ascii="Arial Narrow" w:eastAsia="MS Gothic" w:hAnsi="Arial Narrow" w:cs="Times New Roman"/>
                <w:bCs/>
                <w:sz w:val="20"/>
                <w:szCs w:val="20"/>
              </w:rPr>
              <w:t>p-value</w:t>
            </w:r>
          </w:p>
        </w:tc>
        <w:tc>
          <w:tcPr>
            <w:tcW w:w="3174" w:type="pct"/>
            <w:gridSpan w:val="2"/>
            <w:vAlign w:val="center"/>
          </w:tcPr>
          <w:p w14:paraId="7A790375" w14:textId="77777777" w:rsidR="002E4876" w:rsidRPr="0098660A" w:rsidRDefault="002E4876" w:rsidP="002E4876">
            <w:pPr>
              <w:widowControl w:val="0"/>
              <w:jc w:val="center"/>
              <w:rPr>
                <w:rFonts w:ascii="Arial Narrow" w:eastAsia="MS Gothic" w:hAnsi="Arial Narrow" w:cs="Times New Roman"/>
                <w:bCs/>
                <w:sz w:val="20"/>
                <w:szCs w:val="20"/>
              </w:rPr>
            </w:pPr>
            <w:r w:rsidRPr="0098660A">
              <w:rPr>
                <w:rFonts w:ascii="Arial Narrow" w:hAnsi="Arial Narrow"/>
                <w:sz w:val="20"/>
                <w:szCs w:val="20"/>
              </w:rPr>
              <w:t>&lt;0.0001</w:t>
            </w:r>
          </w:p>
        </w:tc>
      </w:tr>
      <w:tr w:rsidR="00461C55" w:rsidRPr="0098660A" w14:paraId="69ECB346" w14:textId="77777777" w:rsidTr="00857DDE">
        <w:trPr>
          <w:tblHeader/>
        </w:trPr>
        <w:tc>
          <w:tcPr>
            <w:tcW w:w="1826" w:type="pct"/>
            <w:vAlign w:val="center"/>
          </w:tcPr>
          <w:p w14:paraId="382011BB" w14:textId="77777777" w:rsidR="002E4876" w:rsidRPr="0098660A" w:rsidRDefault="002E4876" w:rsidP="002E4876">
            <w:pPr>
              <w:keepNext/>
              <w:keepLines/>
              <w:jc w:val="left"/>
              <w:rPr>
                <w:rFonts w:ascii="Arial Narrow" w:eastAsia="MS Gothic" w:hAnsi="Arial Narrow" w:cs="Times New Roman"/>
                <w:bCs/>
                <w:iCs/>
                <w:sz w:val="20"/>
                <w:szCs w:val="20"/>
              </w:rPr>
            </w:pPr>
            <w:r w:rsidRPr="0098660A">
              <w:rPr>
                <w:rFonts w:ascii="Arial Narrow" w:eastAsia="MS Gothic" w:hAnsi="Arial Narrow" w:cs="Times New Roman"/>
                <w:bCs/>
                <w:iCs/>
                <w:sz w:val="20"/>
                <w:szCs w:val="20"/>
              </w:rPr>
              <w:t>LDH normalisation (%)</w:t>
            </w:r>
          </w:p>
        </w:tc>
        <w:tc>
          <w:tcPr>
            <w:tcW w:w="1587" w:type="pct"/>
            <w:vAlign w:val="center"/>
          </w:tcPr>
          <w:p w14:paraId="4154F791"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74.94</w:t>
            </w:r>
          </w:p>
        </w:tc>
        <w:tc>
          <w:tcPr>
            <w:tcW w:w="1587" w:type="pct"/>
            <w:vAlign w:val="center"/>
          </w:tcPr>
          <w:p w14:paraId="73AA5E33"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49.00</w:t>
            </w:r>
          </w:p>
        </w:tc>
      </w:tr>
      <w:tr w:rsidR="00461C55" w:rsidRPr="0098660A" w14:paraId="168F0D92" w14:textId="77777777" w:rsidTr="00857DDE">
        <w:trPr>
          <w:tblHeader/>
        </w:trPr>
        <w:tc>
          <w:tcPr>
            <w:tcW w:w="1826" w:type="pct"/>
            <w:vAlign w:val="center"/>
          </w:tcPr>
          <w:p w14:paraId="38A6823C" w14:textId="77777777" w:rsidR="002E4876" w:rsidRPr="0098660A" w:rsidRDefault="002E4876" w:rsidP="002E4876">
            <w:pPr>
              <w:keepNext/>
              <w:keepLines/>
              <w:jc w:val="left"/>
              <w:rPr>
                <w:rFonts w:ascii="Arial Narrow" w:eastAsia="MS Gothic" w:hAnsi="Arial Narrow" w:cs="Times New Roman"/>
                <w:bCs/>
                <w:iCs/>
                <w:sz w:val="20"/>
                <w:szCs w:val="20"/>
              </w:rPr>
            </w:pPr>
            <w:r w:rsidRPr="0098660A">
              <w:rPr>
                <w:rFonts w:ascii="Arial Narrow" w:eastAsia="MS Gothic" w:hAnsi="Arial Narrow" w:cs="Times New Roman"/>
                <w:bCs/>
                <w:iCs/>
                <w:sz w:val="20"/>
                <w:szCs w:val="20"/>
              </w:rPr>
              <w:t xml:space="preserve">   Difference (95% CI)</w:t>
            </w:r>
          </w:p>
        </w:tc>
        <w:tc>
          <w:tcPr>
            <w:tcW w:w="3174" w:type="pct"/>
            <w:gridSpan w:val="2"/>
            <w:vAlign w:val="center"/>
          </w:tcPr>
          <w:p w14:paraId="66DF10A9"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25.94 (6.40, 45.48)</w:t>
            </w:r>
          </w:p>
        </w:tc>
      </w:tr>
      <w:tr w:rsidR="00461C55" w:rsidRPr="0098660A" w14:paraId="543F59F9" w14:textId="77777777" w:rsidTr="00857DDE">
        <w:trPr>
          <w:tblHeader/>
        </w:trPr>
        <w:tc>
          <w:tcPr>
            <w:tcW w:w="1826" w:type="pct"/>
          </w:tcPr>
          <w:p w14:paraId="09085C48" w14:textId="77777777" w:rsidR="002E4876" w:rsidRPr="0098660A" w:rsidRDefault="002E4876" w:rsidP="002E4876">
            <w:pPr>
              <w:widowControl w:val="0"/>
              <w:ind w:left="174"/>
              <w:jc w:val="left"/>
              <w:rPr>
                <w:rFonts w:ascii="Arial Narrow" w:eastAsia="MS Gothic" w:hAnsi="Arial Narrow" w:cs="Times New Roman"/>
                <w:bCs/>
                <w:sz w:val="20"/>
                <w:szCs w:val="20"/>
              </w:rPr>
            </w:pPr>
            <w:r w:rsidRPr="0098660A">
              <w:rPr>
                <w:rFonts w:ascii="Arial Narrow" w:eastAsia="MS Gothic" w:hAnsi="Arial Narrow" w:cs="Times New Roman"/>
                <w:bCs/>
                <w:sz w:val="20"/>
                <w:szCs w:val="20"/>
              </w:rPr>
              <w:t>p-value</w:t>
            </w:r>
          </w:p>
        </w:tc>
        <w:tc>
          <w:tcPr>
            <w:tcW w:w="3174" w:type="pct"/>
            <w:gridSpan w:val="2"/>
            <w:vAlign w:val="center"/>
          </w:tcPr>
          <w:p w14:paraId="20C8D926" w14:textId="77777777" w:rsidR="002E4876" w:rsidRPr="0098660A" w:rsidRDefault="002E4876" w:rsidP="002E4876">
            <w:pPr>
              <w:widowControl w:val="0"/>
              <w:jc w:val="center"/>
              <w:rPr>
                <w:rFonts w:ascii="Arial Narrow" w:eastAsia="MS Gothic" w:hAnsi="Arial Narrow" w:cs="Times New Roman"/>
                <w:bCs/>
                <w:sz w:val="20"/>
                <w:szCs w:val="20"/>
              </w:rPr>
            </w:pPr>
            <w:r w:rsidRPr="0098660A">
              <w:rPr>
                <w:rFonts w:ascii="Arial Narrow" w:hAnsi="Arial Narrow"/>
                <w:sz w:val="20"/>
                <w:szCs w:val="20"/>
              </w:rPr>
              <w:t>0.0093</w:t>
            </w:r>
          </w:p>
        </w:tc>
      </w:tr>
      <w:tr w:rsidR="00461C55" w:rsidRPr="0098660A" w14:paraId="7929B890" w14:textId="77777777" w:rsidTr="00857DDE">
        <w:trPr>
          <w:tblHeader/>
        </w:trPr>
        <w:tc>
          <w:tcPr>
            <w:tcW w:w="1826" w:type="pct"/>
            <w:vAlign w:val="center"/>
          </w:tcPr>
          <w:p w14:paraId="1D6B9720" w14:textId="77777777" w:rsidR="002E4876" w:rsidRPr="0098660A" w:rsidRDefault="002E4876" w:rsidP="002E4876">
            <w:pPr>
              <w:keepNext/>
              <w:keepLines/>
              <w:jc w:val="left"/>
              <w:rPr>
                <w:rFonts w:ascii="Arial Narrow" w:eastAsia="MS Gothic" w:hAnsi="Arial Narrow" w:cs="Times New Roman"/>
                <w:bCs/>
                <w:iCs/>
                <w:sz w:val="20"/>
                <w:szCs w:val="20"/>
              </w:rPr>
            </w:pPr>
            <w:r w:rsidRPr="0098660A">
              <w:rPr>
                <w:rFonts w:ascii="Arial Narrow" w:eastAsia="MS Gothic" w:hAnsi="Arial Narrow" w:cs="Times New Roman"/>
                <w:bCs/>
                <w:iCs/>
                <w:sz w:val="20"/>
                <w:szCs w:val="20"/>
              </w:rPr>
              <w:t>Haemoglobin stabilisation (%)</w:t>
            </w:r>
          </w:p>
        </w:tc>
        <w:tc>
          <w:tcPr>
            <w:tcW w:w="1587" w:type="pct"/>
            <w:vAlign w:val="center"/>
          </w:tcPr>
          <w:p w14:paraId="43916F28"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94.35</w:t>
            </w:r>
          </w:p>
        </w:tc>
        <w:tc>
          <w:tcPr>
            <w:tcW w:w="1587" w:type="pct"/>
            <w:vAlign w:val="center"/>
          </w:tcPr>
          <w:p w14:paraId="3D6224C7"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68.00</w:t>
            </w:r>
          </w:p>
        </w:tc>
      </w:tr>
      <w:tr w:rsidR="00461C55" w:rsidRPr="0098660A" w14:paraId="7905C7A7" w14:textId="77777777" w:rsidTr="00857DDE">
        <w:trPr>
          <w:tblHeader/>
        </w:trPr>
        <w:tc>
          <w:tcPr>
            <w:tcW w:w="1826" w:type="pct"/>
            <w:vAlign w:val="center"/>
          </w:tcPr>
          <w:p w14:paraId="509A5716" w14:textId="77777777" w:rsidR="002E4876" w:rsidRPr="0098660A" w:rsidRDefault="002E4876" w:rsidP="002E4876">
            <w:pPr>
              <w:keepNext/>
              <w:keepLines/>
              <w:jc w:val="left"/>
              <w:rPr>
                <w:rFonts w:ascii="Arial Narrow" w:eastAsia="MS Gothic" w:hAnsi="Arial Narrow" w:cs="Times New Roman"/>
                <w:bCs/>
                <w:iCs/>
                <w:sz w:val="20"/>
                <w:szCs w:val="20"/>
              </w:rPr>
            </w:pPr>
            <w:r w:rsidRPr="0098660A">
              <w:rPr>
                <w:rFonts w:ascii="Arial Narrow" w:eastAsia="MS Gothic" w:hAnsi="Arial Narrow" w:cs="Times New Roman"/>
                <w:bCs/>
                <w:iCs/>
                <w:sz w:val="20"/>
                <w:szCs w:val="20"/>
              </w:rPr>
              <w:t xml:space="preserve">   Difference (95% CI)</w:t>
            </w:r>
          </w:p>
        </w:tc>
        <w:tc>
          <w:tcPr>
            <w:tcW w:w="3174" w:type="pct"/>
            <w:gridSpan w:val="2"/>
            <w:vAlign w:val="center"/>
          </w:tcPr>
          <w:p w14:paraId="4C0BBAB0"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26.35 (14.83, 37.86)</w:t>
            </w:r>
          </w:p>
        </w:tc>
      </w:tr>
      <w:tr w:rsidR="00461C55" w:rsidRPr="0098660A" w14:paraId="4E205348" w14:textId="77777777" w:rsidTr="00857DDE">
        <w:trPr>
          <w:tblHeader/>
        </w:trPr>
        <w:tc>
          <w:tcPr>
            <w:tcW w:w="1826" w:type="pct"/>
          </w:tcPr>
          <w:p w14:paraId="6DC94A13" w14:textId="77777777" w:rsidR="002E4876" w:rsidRPr="0098660A" w:rsidRDefault="002E4876" w:rsidP="002E4876">
            <w:pPr>
              <w:widowControl w:val="0"/>
              <w:ind w:left="174"/>
              <w:jc w:val="left"/>
              <w:rPr>
                <w:rFonts w:ascii="Arial Narrow" w:eastAsia="MS Gothic" w:hAnsi="Arial Narrow" w:cs="Times New Roman"/>
                <w:bCs/>
                <w:sz w:val="20"/>
                <w:szCs w:val="20"/>
              </w:rPr>
            </w:pPr>
            <w:r w:rsidRPr="0098660A">
              <w:rPr>
                <w:rFonts w:ascii="Arial Narrow" w:eastAsia="MS Gothic" w:hAnsi="Arial Narrow" w:cs="Times New Roman"/>
                <w:bCs/>
                <w:sz w:val="20"/>
                <w:szCs w:val="20"/>
              </w:rPr>
              <w:t>p-value</w:t>
            </w:r>
          </w:p>
        </w:tc>
        <w:tc>
          <w:tcPr>
            <w:tcW w:w="3174" w:type="pct"/>
            <w:gridSpan w:val="2"/>
            <w:vAlign w:val="center"/>
          </w:tcPr>
          <w:p w14:paraId="5E2BB735" w14:textId="77777777" w:rsidR="002E4876" w:rsidRPr="0098660A" w:rsidRDefault="002E4876" w:rsidP="002E4876">
            <w:pPr>
              <w:widowControl w:val="0"/>
              <w:jc w:val="center"/>
              <w:rPr>
                <w:rFonts w:ascii="Arial Narrow" w:eastAsia="MS Gothic" w:hAnsi="Arial Narrow" w:cs="Times New Roman"/>
                <w:bCs/>
                <w:sz w:val="20"/>
                <w:szCs w:val="20"/>
              </w:rPr>
            </w:pPr>
            <w:r w:rsidRPr="0098660A">
              <w:rPr>
                <w:rFonts w:ascii="Arial Narrow" w:hAnsi="Arial Narrow"/>
                <w:sz w:val="20"/>
                <w:szCs w:val="20"/>
              </w:rPr>
              <w:t>&lt;0.0001</w:t>
            </w:r>
          </w:p>
        </w:tc>
      </w:tr>
      <w:tr w:rsidR="00461C55" w:rsidRPr="0098660A" w14:paraId="0275413D" w14:textId="77777777" w:rsidTr="00857DDE">
        <w:trPr>
          <w:tblHeader/>
        </w:trPr>
        <w:tc>
          <w:tcPr>
            <w:tcW w:w="1826" w:type="pct"/>
            <w:vAlign w:val="center"/>
          </w:tcPr>
          <w:p w14:paraId="4927C1A1" w14:textId="77777777" w:rsidR="002E4876" w:rsidRPr="0098660A" w:rsidRDefault="002E4876" w:rsidP="002E4876">
            <w:pPr>
              <w:keepNext/>
              <w:keepLines/>
              <w:jc w:val="left"/>
              <w:rPr>
                <w:rFonts w:ascii="Arial Narrow" w:eastAsia="MS Gothic" w:hAnsi="Arial Narrow" w:cs="Times New Roman"/>
                <w:bCs/>
                <w:iCs/>
                <w:sz w:val="20"/>
                <w:szCs w:val="20"/>
              </w:rPr>
            </w:pPr>
            <w:r w:rsidRPr="0098660A">
              <w:rPr>
                <w:rFonts w:ascii="Arial Narrow" w:hAnsi="Arial Narrow"/>
                <w:sz w:val="20"/>
                <w:szCs w:val="20"/>
              </w:rPr>
              <w:t>Transfusion avoidance</w:t>
            </w:r>
            <w:r w:rsidRPr="0098660A">
              <w:rPr>
                <w:rFonts w:ascii="Arial Narrow" w:eastAsia="MS Gothic" w:hAnsi="Arial Narrow" w:cs="Times New Roman"/>
                <w:bCs/>
                <w:iCs/>
                <w:sz w:val="20"/>
                <w:szCs w:val="20"/>
              </w:rPr>
              <w:t xml:space="preserve"> (%)</w:t>
            </w:r>
          </w:p>
        </w:tc>
        <w:tc>
          <w:tcPr>
            <w:tcW w:w="1587" w:type="pct"/>
            <w:vAlign w:val="center"/>
          </w:tcPr>
          <w:p w14:paraId="153C1A7A"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94.35</w:t>
            </w:r>
          </w:p>
        </w:tc>
        <w:tc>
          <w:tcPr>
            <w:tcW w:w="1587" w:type="pct"/>
            <w:vAlign w:val="center"/>
          </w:tcPr>
          <w:p w14:paraId="3DD07DC2"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73.60</w:t>
            </w:r>
          </w:p>
        </w:tc>
      </w:tr>
      <w:tr w:rsidR="00461C55" w:rsidRPr="0098660A" w14:paraId="36FE4ED8" w14:textId="77777777" w:rsidTr="00857DDE">
        <w:trPr>
          <w:tblHeader/>
        </w:trPr>
        <w:tc>
          <w:tcPr>
            <w:tcW w:w="1826" w:type="pct"/>
            <w:vAlign w:val="center"/>
          </w:tcPr>
          <w:p w14:paraId="675478C1" w14:textId="77777777" w:rsidR="002E4876" w:rsidRPr="0098660A" w:rsidRDefault="002E4876" w:rsidP="002E4876">
            <w:pPr>
              <w:keepNext/>
              <w:keepLines/>
              <w:jc w:val="left"/>
              <w:rPr>
                <w:rFonts w:ascii="Arial Narrow" w:eastAsia="MS Gothic" w:hAnsi="Arial Narrow" w:cs="Times New Roman"/>
                <w:bCs/>
                <w:iCs/>
                <w:sz w:val="20"/>
                <w:szCs w:val="20"/>
              </w:rPr>
            </w:pPr>
            <w:r w:rsidRPr="0098660A">
              <w:rPr>
                <w:rFonts w:ascii="Arial Narrow" w:eastAsia="MS Gothic" w:hAnsi="Arial Narrow" w:cs="Times New Roman"/>
                <w:bCs/>
                <w:iCs/>
                <w:sz w:val="20"/>
                <w:szCs w:val="20"/>
              </w:rPr>
              <w:t xml:space="preserve">   Difference (95% CI)</w:t>
            </w:r>
          </w:p>
        </w:tc>
        <w:tc>
          <w:tcPr>
            <w:tcW w:w="3174" w:type="pct"/>
            <w:gridSpan w:val="2"/>
            <w:vAlign w:val="center"/>
          </w:tcPr>
          <w:p w14:paraId="2EA97BC7"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20.75 (9.55, 31.94)</w:t>
            </w:r>
          </w:p>
        </w:tc>
      </w:tr>
      <w:tr w:rsidR="00461C55" w:rsidRPr="0098660A" w14:paraId="387A3203" w14:textId="77777777" w:rsidTr="00857DDE">
        <w:trPr>
          <w:tblHeader/>
        </w:trPr>
        <w:tc>
          <w:tcPr>
            <w:tcW w:w="1826" w:type="pct"/>
          </w:tcPr>
          <w:p w14:paraId="55238E3B" w14:textId="77777777" w:rsidR="002E4876" w:rsidRPr="0098660A" w:rsidRDefault="002E4876" w:rsidP="002E4876">
            <w:pPr>
              <w:widowControl w:val="0"/>
              <w:ind w:left="174"/>
              <w:jc w:val="left"/>
              <w:rPr>
                <w:rFonts w:ascii="Arial Narrow" w:eastAsia="MS Gothic" w:hAnsi="Arial Narrow" w:cs="Times New Roman"/>
                <w:bCs/>
                <w:sz w:val="20"/>
                <w:szCs w:val="20"/>
              </w:rPr>
            </w:pPr>
            <w:r w:rsidRPr="0098660A">
              <w:rPr>
                <w:rFonts w:ascii="Arial Narrow" w:eastAsia="MS Gothic" w:hAnsi="Arial Narrow" w:cs="Times New Roman"/>
                <w:bCs/>
                <w:sz w:val="20"/>
                <w:szCs w:val="20"/>
              </w:rPr>
              <w:t>p-value</w:t>
            </w:r>
          </w:p>
        </w:tc>
        <w:tc>
          <w:tcPr>
            <w:tcW w:w="3174" w:type="pct"/>
            <w:gridSpan w:val="2"/>
            <w:vAlign w:val="center"/>
          </w:tcPr>
          <w:p w14:paraId="50145E80" w14:textId="77777777" w:rsidR="002E4876" w:rsidRPr="0098660A" w:rsidRDefault="002E4876" w:rsidP="002E4876">
            <w:pPr>
              <w:widowControl w:val="0"/>
              <w:jc w:val="center"/>
              <w:rPr>
                <w:rFonts w:ascii="Arial Narrow" w:eastAsia="MS Gothic" w:hAnsi="Arial Narrow" w:cs="Times New Roman"/>
                <w:bCs/>
                <w:sz w:val="20"/>
                <w:szCs w:val="20"/>
              </w:rPr>
            </w:pPr>
            <w:r w:rsidRPr="0098660A">
              <w:rPr>
                <w:rFonts w:ascii="Arial Narrow" w:hAnsi="Arial Narrow"/>
                <w:sz w:val="20"/>
                <w:szCs w:val="20"/>
              </w:rPr>
              <w:t>0.0003</w:t>
            </w:r>
          </w:p>
        </w:tc>
      </w:tr>
      <w:tr w:rsidR="00461C55" w:rsidRPr="0098660A" w14:paraId="47E25DCE" w14:textId="77777777" w:rsidTr="00857DDE">
        <w:trPr>
          <w:tblHeader/>
        </w:trPr>
        <w:tc>
          <w:tcPr>
            <w:tcW w:w="1826" w:type="pct"/>
            <w:vAlign w:val="center"/>
          </w:tcPr>
          <w:p w14:paraId="42DD6AF1" w14:textId="77777777" w:rsidR="002E4876" w:rsidRPr="0098660A" w:rsidRDefault="002E4876" w:rsidP="002E4876">
            <w:pPr>
              <w:keepNext/>
              <w:keepLines/>
              <w:ind w:right="-111"/>
              <w:jc w:val="left"/>
              <w:rPr>
                <w:rFonts w:ascii="Arial Narrow" w:eastAsia="MS Gothic" w:hAnsi="Arial Narrow" w:cs="Times New Roman"/>
                <w:bCs/>
                <w:iCs/>
                <w:sz w:val="20"/>
                <w:szCs w:val="20"/>
              </w:rPr>
            </w:pPr>
            <w:r w:rsidRPr="0098660A">
              <w:rPr>
                <w:rFonts w:ascii="Arial Narrow" w:hAnsi="Arial Narrow"/>
                <w:sz w:val="20"/>
                <w:szCs w:val="20"/>
              </w:rPr>
              <w:t>Breakthrough haemolysis, mean</w:t>
            </w:r>
            <w:r w:rsidRPr="0098660A">
              <w:rPr>
                <w:rFonts w:ascii="Arial Narrow" w:eastAsia="MS Gothic" w:hAnsi="Arial Narrow" w:cs="Times New Roman"/>
                <w:bCs/>
                <w:iCs/>
                <w:sz w:val="20"/>
                <w:szCs w:val="20"/>
              </w:rPr>
              <w:t xml:space="preserve"> (%)</w:t>
            </w:r>
          </w:p>
        </w:tc>
        <w:tc>
          <w:tcPr>
            <w:tcW w:w="1587" w:type="pct"/>
            <w:vAlign w:val="center"/>
          </w:tcPr>
          <w:p w14:paraId="435C6ED3"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0.00</w:t>
            </w:r>
          </w:p>
        </w:tc>
        <w:tc>
          <w:tcPr>
            <w:tcW w:w="1587" w:type="pct"/>
            <w:vAlign w:val="center"/>
          </w:tcPr>
          <w:p w14:paraId="4C14753C"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4.00</w:t>
            </w:r>
          </w:p>
        </w:tc>
      </w:tr>
      <w:tr w:rsidR="00461C55" w:rsidRPr="0098660A" w14:paraId="28C2ECC7" w14:textId="77777777" w:rsidTr="00857DDE">
        <w:trPr>
          <w:tblHeader/>
        </w:trPr>
        <w:tc>
          <w:tcPr>
            <w:tcW w:w="1826" w:type="pct"/>
            <w:vAlign w:val="center"/>
          </w:tcPr>
          <w:p w14:paraId="52358DF6" w14:textId="77777777" w:rsidR="002E4876" w:rsidRPr="0098660A" w:rsidRDefault="002E4876" w:rsidP="002E4876">
            <w:pPr>
              <w:keepNext/>
              <w:keepLines/>
              <w:jc w:val="left"/>
              <w:rPr>
                <w:rFonts w:ascii="Arial Narrow" w:eastAsia="MS Gothic" w:hAnsi="Arial Narrow" w:cs="Times New Roman"/>
                <w:bCs/>
                <w:iCs/>
                <w:sz w:val="20"/>
                <w:szCs w:val="20"/>
              </w:rPr>
            </w:pPr>
            <w:r w:rsidRPr="0098660A">
              <w:rPr>
                <w:rFonts w:ascii="Arial Narrow" w:eastAsia="MS Gothic" w:hAnsi="Arial Narrow" w:cs="Times New Roman"/>
                <w:bCs/>
                <w:iCs/>
                <w:sz w:val="20"/>
                <w:szCs w:val="20"/>
              </w:rPr>
              <w:t xml:space="preserve">   Difference (95% CI)</w:t>
            </w:r>
          </w:p>
        </w:tc>
        <w:tc>
          <w:tcPr>
            <w:tcW w:w="3174" w:type="pct"/>
            <w:gridSpan w:val="2"/>
            <w:vAlign w:val="center"/>
          </w:tcPr>
          <w:p w14:paraId="6B94064F"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-4.00 (-7.44, -0.56)</w:t>
            </w:r>
          </w:p>
        </w:tc>
      </w:tr>
      <w:tr w:rsidR="00461C55" w:rsidRPr="0098660A" w14:paraId="247F54B7" w14:textId="77777777" w:rsidTr="00857DDE">
        <w:trPr>
          <w:tblHeader/>
        </w:trPr>
        <w:tc>
          <w:tcPr>
            <w:tcW w:w="1826" w:type="pct"/>
          </w:tcPr>
          <w:p w14:paraId="59024D4E" w14:textId="77777777" w:rsidR="002E4876" w:rsidRPr="0098660A" w:rsidRDefault="002E4876" w:rsidP="002E4876">
            <w:pPr>
              <w:widowControl w:val="0"/>
              <w:ind w:left="174"/>
              <w:jc w:val="left"/>
              <w:rPr>
                <w:rFonts w:ascii="Arial Narrow" w:eastAsia="MS Gothic" w:hAnsi="Arial Narrow" w:cs="Times New Roman"/>
                <w:bCs/>
                <w:sz w:val="20"/>
                <w:szCs w:val="20"/>
              </w:rPr>
            </w:pPr>
            <w:r w:rsidRPr="0098660A">
              <w:rPr>
                <w:rFonts w:ascii="Arial Narrow" w:eastAsia="MS Gothic" w:hAnsi="Arial Narrow" w:cs="Times New Roman"/>
                <w:bCs/>
                <w:sz w:val="20"/>
                <w:szCs w:val="20"/>
              </w:rPr>
              <w:t>p-value</w:t>
            </w:r>
          </w:p>
        </w:tc>
        <w:tc>
          <w:tcPr>
            <w:tcW w:w="3174" w:type="pct"/>
            <w:gridSpan w:val="2"/>
            <w:vAlign w:val="center"/>
          </w:tcPr>
          <w:p w14:paraId="485CA052" w14:textId="77777777" w:rsidR="002E4876" w:rsidRPr="0098660A" w:rsidRDefault="002E4876" w:rsidP="002E4876">
            <w:pPr>
              <w:widowControl w:val="0"/>
              <w:jc w:val="center"/>
              <w:rPr>
                <w:rFonts w:ascii="Arial Narrow" w:eastAsia="MS Gothic" w:hAnsi="Arial Narrow" w:cs="Times New Roman"/>
                <w:bCs/>
                <w:sz w:val="20"/>
                <w:szCs w:val="20"/>
              </w:rPr>
            </w:pPr>
            <w:r w:rsidRPr="0098660A">
              <w:rPr>
                <w:rFonts w:ascii="Arial Narrow" w:hAnsi="Arial Narrow"/>
                <w:sz w:val="20"/>
                <w:szCs w:val="20"/>
              </w:rPr>
              <w:t>0.0225</w:t>
            </w:r>
          </w:p>
        </w:tc>
      </w:tr>
      <w:tr w:rsidR="00461C55" w:rsidRPr="0098660A" w14:paraId="64501C45" w14:textId="77777777" w:rsidTr="00857DDE">
        <w:trPr>
          <w:tblHeader/>
        </w:trPr>
        <w:tc>
          <w:tcPr>
            <w:tcW w:w="1826" w:type="pct"/>
            <w:vAlign w:val="center"/>
          </w:tcPr>
          <w:p w14:paraId="43E1ABAD" w14:textId="77777777" w:rsidR="002E4876" w:rsidRPr="0098660A" w:rsidRDefault="002E4876" w:rsidP="002E4876">
            <w:pPr>
              <w:keepNext/>
              <w:keepLines/>
              <w:jc w:val="left"/>
              <w:rPr>
                <w:rFonts w:ascii="Arial Narrow" w:eastAsia="MS Gothic" w:hAnsi="Arial Narrow" w:cs="Times New Roman"/>
                <w:bCs/>
                <w:iCs/>
                <w:sz w:val="20"/>
                <w:szCs w:val="20"/>
              </w:rPr>
            </w:pPr>
            <w:r w:rsidRPr="0098660A">
              <w:rPr>
                <w:rFonts w:ascii="Arial Narrow" w:hAnsi="Arial Narrow"/>
                <w:sz w:val="20"/>
                <w:szCs w:val="20"/>
              </w:rPr>
              <w:t>MAVEs</w:t>
            </w:r>
          </w:p>
        </w:tc>
        <w:tc>
          <w:tcPr>
            <w:tcW w:w="1587" w:type="pct"/>
            <w:vAlign w:val="center"/>
          </w:tcPr>
          <w:p w14:paraId="4383D25B"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0.00</w:t>
            </w:r>
          </w:p>
        </w:tc>
        <w:tc>
          <w:tcPr>
            <w:tcW w:w="1587" w:type="pct"/>
            <w:vAlign w:val="center"/>
          </w:tcPr>
          <w:p w14:paraId="3329C3FA"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eastAsia="MS Gothic" w:hAnsi="Arial Narrow"/>
                <w:bCs/>
                <w:iCs/>
                <w:sz w:val="20"/>
                <w:szCs w:val="20"/>
              </w:rPr>
              <w:t>1.60</w:t>
            </w:r>
          </w:p>
        </w:tc>
      </w:tr>
      <w:tr w:rsidR="00461C55" w:rsidRPr="0098660A" w14:paraId="11B56B29" w14:textId="77777777" w:rsidTr="00857DDE">
        <w:trPr>
          <w:tblHeader/>
        </w:trPr>
        <w:tc>
          <w:tcPr>
            <w:tcW w:w="1826" w:type="pct"/>
            <w:vAlign w:val="center"/>
          </w:tcPr>
          <w:p w14:paraId="705963B9" w14:textId="77777777" w:rsidR="002E4876" w:rsidRPr="0098660A" w:rsidRDefault="002E4876" w:rsidP="002E4876">
            <w:pPr>
              <w:keepNext/>
              <w:keepLines/>
              <w:jc w:val="left"/>
              <w:rPr>
                <w:rFonts w:ascii="Arial Narrow" w:eastAsia="MS Gothic" w:hAnsi="Arial Narrow" w:cs="Times New Roman"/>
                <w:bCs/>
                <w:iCs/>
                <w:sz w:val="20"/>
                <w:szCs w:val="20"/>
              </w:rPr>
            </w:pPr>
            <w:r w:rsidRPr="0098660A">
              <w:rPr>
                <w:rFonts w:ascii="Arial Narrow" w:eastAsia="MS Gothic" w:hAnsi="Arial Narrow" w:cs="Times New Roman"/>
                <w:bCs/>
                <w:iCs/>
                <w:sz w:val="20"/>
                <w:szCs w:val="20"/>
              </w:rPr>
              <w:t xml:space="preserve">   Difference (95% CI)</w:t>
            </w:r>
          </w:p>
        </w:tc>
        <w:tc>
          <w:tcPr>
            <w:tcW w:w="3174" w:type="pct"/>
            <w:gridSpan w:val="2"/>
            <w:vAlign w:val="center"/>
          </w:tcPr>
          <w:p w14:paraId="30539630"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-1.60 (-3.80, 0.60)</w:t>
            </w:r>
          </w:p>
        </w:tc>
      </w:tr>
      <w:tr w:rsidR="00461C55" w:rsidRPr="0098660A" w14:paraId="4DA7708D" w14:textId="77777777" w:rsidTr="00857DDE">
        <w:trPr>
          <w:tblHeader/>
        </w:trPr>
        <w:tc>
          <w:tcPr>
            <w:tcW w:w="1826" w:type="pct"/>
          </w:tcPr>
          <w:p w14:paraId="77DCAE73" w14:textId="77777777" w:rsidR="002E4876" w:rsidRPr="0098660A" w:rsidRDefault="002E4876" w:rsidP="002E4876">
            <w:pPr>
              <w:widowControl w:val="0"/>
              <w:ind w:left="174"/>
              <w:jc w:val="left"/>
              <w:rPr>
                <w:rFonts w:ascii="Arial Narrow" w:eastAsia="MS Gothic" w:hAnsi="Arial Narrow" w:cs="Times New Roman"/>
                <w:bCs/>
                <w:sz w:val="20"/>
                <w:szCs w:val="20"/>
              </w:rPr>
            </w:pPr>
            <w:r w:rsidRPr="0098660A">
              <w:rPr>
                <w:rFonts w:ascii="Arial Narrow" w:eastAsia="MS Gothic" w:hAnsi="Arial Narrow" w:cs="Times New Roman"/>
                <w:bCs/>
                <w:sz w:val="20"/>
                <w:szCs w:val="20"/>
              </w:rPr>
              <w:t>p-value</w:t>
            </w:r>
          </w:p>
        </w:tc>
        <w:tc>
          <w:tcPr>
            <w:tcW w:w="3174" w:type="pct"/>
            <w:gridSpan w:val="2"/>
            <w:vAlign w:val="center"/>
          </w:tcPr>
          <w:p w14:paraId="681D7892" w14:textId="77777777" w:rsidR="002E4876" w:rsidRPr="0098660A" w:rsidRDefault="002E4876" w:rsidP="002E4876">
            <w:pPr>
              <w:widowControl w:val="0"/>
              <w:jc w:val="center"/>
              <w:rPr>
                <w:rFonts w:ascii="Arial Narrow" w:eastAsia="MS Gothic" w:hAnsi="Arial Narrow" w:cs="Times New Roman"/>
                <w:bCs/>
                <w:sz w:val="20"/>
                <w:szCs w:val="20"/>
              </w:rPr>
            </w:pPr>
            <w:r w:rsidRPr="0098660A">
              <w:rPr>
                <w:rFonts w:ascii="Arial Narrow" w:hAnsi="Arial Narrow"/>
                <w:sz w:val="20"/>
                <w:szCs w:val="20"/>
              </w:rPr>
              <w:t>0.1540</w:t>
            </w:r>
          </w:p>
        </w:tc>
      </w:tr>
      <w:tr w:rsidR="00461C55" w:rsidRPr="0098660A" w14:paraId="7DB4A582" w14:textId="77777777" w:rsidTr="00857DDE">
        <w:trPr>
          <w:tblHeader/>
        </w:trPr>
        <w:tc>
          <w:tcPr>
            <w:tcW w:w="1826" w:type="pct"/>
            <w:vAlign w:val="center"/>
          </w:tcPr>
          <w:p w14:paraId="2B95A033" w14:textId="77777777" w:rsidR="002E4876" w:rsidRPr="0098660A" w:rsidRDefault="002E4876" w:rsidP="002E4876">
            <w:pPr>
              <w:keepNext/>
              <w:keepLines/>
              <w:jc w:val="left"/>
              <w:rPr>
                <w:rFonts w:ascii="Arial Narrow" w:eastAsia="MS Gothic" w:hAnsi="Arial Narrow" w:cs="Times New Roman"/>
                <w:bCs/>
                <w:iCs/>
                <w:sz w:val="20"/>
                <w:szCs w:val="20"/>
              </w:rPr>
            </w:pPr>
            <w:r w:rsidRPr="0098660A">
              <w:rPr>
                <w:rFonts w:ascii="Arial Narrow" w:hAnsi="Arial Narrow"/>
                <w:sz w:val="20"/>
                <w:szCs w:val="20"/>
              </w:rPr>
              <w:t>Change from BL EORTC QLQ-C30 – general health status score, mean</w:t>
            </w:r>
          </w:p>
        </w:tc>
        <w:tc>
          <w:tcPr>
            <w:tcW w:w="1587" w:type="pct"/>
            <w:vAlign w:val="center"/>
          </w:tcPr>
          <w:p w14:paraId="262F893D"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26.11</w:t>
            </w:r>
          </w:p>
        </w:tc>
        <w:tc>
          <w:tcPr>
            <w:tcW w:w="1587" w:type="pct"/>
            <w:vAlign w:val="center"/>
          </w:tcPr>
          <w:p w14:paraId="08B0B24B"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13.20</w:t>
            </w:r>
          </w:p>
        </w:tc>
      </w:tr>
      <w:tr w:rsidR="00461C55" w:rsidRPr="0098660A" w14:paraId="7102A627" w14:textId="77777777" w:rsidTr="00857DDE">
        <w:trPr>
          <w:tblHeader/>
        </w:trPr>
        <w:tc>
          <w:tcPr>
            <w:tcW w:w="1826" w:type="pct"/>
            <w:vAlign w:val="center"/>
          </w:tcPr>
          <w:p w14:paraId="163E6A42" w14:textId="77777777" w:rsidR="002E4876" w:rsidRPr="0098660A" w:rsidRDefault="002E4876" w:rsidP="002E4876">
            <w:pPr>
              <w:keepNext/>
              <w:keepLines/>
              <w:jc w:val="left"/>
              <w:rPr>
                <w:rFonts w:ascii="Arial Narrow" w:eastAsia="MS Gothic" w:hAnsi="Arial Narrow" w:cs="Times New Roman"/>
                <w:bCs/>
                <w:iCs/>
                <w:sz w:val="20"/>
                <w:szCs w:val="20"/>
              </w:rPr>
            </w:pPr>
            <w:r w:rsidRPr="0098660A">
              <w:rPr>
                <w:rFonts w:ascii="Arial Narrow" w:eastAsia="MS Gothic" w:hAnsi="Arial Narrow" w:cs="Times New Roman"/>
                <w:bCs/>
                <w:iCs/>
                <w:sz w:val="20"/>
                <w:szCs w:val="20"/>
              </w:rPr>
              <w:t xml:space="preserve">   Difference (95% CI)</w:t>
            </w:r>
          </w:p>
        </w:tc>
        <w:tc>
          <w:tcPr>
            <w:tcW w:w="3174" w:type="pct"/>
            <w:gridSpan w:val="2"/>
            <w:vAlign w:val="center"/>
          </w:tcPr>
          <w:p w14:paraId="737F2D88"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12.91 (3.27, 22.56)</w:t>
            </w:r>
          </w:p>
        </w:tc>
      </w:tr>
      <w:tr w:rsidR="00461C55" w:rsidRPr="0098660A" w14:paraId="23C6ECF2" w14:textId="77777777" w:rsidTr="00857DDE">
        <w:trPr>
          <w:tblHeader/>
        </w:trPr>
        <w:tc>
          <w:tcPr>
            <w:tcW w:w="1826" w:type="pct"/>
          </w:tcPr>
          <w:p w14:paraId="0DAD07CE" w14:textId="77777777" w:rsidR="002E4876" w:rsidRPr="0098660A" w:rsidRDefault="002E4876" w:rsidP="002E4876">
            <w:pPr>
              <w:widowControl w:val="0"/>
              <w:ind w:left="174"/>
              <w:jc w:val="left"/>
              <w:rPr>
                <w:rFonts w:ascii="Arial Narrow" w:eastAsia="MS Gothic" w:hAnsi="Arial Narrow" w:cs="Times New Roman"/>
                <w:bCs/>
                <w:sz w:val="20"/>
                <w:szCs w:val="20"/>
              </w:rPr>
            </w:pPr>
            <w:r w:rsidRPr="0098660A">
              <w:rPr>
                <w:rFonts w:ascii="Arial Narrow" w:eastAsia="MS Gothic" w:hAnsi="Arial Narrow" w:cs="Times New Roman"/>
                <w:bCs/>
                <w:sz w:val="20"/>
                <w:szCs w:val="20"/>
              </w:rPr>
              <w:t>p-value</w:t>
            </w:r>
          </w:p>
        </w:tc>
        <w:tc>
          <w:tcPr>
            <w:tcW w:w="3174" w:type="pct"/>
            <w:gridSpan w:val="2"/>
            <w:vAlign w:val="center"/>
          </w:tcPr>
          <w:p w14:paraId="42111106" w14:textId="77777777" w:rsidR="002E4876" w:rsidRPr="0098660A" w:rsidRDefault="002E4876" w:rsidP="002E4876">
            <w:pPr>
              <w:widowControl w:val="0"/>
              <w:jc w:val="center"/>
              <w:rPr>
                <w:rFonts w:ascii="Arial Narrow" w:eastAsia="MS Gothic" w:hAnsi="Arial Narrow" w:cs="Times New Roman"/>
                <w:bCs/>
                <w:sz w:val="20"/>
                <w:szCs w:val="20"/>
              </w:rPr>
            </w:pPr>
            <w:r w:rsidRPr="0098660A">
              <w:rPr>
                <w:rFonts w:ascii="Arial Narrow" w:hAnsi="Arial Narrow"/>
                <w:sz w:val="20"/>
                <w:szCs w:val="20"/>
              </w:rPr>
              <w:t>0.0087</w:t>
            </w:r>
          </w:p>
        </w:tc>
      </w:tr>
      <w:tr w:rsidR="00461C55" w:rsidRPr="0098660A" w14:paraId="7397FB68" w14:textId="77777777" w:rsidTr="00857DDE">
        <w:trPr>
          <w:tblHeader/>
        </w:trPr>
        <w:tc>
          <w:tcPr>
            <w:tcW w:w="1826" w:type="pct"/>
            <w:vAlign w:val="center"/>
          </w:tcPr>
          <w:p w14:paraId="217CCA9F" w14:textId="77777777" w:rsidR="002E4876" w:rsidRPr="0098660A" w:rsidRDefault="002E4876" w:rsidP="002E4876">
            <w:pPr>
              <w:keepNext/>
              <w:keepLines/>
              <w:jc w:val="left"/>
              <w:rPr>
                <w:rFonts w:ascii="Arial Narrow" w:eastAsia="MS Gothic" w:hAnsi="Arial Narrow" w:cs="Times New Roman"/>
                <w:bCs/>
                <w:iCs/>
                <w:sz w:val="20"/>
                <w:szCs w:val="20"/>
              </w:rPr>
            </w:pPr>
            <w:r w:rsidRPr="0098660A">
              <w:rPr>
                <w:rFonts w:ascii="Arial Narrow" w:hAnsi="Arial Narrow"/>
                <w:sz w:val="20"/>
                <w:szCs w:val="20"/>
              </w:rPr>
              <w:t>Change from BL EORTC QLQ-C30 – physical functioning score, mean</w:t>
            </w:r>
          </w:p>
        </w:tc>
        <w:tc>
          <w:tcPr>
            <w:tcW w:w="1587" w:type="pct"/>
            <w:vAlign w:val="center"/>
          </w:tcPr>
          <w:p w14:paraId="4B75ECE9"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7.64</w:t>
            </w:r>
          </w:p>
        </w:tc>
        <w:tc>
          <w:tcPr>
            <w:tcW w:w="1587" w:type="pct"/>
            <w:vAlign w:val="center"/>
          </w:tcPr>
          <w:p w14:paraId="060E7480"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13.20</w:t>
            </w:r>
          </w:p>
        </w:tc>
      </w:tr>
      <w:tr w:rsidR="00461C55" w:rsidRPr="0098660A" w14:paraId="30D95CC4" w14:textId="77777777" w:rsidTr="00857DDE">
        <w:trPr>
          <w:tblHeader/>
        </w:trPr>
        <w:tc>
          <w:tcPr>
            <w:tcW w:w="1826" w:type="pct"/>
            <w:vAlign w:val="center"/>
          </w:tcPr>
          <w:p w14:paraId="2894CBBB" w14:textId="77777777" w:rsidR="002E4876" w:rsidRPr="0098660A" w:rsidRDefault="002E4876" w:rsidP="002E4876">
            <w:pPr>
              <w:keepNext/>
              <w:keepLines/>
              <w:jc w:val="left"/>
              <w:rPr>
                <w:rFonts w:ascii="Arial Narrow" w:eastAsia="MS Gothic" w:hAnsi="Arial Narrow" w:cs="Times New Roman"/>
                <w:bCs/>
                <w:iCs/>
                <w:sz w:val="20"/>
                <w:szCs w:val="20"/>
              </w:rPr>
            </w:pPr>
            <w:r w:rsidRPr="0098660A">
              <w:rPr>
                <w:rFonts w:ascii="Arial Narrow" w:eastAsia="MS Gothic" w:hAnsi="Arial Narrow" w:cs="Times New Roman"/>
                <w:bCs/>
                <w:iCs/>
                <w:sz w:val="20"/>
                <w:szCs w:val="20"/>
              </w:rPr>
              <w:t xml:space="preserve">   Difference (95% CI)</w:t>
            </w:r>
          </w:p>
        </w:tc>
        <w:tc>
          <w:tcPr>
            <w:tcW w:w="3174" w:type="pct"/>
            <w:gridSpan w:val="2"/>
            <w:vAlign w:val="center"/>
          </w:tcPr>
          <w:p w14:paraId="6F587DA7"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5.56 (-11.53, 0.42)</w:t>
            </w:r>
          </w:p>
        </w:tc>
      </w:tr>
      <w:tr w:rsidR="00461C55" w:rsidRPr="0098660A" w14:paraId="099BBF41" w14:textId="77777777" w:rsidTr="00857DDE">
        <w:trPr>
          <w:tblHeader/>
        </w:trPr>
        <w:tc>
          <w:tcPr>
            <w:tcW w:w="1826" w:type="pct"/>
          </w:tcPr>
          <w:p w14:paraId="1DC890AA" w14:textId="77777777" w:rsidR="002E4876" w:rsidRPr="0098660A" w:rsidRDefault="002E4876" w:rsidP="002E4876">
            <w:pPr>
              <w:widowControl w:val="0"/>
              <w:ind w:left="174"/>
              <w:jc w:val="left"/>
              <w:rPr>
                <w:rFonts w:ascii="Arial Narrow" w:eastAsia="MS Gothic" w:hAnsi="Arial Narrow" w:cs="Times New Roman"/>
                <w:bCs/>
                <w:sz w:val="20"/>
                <w:szCs w:val="20"/>
              </w:rPr>
            </w:pPr>
            <w:r w:rsidRPr="0098660A">
              <w:rPr>
                <w:rFonts w:ascii="Arial Narrow" w:eastAsia="MS Gothic" w:hAnsi="Arial Narrow" w:cs="Times New Roman"/>
                <w:bCs/>
                <w:sz w:val="20"/>
                <w:szCs w:val="20"/>
              </w:rPr>
              <w:t>p-value</w:t>
            </w:r>
          </w:p>
        </w:tc>
        <w:tc>
          <w:tcPr>
            <w:tcW w:w="3174" w:type="pct"/>
            <w:gridSpan w:val="2"/>
            <w:vAlign w:val="center"/>
          </w:tcPr>
          <w:p w14:paraId="32628BD9" w14:textId="77777777" w:rsidR="002E4876" w:rsidRPr="0098660A" w:rsidRDefault="002E4876" w:rsidP="002E4876">
            <w:pPr>
              <w:widowControl w:val="0"/>
              <w:jc w:val="center"/>
              <w:rPr>
                <w:rFonts w:ascii="Arial Narrow" w:eastAsia="MS Gothic" w:hAnsi="Arial Narrow" w:cs="Times New Roman"/>
                <w:bCs/>
                <w:sz w:val="20"/>
                <w:szCs w:val="20"/>
              </w:rPr>
            </w:pPr>
            <w:r w:rsidRPr="0098660A">
              <w:rPr>
                <w:rFonts w:ascii="Arial Narrow" w:hAnsi="Arial Narrow"/>
                <w:sz w:val="20"/>
                <w:szCs w:val="20"/>
              </w:rPr>
              <w:t>0.0682</w:t>
            </w:r>
          </w:p>
        </w:tc>
      </w:tr>
      <w:tr w:rsidR="00461C55" w:rsidRPr="0098660A" w14:paraId="572EEC4E" w14:textId="77777777" w:rsidTr="00857DDE">
        <w:trPr>
          <w:tblHeader/>
        </w:trPr>
        <w:tc>
          <w:tcPr>
            <w:tcW w:w="1826" w:type="pct"/>
            <w:vAlign w:val="center"/>
          </w:tcPr>
          <w:p w14:paraId="3704D5AA" w14:textId="77777777" w:rsidR="002E4876" w:rsidRPr="0098660A" w:rsidRDefault="002E4876" w:rsidP="002E4876">
            <w:pPr>
              <w:keepNext/>
              <w:keepLines/>
              <w:jc w:val="left"/>
              <w:rPr>
                <w:rFonts w:ascii="Arial Narrow" w:eastAsia="MS Gothic" w:hAnsi="Arial Narrow" w:cs="Times New Roman"/>
                <w:bCs/>
                <w:iCs/>
                <w:sz w:val="20"/>
                <w:szCs w:val="20"/>
              </w:rPr>
            </w:pPr>
            <w:r w:rsidRPr="0098660A">
              <w:rPr>
                <w:rFonts w:ascii="Arial Narrow" w:hAnsi="Arial Narrow"/>
                <w:sz w:val="20"/>
                <w:szCs w:val="20"/>
              </w:rPr>
              <w:t>Change from BL EORTC QLQ-C30 – fatigue symptom score, mean</w:t>
            </w:r>
          </w:p>
        </w:tc>
        <w:tc>
          <w:tcPr>
            <w:tcW w:w="1587" w:type="pct"/>
            <w:vAlign w:val="center"/>
          </w:tcPr>
          <w:p w14:paraId="4F85A550"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-24.56</w:t>
            </w:r>
          </w:p>
        </w:tc>
        <w:tc>
          <w:tcPr>
            <w:tcW w:w="1587" w:type="pct"/>
            <w:vAlign w:val="center"/>
          </w:tcPr>
          <w:p w14:paraId="5523BDA3"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-20.20</w:t>
            </w:r>
          </w:p>
        </w:tc>
      </w:tr>
      <w:tr w:rsidR="00461C55" w:rsidRPr="0098660A" w14:paraId="144531BD" w14:textId="77777777" w:rsidTr="00857DDE">
        <w:trPr>
          <w:tblHeader/>
        </w:trPr>
        <w:tc>
          <w:tcPr>
            <w:tcW w:w="1826" w:type="pct"/>
            <w:vAlign w:val="center"/>
          </w:tcPr>
          <w:p w14:paraId="3E2C6139" w14:textId="77777777" w:rsidR="002E4876" w:rsidRPr="0098660A" w:rsidRDefault="002E4876" w:rsidP="002E4876">
            <w:pPr>
              <w:keepNext/>
              <w:keepLines/>
              <w:jc w:val="left"/>
              <w:rPr>
                <w:rFonts w:ascii="Arial Narrow" w:eastAsia="MS Gothic" w:hAnsi="Arial Narrow" w:cs="Times New Roman"/>
                <w:bCs/>
                <w:iCs/>
                <w:sz w:val="20"/>
                <w:szCs w:val="20"/>
              </w:rPr>
            </w:pPr>
            <w:r w:rsidRPr="0098660A">
              <w:rPr>
                <w:rFonts w:ascii="Arial Narrow" w:eastAsia="MS Gothic" w:hAnsi="Arial Narrow" w:cs="Times New Roman"/>
                <w:bCs/>
                <w:iCs/>
                <w:sz w:val="20"/>
                <w:szCs w:val="20"/>
              </w:rPr>
              <w:t xml:space="preserve">   Difference (95% CI)</w:t>
            </w:r>
          </w:p>
        </w:tc>
        <w:tc>
          <w:tcPr>
            <w:tcW w:w="3174" w:type="pct"/>
            <w:gridSpan w:val="2"/>
            <w:vAlign w:val="center"/>
          </w:tcPr>
          <w:p w14:paraId="479AAF55"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-4.36 (-16.64, 7.93)</w:t>
            </w:r>
          </w:p>
        </w:tc>
      </w:tr>
      <w:tr w:rsidR="00461C55" w:rsidRPr="0098660A" w14:paraId="27AC51E4" w14:textId="77777777" w:rsidTr="00857DDE">
        <w:trPr>
          <w:tblHeader/>
        </w:trPr>
        <w:tc>
          <w:tcPr>
            <w:tcW w:w="1826" w:type="pct"/>
          </w:tcPr>
          <w:p w14:paraId="3D91DBAE" w14:textId="77777777" w:rsidR="002E4876" w:rsidRPr="0098660A" w:rsidRDefault="002E4876" w:rsidP="002E4876">
            <w:pPr>
              <w:widowControl w:val="0"/>
              <w:ind w:left="174"/>
              <w:jc w:val="left"/>
              <w:rPr>
                <w:rFonts w:ascii="Arial Narrow" w:eastAsia="MS Gothic" w:hAnsi="Arial Narrow" w:cs="Times New Roman"/>
                <w:bCs/>
                <w:sz w:val="20"/>
                <w:szCs w:val="20"/>
              </w:rPr>
            </w:pPr>
            <w:r w:rsidRPr="0098660A">
              <w:rPr>
                <w:rFonts w:ascii="Arial Narrow" w:eastAsia="MS Gothic" w:hAnsi="Arial Narrow" w:cs="Times New Roman"/>
                <w:bCs/>
                <w:sz w:val="20"/>
                <w:szCs w:val="20"/>
              </w:rPr>
              <w:t>p-value</w:t>
            </w:r>
          </w:p>
        </w:tc>
        <w:tc>
          <w:tcPr>
            <w:tcW w:w="3174" w:type="pct"/>
            <w:gridSpan w:val="2"/>
            <w:vAlign w:val="center"/>
          </w:tcPr>
          <w:p w14:paraId="1FA568A5" w14:textId="77777777" w:rsidR="002E4876" w:rsidRPr="0098660A" w:rsidRDefault="002E4876" w:rsidP="002E4876">
            <w:pPr>
              <w:widowControl w:val="0"/>
              <w:jc w:val="center"/>
              <w:rPr>
                <w:rFonts w:ascii="Arial Narrow" w:eastAsia="MS Gothic" w:hAnsi="Arial Narrow" w:cs="Times New Roman"/>
                <w:bCs/>
                <w:sz w:val="20"/>
                <w:szCs w:val="20"/>
              </w:rPr>
            </w:pPr>
            <w:r w:rsidRPr="0098660A">
              <w:rPr>
                <w:rFonts w:ascii="Arial Narrow" w:hAnsi="Arial Narrow"/>
                <w:sz w:val="20"/>
                <w:szCs w:val="20"/>
              </w:rPr>
              <w:t>0.487</w:t>
            </w:r>
          </w:p>
        </w:tc>
      </w:tr>
      <w:tr w:rsidR="00461C55" w:rsidRPr="0098660A" w14:paraId="0F09A846" w14:textId="77777777" w:rsidTr="00857DDE">
        <w:trPr>
          <w:tblHeader/>
        </w:trPr>
        <w:tc>
          <w:tcPr>
            <w:tcW w:w="1826" w:type="pct"/>
            <w:vAlign w:val="center"/>
          </w:tcPr>
          <w:p w14:paraId="18CE6A67" w14:textId="7D7EEAD4" w:rsidR="002E4876" w:rsidRPr="0098660A" w:rsidRDefault="002E4876" w:rsidP="002E4876">
            <w:pPr>
              <w:keepNext/>
              <w:keepLines/>
              <w:jc w:val="left"/>
              <w:rPr>
                <w:rFonts w:ascii="Arial Narrow" w:eastAsia="MS Gothic" w:hAnsi="Arial Narrow" w:cs="Times New Roman"/>
                <w:bCs/>
                <w:iCs/>
                <w:sz w:val="20"/>
                <w:szCs w:val="20"/>
              </w:rPr>
            </w:pPr>
            <w:r w:rsidRPr="0098660A">
              <w:rPr>
                <w:rFonts w:ascii="Arial Narrow" w:hAnsi="Arial Narrow"/>
                <w:sz w:val="20"/>
                <w:szCs w:val="20"/>
              </w:rPr>
              <w:t xml:space="preserve">Change from BL FACIT – </w:t>
            </w:r>
            <w:r w:rsidR="00035877" w:rsidRPr="0098660A">
              <w:rPr>
                <w:rFonts w:ascii="Arial Narrow" w:hAnsi="Arial Narrow"/>
                <w:sz w:val="20"/>
                <w:szCs w:val="20"/>
              </w:rPr>
              <w:t>F</w:t>
            </w:r>
            <w:r w:rsidRPr="0098660A">
              <w:rPr>
                <w:rFonts w:ascii="Arial Narrow" w:hAnsi="Arial Narrow"/>
                <w:sz w:val="20"/>
                <w:szCs w:val="20"/>
              </w:rPr>
              <w:t>atigue score, mean</w:t>
            </w:r>
          </w:p>
        </w:tc>
        <w:tc>
          <w:tcPr>
            <w:tcW w:w="1587" w:type="pct"/>
            <w:vAlign w:val="center"/>
          </w:tcPr>
          <w:p w14:paraId="41D4AB56"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9.77</w:t>
            </w:r>
          </w:p>
        </w:tc>
        <w:tc>
          <w:tcPr>
            <w:tcW w:w="1587" w:type="pct"/>
            <w:vAlign w:val="center"/>
          </w:tcPr>
          <w:p w14:paraId="16BDEBBE"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7.07</w:t>
            </w:r>
          </w:p>
        </w:tc>
      </w:tr>
      <w:tr w:rsidR="00461C55" w:rsidRPr="0098660A" w14:paraId="035142F8" w14:textId="77777777" w:rsidTr="00857DDE">
        <w:trPr>
          <w:tblHeader/>
        </w:trPr>
        <w:tc>
          <w:tcPr>
            <w:tcW w:w="1826" w:type="pct"/>
            <w:vAlign w:val="center"/>
          </w:tcPr>
          <w:p w14:paraId="00894D84" w14:textId="77777777" w:rsidR="002E4876" w:rsidRPr="0098660A" w:rsidRDefault="002E4876" w:rsidP="002E4876">
            <w:pPr>
              <w:keepNext/>
              <w:keepLines/>
              <w:jc w:val="left"/>
              <w:rPr>
                <w:rFonts w:ascii="Arial Narrow" w:eastAsia="MS Gothic" w:hAnsi="Arial Narrow" w:cs="Times New Roman"/>
                <w:bCs/>
                <w:iCs/>
                <w:sz w:val="20"/>
                <w:szCs w:val="20"/>
              </w:rPr>
            </w:pPr>
            <w:r w:rsidRPr="0098660A">
              <w:rPr>
                <w:rFonts w:ascii="Arial Narrow" w:eastAsia="MS Gothic" w:hAnsi="Arial Narrow" w:cs="Times New Roman"/>
                <w:bCs/>
                <w:iCs/>
                <w:sz w:val="20"/>
                <w:szCs w:val="20"/>
              </w:rPr>
              <w:t xml:space="preserve">   Difference (95% CI)</w:t>
            </w:r>
          </w:p>
        </w:tc>
        <w:tc>
          <w:tcPr>
            <w:tcW w:w="3174" w:type="pct"/>
            <w:gridSpan w:val="2"/>
            <w:vAlign w:val="center"/>
          </w:tcPr>
          <w:p w14:paraId="2E6F6A64"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2.70 (-2.38, 7.79)</w:t>
            </w:r>
          </w:p>
        </w:tc>
      </w:tr>
      <w:tr w:rsidR="00461C55" w:rsidRPr="0098660A" w14:paraId="1CF2783E" w14:textId="77777777" w:rsidTr="00857DDE">
        <w:trPr>
          <w:tblHeader/>
        </w:trPr>
        <w:tc>
          <w:tcPr>
            <w:tcW w:w="1826" w:type="pct"/>
          </w:tcPr>
          <w:p w14:paraId="5F82CB64" w14:textId="77777777" w:rsidR="002E4876" w:rsidRPr="0098660A" w:rsidRDefault="002E4876" w:rsidP="002E4876">
            <w:pPr>
              <w:widowControl w:val="0"/>
              <w:ind w:left="174"/>
              <w:jc w:val="left"/>
              <w:rPr>
                <w:rFonts w:ascii="Arial Narrow" w:eastAsia="MS Gothic" w:hAnsi="Arial Narrow" w:cs="Times New Roman"/>
                <w:bCs/>
                <w:sz w:val="20"/>
                <w:szCs w:val="20"/>
              </w:rPr>
            </w:pPr>
            <w:r w:rsidRPr="0098660A">
              <w:rPr>
                <w:rFonts w:ascii="Arial Narrow" w:eastAsia="MS Gothic" w:hAnsi="Arial Narrow" w:cs="Times New Roman"/>
                <w:bCs/>
                <w:sz w:val="20"/>
                <w:szCs w:val="20"/>
              </w:rPr>
              <w:t>p-value</w:t>
            </w:r>
          </w:p>
        </w:tc>
        <w:tc>
          <w:tcPr>
            <w:tcW w:w="3174" w:type="pct"/>
            <w:gridSpan w:val="2"/>
            <w:vAlign w:val="center"/>
          </w:tcPr>
          <w:p w14:paraId="37C1B2BB" w14:textId="77777777" w:rsidR="002E4876" w:rsidRPr="0098660A" w:rsidRDefault="002E4876" w:rsidP="002E4876">
            <w:pPr>
              <w:widowControl w:val="0"/>
              <w:jc w:val="center"/>
              <w:rPr>
                <w:rFonts w:ascii="Arial Narrow" w:eastAsia="MS Gothic" w:hAnsi="Arial Narrow" w:cs="Times New Roman"/>
                <w:bCs/>
                <w:sz w:val="20"/>
                <w:szCs w:val="20"/>
              </w:rPr>
            </w:pPr>
            <w:r w:rsidRPr="0098660A">
              <w:rPr>
                <w:rFonts w:ascii="Arial Narrow" w:hAnsi="Arial Narrow"/>
                <w:sz w:val="20"/>
                <w:szCs w:val="20"/>
              </w:rPr>
              <w:t>0.297</w:t>
            </w:r>
          </w:p>
        </w:tc>
      </w:tr>
    </w:tbl>
    <w:p w14:paraId="1CFBA0DE" w14:textId="77777777" w:rsidR="002E4876" w:rsidRPr="0098660A" w:rsidRDefault="002E4876" w:rsidP="00524F05">
      <w:pPr>
        <w:rPr>
          <w:rFonts w:ascii="Arial Narrow" w:hAnsi="Arial Narrow"/>
          <w:sz w:val="18"/>
          <w:szCs w:val="18"/>
        </w:rPr>
      </w:pPr>
      <w:r w:rsidRPr="0098660A">
        <w:rPr>
          <w:rFonts w:ascii="Arial Narrow" w:hAnsi="Arial Narrow"/>
          <w:sz w:val="18"/>
          <w:szCs w:val="18"/>
        </w:rPr>
        <w:t>Source: Table 2-54, p77 of the submission; Wong et al. (2023)</w:t>
      </w:r>
    </w:p>
    <w:p w14:paraId="34FD4D05" w14:textId="5A57CA9B" w:rsidR="002E4876" w:rsidRPr="0098660A" w:rsidRDefault="00721ACA" w:rsidP="002C3F85">
      <w:pPr>
        <w:spacing w:after="120"/>
        <w:jc w:val="left"/>
        <w:rPr>
          <w:rFonts w:ascii="Arial Narrow" w:hAnsi="Arial Narrow"/>
          <w:sz w:val="18"/>
          <w:szCs w:val="18"/>
        </w:rPr>
      </w:pPr>
      <w:r w:rsidRPr="0098660A">
        <w:rPr>
          <w:rFonts w:ascii="Arial Narrow" w:hAnsi="Arial Narrow"/>
          <w:sz w:val="18"/>
          <w:szCs w:val="18"/>
        </w:rPr>
        <w:t xml:space="preserve">BL = baseline; </w:t>
      </w:r>
      <w:r w:rsidR="002E4876" w:rsidRPr="0098660A">
        <w:rPr>
          <w:rFonts w:ascii="Arial Narrow" w:hAnsi="Arial Narrow"/>
          <w:sz w:val="18"/>
          <w:szCs w:val="18"/>
        </w:rPr>
        <w:t xml:space="preserve">CI = confidence interval; EORTC QLQ-C30 = European Organisation for the Research and Treatment of Cancer Quality of Life Questionnaire; FACIT = Functional Assessment of Chronic Illness Therapy; LDH = lactate dehydrogenase; MAIC = </w:t>
      </w:r>
      <w:r w:rsidR="00B911BB" w:rsidRPr="0098660A">
        <w:rPr>
          <w:rFonts w:ascii="Arial Narrow" w:hAnsi="Arial Narrow"/>
          <w:sz w:val="18"/>
          <w:szCs w:val="18"/>
        </w:rPr>
        <w:t>m</w:t>
      </w:r>
      <w:r w:rsidR="002E4876" w:rsidRPr="0098660A">
        <w:rPr>
          <w:rFonts w:ascii="Arial Narrow" w:hAnsi="Arial Narrow"/>
          <w:sz w:val="18"/>
          <w:szCs w:val="18"/>
        </w:rPr>
        <w:t>atching-</w:t>
      </w:r>
      <w:r w:rsidR="00B911BB" w:rsidRPr="0098660A">
        <w:rPr>
          <w:rFonts w:ascii="Arial Narrow" w:hAnsi="Arial Narrow"/>
          <w:sz w:val="18"/>
          <w:szCs w:val="18"/>
        </w:rPr>
        <w:t>a</w:t>
      </w:r>
      <w:r w:rsidR="002E4876" w:rsidRPr="0098660A">
        <w:rPr>
          <w:rFonts w:ascii="Arial Narrow" w:hAnsi="Arial Narrow"/>
          <w:sz w:val="18"/>
          <w:szCs w:val="18"/>
        </w:rPr>
        <w:t xml:space="preserve">djusted </w:t>
      </w:r>
      <w:r w:rsidR="00B911BB" w:rsidRPr="0098660A">
        <w:rPr>
          <w:rFonts w:ascii="Arial Narrow" w:hAnsi="Arial Narrow"/>
          <w:sz w:val="18"/>
          <w:szCs w:val="18"/>
        </w:rPr>
        <w:t>i</w:t>
      </w:r>
      <w:r w:rsidR="002E4876" w:rsidRPr="0098660A">
        <w:rPr>
          <w:rFonts w:ascii="Arial Narrow" w:hAnsi="Arial Narrow"/>
          <w:sz w:val="18"/>
          <w:szCs w:val="18"/>
        </w:rPr>
        <w:t xml:space="preserve">ndirect </w:t>
      </w:r>
      <w:r w:rsidR="00B911BB" w:rsidRPr="0098660A">
        <w:rPr>
          <w:rFonts w:ascii="Arial Narrow" w:hAnsi="Arial Narrow"/>
          <w:sz w:val="18"/>
          <w:szCs w:val="18"/>
        </w:rPr>
        <w:t>c</w:t>
      </w:r>
      <w:r w:rsidR="002E4876" w:rsidRPr="0098660A">
        <w:rPr>
          <w:rFonts w:ascii="Arial Narrow" w:hAnsi="Arial Narrow"/>
          <w:sz w:val="18"/>
          <w:szCs w:val="18"/>
        </w:rPr>
        <w:t>omparison; MAVEs = major adverse vascular events; U/L = units per litre</w:t>
      </w:r>
    </w:p>
    <w:p w14:paraId="13449BAC" w14:textId="75283BDE" w:rsidR="00DC1A2A" w:rsidRPr="0098660A" w:rsidRDefault="00DC1A2A" w:rsidP="002C3F85">
      <w:pPr>
        <w:pStyle w:val="Caption"/>
      </w:pPr>
      <w:bookmarkStart w:id="41" w:name="_Ref189935443"/>
      <w:r w:rsidRPr="0098660A">
        <w:lastRenderedPageBreak/>
        <w:t xml:space="preserve">Table </w:t>
      </w:r>
      <w:r w:rsidR="00ED489E" w:rsidRPr="0098660A">
        <w:fldChar w:fldCharType="begin"/>
      </w:r>
      <w:r w:rsidR="00ED489E" w:rsidRPr="0098660A">
        <w:instrText xml:space="preserve"> SEQ Table \* ARABIC </w:instrText>
      </w:r>
      <w:r w:rsidR="00ED489E" w:rsidRPr="0098660A">
        <w:fldChar w:fldCharType="separate"/>
      </w:r>
      <w:r w:rsidR="00134128">
        <w:rPr>
          <w:noProof/>
        </w:rPr>
        <w:t>6</w:t>
      </w:r>
      <w:r w:rsidR="00ED489E" w:rsidRPr="0098660A">
        <w:fldChar w:fldCharType="end"/>
      </w:r>
      <w:bookmarkEnd w:id="41"/>
      <w:r w:rsidRPr="0098660A">
        <w:t xml:space="preserve">: Summary of comparative treatment efficacy results (pegcetacoplan vs ravulizumab) in treatment naïve PNH patients using the </w:t>
      </w:r>
      <w:r w:rsidR="00BE2197" w:rsidRPr="0098660A">
        <w:t xml:space="preserve">unanchored </w:t>
      </w:r>
      <w:r w:rsidR="004D5C07" w:rsidRPr="0098660A">
        <w:t xml:space="preserve">unadjusted </w:t>
      </w:r>
      <w:r w:rsidRPr="0098660A">
        <w:t>ITC method</w:t>
      </w:r>
    </w:p>
    <w:tbl>
      <w:tblPr>
        <w:tblW w:w="49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2834"/>
        <w:gridCol w:w="2834"/>
      </w:tblGrid>
      <w:tr w:rsidR="00461C55" w:rsidRPr="0098660A" w14:paraId="4B8CEFC6" w14:textId="77777777" w:rsidTr="00524F05">
        <w:trPr>
          <w:trHeight w:val="75"/>
          <w:tblHeader/>
        </w:trPr>
        <w:tc>
          <w:tcPr>
            <w:tcW w:w="1826" w:type="pct"/>
            <w:vAlign w:val="center"/>
          </w:tcPr>
          <w:p w14:paraId="043380F3" w14:textId="77777777" w:rsidR="002E4876" w:rsidRPr="0098660A" w:rsidRDefault="002E4876" w:rsidP="0069598B">
            <w:pPr>
              <w:keepNext/>
              <w:keepLines/>
              <w:jc w:val="center"/>
              <w:rPr>
                <w:rFonts w:ascii="Arial Narrow" w:eastAsia="MS Gothic" w:hAnsi="Arial Narrow" w:cs="Times New Roman"/>
                <w:b/>
                <w:iCs/>
                <w:sz w:val="20"/>
                <w:szCs w:val="20"/>
              </w:rPr>
            </w:pPr>
            <w:r w:rsidRPr="0098660A">
              <w:rPr>
                <w:rFonts w:ascii="Arial Narrow" w:eastAsia="MS Gothic" w:hAnsi="Arial Narrow" w:cs="Times New Roman"/>
                <w:b/>
                <w:iCs/>
                <w:sz w:val="20"/>
                <w:szCs w:val="20"/>
              </w:rPr>
              <w:t>Trial</w:t>
            </w:r>
          </w:p>
        </w:tc>
        <w:tc>
          <w:tcPr>
            <w:tcW w:w="1587" w:type="pct"/>
            <w:vAlign w:val="center"/>
          </w:tcPr>
          <w:p w14:paraId="46E68C5F" w14:textId="77777777" w:rsidR="002E4876" w:rsidRPr="0098660A" w:rsidRDefault="002E4876" w:rsidP="0069598B">
            <w:pPr>
              <w:keepNext/>
              <w:keepLines/>
              <w:jc w:val="center"/>
              <w:rPr>
                <w:rFonts w:ascii="Arial Narrow" w:hAnsi="Arial Narrow"/>
                <w:b/>
                <w:sz w:val="20"/>
                <w:szCs w:val="20"/>
              </w:rPr>
            </w:pPr>
            <w:r w:rsidRPr="0098660A">
              <w:rPr>
                <w:rFonts w:ascii="Arial Narrow" w:hAnsi="Arial Narrow"/>
                <w:b/>
                <w:sz w:val="20"/>
                <w:szCs w:val="20"/>
              </w:rPr>
              <w:t>PRINCE</w:t>
            </w:r>
          </w:p>
        </w:tc>
        <w:tc>
          <w:tcPr>
            <w:tcW w:w="1587" w:type="pct"/>
            <w:vAlign w:val="center"/>
          </w:tcPr>
          <w:p w14:paraId="15A3E4CB" w14:textId="77777777" w:rsidR="002E4876" w:rsidRPr="0098660A" w:rsidRDefault="002E4876" w:rsidP="0069598B">
            <w:pPr>
              <w:keepNext/>
              <w:keepLines/>
              <w:jc w:val="center"/>
              <w:rPr>
                <w:rFonts w:ascii="Arial Narrow" w:hAnsi="Arial Narrow"/>
                <w:b/>
                <w:sz w:val="20"/>
                <w:szCs w:val="20"/>
              </w:rPr>
            </w:pPr>
            <w:r w:rsidRPr="0098660A">
              <w:rPr>
                <w:rFonts w:ascii="Arial Narrow" w:hAnsi="Arial Narrow"/>
                <w:b/>
                <w:sz w:val="20"/>
                <w:szCs w:val="20"/>
              </w:rPr>
              <w:t>ALXN1210-301</w:t>
            </w:r>
          </w:p>
        </w:tc>
      </w:tr>
      <w:tr w:rsidR="00461C55" w:rsidRPr="0098660A" w14:paraId="2EAD2BAC" w14:textId="77777777" w:rsidTr="00524F05">
        <w:trPr>
          <w:trHeight w:val="75"/>
          <w:tblHeader/>
        </w:trPr>
        <w:tc>
          <w:tcPr>
            <w:tcW w:w="1826" w:type="pct"/>
            <w:vAlign w:val="center"/>
          </w:tcPr>
          <w:p w14:paraId="78D76953" w14:textId="77777777" w:rsidR="002E4876" w:rsidRPr="0098660A" w:rsidRDefault="002E4876" w:rsidP="002E4876">
            <w:pPr>
              <w:keepNext/>
              <w:keepLines/>
              <w:jc w:val="left"/>
              <w:rPr>
                <w:rFonts w:ascii="Arial Narrow" w:eastAsia="MS Gothic" w:hAnsi="Arial Narrow" w:cs="Times New Roman"/>
                <w:bCs/>
                <w:iCs/>
                <w:sz w:val="20"/>
                <w:szCs w:val="20"/>
              </w:rPr>
            </w:pPr>
            <w:r w:rsidRPr="0098660A">
              <w:rPr>
                <w:rFonts w:ascii="Arial Narrow" w:eastAsia="MS Gothic" w:hAnsi="Arial Narrow" w:cs="Times New Roman"/>
                <w:bCs/>
                <w:iCs/>
                <w:sz w:val="20"/>
                <w:szCs w:val="20"/>
              </w:rPr>
              <w:t>Treatment/endpoints</w:t>
            </w:r>
          </w:p>
        </w:tc>
        <w:tc>
          <w:tcPr>
            <w:tcW w:w="1587" w:type="pct"/>
            <w:vAlign w:val="center"/>
          </w:tcPr>
          <w:p w14:paraId="7AF092A7" w14:textId="77777777" w:rsidR="002E4876" w:rsidRPr="0098660A" w:rsidRDefault="002E4876" w:rsidP="002E4876">
            <w:pPr>
              <w:keepNext/>
              <w:keepLines/>
              <w:jc w:val="center"/>
              <w:rPr>
                <w:rFonts w:ascii="Arial Narrow" w:hAnsi="Arial Narrow"/>
                <w:sz w:val="20"/>
                <w:szCs w:val="20"/>
              </w:rPr>
            </w:pPr>
            <w:r w:rsidRPr="0098660A">
              <w:rPr>
                <w:rFonts w:ascii="Arial Narrow" w:hAnsi="Arial Narrow"/>
                <w:sz w:val="20"/>
                <w:szCs w:val="20"/>
              </w:rPr>
              <w:t>Pegcetacoplan</w:t>
            </w:r>
          </w:p>
          <w:p w14:paraId="7A371A75" w14:textId="77777777" w:rsidR="002E4876" w:rsidRPr="0098660A" w:rsidRDefault="002E4876" w:rsidP="002E4876">
            <w:pPr>
              <w:keepNext/>
              <w:keepLines/>
              <w:jc w:val="center"/>
              <w:rPr>
                <w:rFonts w:ascii="Arial Narrow" w:hAnsi="Arial Narrow"/>
                <w:b/>
                <w:bCs/>
                <w:sz w:val="20"/>
                <w:szCs w:val="20"/>
              </w:rPr>
            </w:pPr>
            <w:r w:rsidRPr="0098660A">
              <w:rPr>
                <w:rFonts w:ascii="Arial Narrow" w:hAnsi="Arial Narrow"/>
                <w:sz w:val="20"/>
                <w:szCs w:val="20"/>
              </w:rPr>
              <w:t>(n = 35)</w:t>
            </w:r>
          </w:p>
        </w:tc>
        <w:tc>
          <w:tcPr>
            <w:tcW w:w="1587" w:type="pct"/>
            <w:vAlign w:val="center"/>
          </w:tcPr>
          <w:p w14:paraId="2EFEFC35" w14:textId="77777777" w:rsidR="002E4876" w:rsidRPr="0098660A" w:rsidRDefault="002E4876" w:rsidP="002E4876">
            <w:pPr>
              <w:keepNext/>
              <w:keepLines/>
              <w:jc w:val="center"/>
              <w:rPr>
                <w:rFonts w:ascii="Arial Narrow" w:hAnsi="Arial Narrow"/>
                <w:sz w:val="20"/>
                <w:szCs w:val="20"/>
              </w:rPr>
            </w:pPr>
            <w:r w:rsidRPr="0098660A">
              <w:rPr>
                <w:rFonts w:ascii="Arial Narrow" w:hAnsi="Arial Narrow"/>
                <w:sz w:val="20"/>
                <w:szCs w:val="20"/>
              </w:rPr>
              <w:t>Ravulizumab</w:t>
            </w:r>
          </w:p>
          <w:p w14:paraId="071E40EB" w14:textId="77777777" w:rsidR="002E4876" w:rsidRPr="0098660A" w:rsidRDefault="002E4876" w:rsidP="002E4876">
            <w:pPr>
              <w:keepNext/>
              <w:keepLines/>
              <w:jc w:val="center"/>
              <w:rPr>
                <w:rFonts w:ascii="Arial Narrow" w:hAnsi="Arial Narrow"/>
                <w:b/>
                <w:bCs/>
                <w:sz w:val="20"/>
                <w:szCs w:val="20"/>
              </w:rPr>
            </w:pPr>
            <w:r w:rsidRPr="0098660A">
              <w:rPr>
                <w:rFonts w:ascii="Arial Narrow" w:hAnsi="Arial Narrow"/>
                <w:sz w:val="20"/>
                <w:szCs w:val="20"/>
              </w:rPr>
              <w:t>(n = 125)</w:t>
            </w:r>
          </w:p>
        </w:tc>
      </w:tr>
      <w:tr w:rsidR="00461C55" w:rsidRPr="0098660A" w14:paraId="507AD9EB" w14:textId="77777777" w:rsidTr="00524F05">
        <w:trPr>
          <w:tblHeader/>
        </w:trPr>
        <w:tc>
          <w:tcPr>
            <w:tcW w:w="1826" w:type="pct"/>
            <w:vAlign w:val="center"/>
          </w:tcPr>
          <w:p w14:paraId="44713715" w14:textId="071DAA8D" w:rsidR="002E4876" w:rsidRPr="0098660A" w:rsidRDefault="002E4876" w:rsidP="002E4876">
            <w:pPr>
              <w:keepNext/>
              <w:keepLines/>
              <w:jc w:val="left"/>
              <w:rPr>
                <w:rFonts w:ascii="Arial Narrow" w:eastAsia="MS Gothic" w:hAnsi="Arial Narrow" w:cs="Times New Roman"/>
                <w:bCs/>
                <w:iCs/>
                <w:sz w:val="20"/>
                <w:szCs w:val="20"/>
              </w:rPr>
            </w:pPr>
            <w:r w:rsidRPr="0098660A">
              <w:rPr>
                <w:rFonts w:ascii="Arial Narrow" w:eastAsia="MS Gothic" w:hAnsi="Arial Narrow" w:cs="Times New Roman"/>
                <w:bCs/>
                <w:iCs/>
                <w:sz w:val="20"/>
                <w:szCs w:val="20"/>
              </w:rPr>
              <w:t>Change in LDH level, LS mean (U/L)</w:t>
            </w:r>
          </w:p>
        </w:tc>
        <w:tc>
          <w:tcPr>
            <w:tcW w:w="1587" w:type="pct"/>
            <w:vAlign w:val="center"/>
          </w:tcPr>
          <w:p w14:paraId="465AF30D"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-1870.47</w:t>
            </w:r>
          </w:p>
        </w:tc>
        <w:tc>
          <w:tcPr>
            <w:tcW w:w="1587" w:type="pct"/>
            <w:vAlign w:val="center"/>
          </w:tcPr>
          <w:p w14:paraId="2A2B0C12"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NE</w:t>
            </w:r>
          </w:p>
        </w:tc>
      </w:tr>
      <w:tr w:rsidR="00461C55" w:rsidRPr="0098660A" w14:paraId="1D88AEAD" w14:textId="77777777" w:rsidTr="00524F05">
        <w:trPr>
          <w:tblHeader/>
        </w:trPr>
        <w:tc>
          <w:tcPr>
            <w:tcW w:w="1826" w:type="pct"/>
            <w:vAlign w:val="center"/>
          </w:tcPr>
          <w:p w14:paraId="1406DBDF" w14:textId="77777777" w:rsidR="002E4876" w:rsidRPr="0098660A" w:rsidRDefault="002E4876" w:rsidP="002E4876">
            <w:pPr>
              <w:keepNext/>
              <w:keepLines/>
              <w:jc w:val="left"/>
              <w:rPr>
                <w:rFonts w:ascii="Arial Narrow" w:eastAsia="MS Gothic" w:hAnsi="Arial Narrow" w:cs="Times New Roman"/>
                <w:bCs/>
                <w:iCs/>
                <w:sz w:val="20"/>
                <w:szCs w:val="20"/>
              </w:rPr>
            </w:pPr>
            <w:r w:rsidRPr="0098660A">
              <w:rPr>
                <w:rFonts w:ascii="Arial Narrow" w:eastAsia="MS Gothic" w:hAnsi="Arial Narrow" w:cs="Times New Roman"/>
                <w:bCs/>
                <w:iCs/>
                <w:sz w:val="20"/>
                <w:szCs w:val="20"/>
              </w:rPr>
              <w:t>Change in LDH level, LS mean (%)</w:t>
            </w:r>
          </w:p>
        </w:tc>
        <w:tc>
          <w:tcPr>
            <w:tcW w:w="1587" w:type="pct"/>
            <w:vAlign w:val="center"/>
          </w:tcPr>
          <w:p w14:paraId="662DC922" w14:textId="77777777" w:rsidR="002E4876" w:rsidRPr="0098660A" w:rsidRDefault="002E4876" w:rsidP="002E4876">
            <w:pPr>
              <w:keepNext/>
              <w:keepLines/>
              <w:jc w:val="center"/>
              <w:rPr>
                <w:rFonts w:ascii="Arial Narrow" w:hAnsi="Arial Narrow"/>
                <w:sz w:val="20"/>
                <w:szCs w:val="20"/>
              </w:rPr>
            </w:pPr>
            <w:r w:rsidRPr="0098660A">
              <w:rPr>
                <w:rFonts w:ascii="Arial Narrow" w:hAnsi="Arial Narrow"/>
                <w:sz w:val="20"/>
                <w:szCs w:val="20"/>
              </w:rPr>
              <w:t>NE</w:t>
            </w:r>
          </w:p>
        </w:tc>
        <w:tc>
          <w:tcPr>
            <w:tcW w:w="1587" w:type="pct"/>
            <w:vAlign w:val="center"/>
          </w:tcPr>
          <w:p w14:paraId="058A165D" w14:textId="77777777" w:rsidR="002E4876" w:rsidRPr="0098660A" w:rsidRDefault="002E4876" w:rsidP="002E4876">
            <w:pPr>
              <w:keepNext/>
              <w:keepLines/>
              <w:jc w:val="center"/>
              <w:rPr>
                <w:rFonts w:ascii="Arial Narrow" w:hAnsi="Arial Narrow"/>
                <w:sz w:val="20"/>
                <w:szCs w:val="20"/>
              </w:rPr>
            </w:pPr>
            <w:r w:rsidRPr="0098660A">
              <w:rPr>
                <w:rFonts w:ascii="Arial Narrow" w:hAnsi="Arial Narrow"/>
                <w:sz w:val="20"/>
                <w:szCs w:val="20"/>
              </w:rPr>
              <w:t>-76.84</w:t>
            </w:r>
          </w:p>
        </w:tc>
      </w:tr>
      <w:tr w:rsidR="00461C55" w:rsidRPr="0098660A" w14:paraId="6A188272" w14:textId="77777777" w:rsidTr="00524F05">
        <w:trPr>
          <w:tblHeader/>
        </w:trPr>
        <w:tc>
          <w:tcPr>
            <w:tcW w:w="1826" w:type="pct"/>
            <w:vAlign w:val="center"/>
          </w:tcPr>
          <w:p w14:paraId="1FA1E1DD" w14:textId="77777777" w:rsidR="002E4876" w:rsidRPr="0098660A" w:rsidRDefault="002E4876" w:rsidP="002E4876">
            <w:pPr>
              <w:keepNext/>
              <w:keepLines/>
              <w:jc w:val="left"/>
              <w:rPr>
                <w:rFonts w:ascii="Arial Narrow" w:eastAsia="MS Gothic" w:hAnsi="Arial Narrow" w:cs="Times New Roman"/>
                <w:bCs/>
                <w:iCs/>
                <w:sz w:val="20"/>
                <w:szCs w:val="20"/>
              </w:rPr>
            </w:pPr>
            <w:r w:rsidRPr="0098660A">
              <w:rPr>
                <w:rFonts w:ascii="Arial Narrow" w:eastAsia="MS Gothic" w:hAnsi="Arial Narrow" w:cs="Times New Roman"/>
                <w:bCs/>
                <w:iCs/>
                <w:sz w:val="20"/>
                <w:szCs w:val="20"/>
              </w:rPr>
              <w:t>LDH normalisation (%)</w:t>
            </w:r>
          </w:p>
        </w:tc>
        <w:tc>
          <w:tcPr>
            <w:tcW w:w="1587" w:type="pct"/>
            <w:vAlign w:val="center"/>
          </w:tcPr>
          <w:p w14:paraId="2062ABE9"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23 (65.70)</w:t>
            </w:r>
          </w:p>
        </w:tc>
        <w:tc>
          <w:tcPr>
            <w:tcW w:w="1587" w:type="pct"/>
            <w:vAlign w:val="center"/>
          </w:tcPr>
          <w:p w14:paraId="0469CE35"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NR (53.60)</w:t>
            </w:r>
          </w:p>
        </w:tc>
      </w:tr>
      <w:tr w:rsidR="00461C55" w:rsidRPr="0098660A" w14:paraId="7F48655E" w14:textId="77777777" w:rsidTr="00524F05">
        <w:trPr>
          <w:tblHeader/>
        </w:trPr>
        <w:tc>
          <w:tcPr>
            <w:tcW w:w="1826" w:type="pct"/>
            <w:vAlign w:val="center"/>
          </w:tcPr>
          <w:p w14:paraId="49513C49" w14:textId="77777777" w:rsidR="002E4876" w:rsidRPr="0098660A" w:rsidRDefault="002E4876" w:rsidP="002E4876">
            <w:pPr>
              <w:keepNext/>
              <w:keepLines/>
              <w:jc w:val="left"/>
              <w:rPr>
                <w:rFonts w:ascii="Arial Narrow" w:eastAsia="MS Gothic" w:hAnsi="Arial Narrow" w:cs="Times New Roman"/>
                <w:bCs/>
                <w:iCs/>
                <w:sz w:val="20"/>
                <w:szCs w:val="20"/>
              </w:rPr>
            </w:pPr>
            <w:r w:rsidRPr="0098660A">
              <w:rPr>
                <w:rFonts w:ascii="Arial Narrow" w:eastAsia="MS Gothic" w:hAnsi="Arial Narrow" w:cs="Times New Roman"/>
                <w:bCs/>
                <w:iCs/>
                <w:sz w:val="20"/>
                <w:szCs w:val="20"/>
              </w:rPr>
              <w:t>Haemoglobin stabilisation, n (%)</w:t>
            </w:r>
          </w:p>
        </w:tc>
        <w:tc>
          <w:tcPr>
            <w:tcW w:w="1587" w:type="pct"/>
          </w:tcPr>
          <w:p w14:paraId="4C829370"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30 (85.70)</w:t>
            </w:r>
          </w:p>
        </w:tc>
        <w:tc>
          <w:tcPr>
            <w:tcW w:w="1587" w:type="pct"/>
          </w:tcPr>
          <w:p w14:paraId="485EFE23"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NR (68.00)</w:t>
            </w:r>
          </w:p>
        </w:tc>
      </w:tr>
      <w:tr w:rsidR="00461C55" w:rsidRPr="0098660A" w14:paraId="5AA79B18" w14:textId="77777777" w:rsidTr="00524F05">
        <w:trPr>
          <w:tblHeader/>
        </w:trPr>
        <w:tc>
          <w:tcPr>
            <w:tcW w:w="1826" w:type="pct"/>
            <w:vAlign w:val="center"/>
          </w:tcPr>
          <w:p w14:paraId="1765D37E" w14:textId="77777777" w:rsidR="002E4876" w:rsidRPr="0098660A" w:rsidRDefault="002E4876" w:rsidP="002E4876">
            <w:pPr>
              <w:keepNext/>
              <w:keepLines/>
              <w:jc w:val="left"/>
              <w:rPr>
                <w:rFonts w:ascii="Arial Narrow" w:eastAsia="MS Gothic" w:hAnsi="Arial Narrow" w:cs="Times New Roman"/>
                <w:bCs/>
                <w:iCs/>
                <w:sz w:val="20"/>
                <w:szCs w:val="20"/>
              </w:rPr>
            </w:pPr>
            <w:r w:rsidRPr="0098660A">
              <w:rPr>
                <w:rFonts w:ascii="Arial Narrow" w:hAnsi="Arial Narrow"/>
                <w:sz w:val="20"/>
                <w:szCs w:val="20"/>
              </w:rPr>
              <w:t>Transfusion avoidance, n</w:t>
            </w:r>
            <w:r w:rsidRPr="0098660A">
              <w:rPr>
                <w:rFonts w:ascii="Arial Narrow" w:eastAsia="MS Gothic" w:hAnsi="Arial Narrow" w:cs="Times New Roman"/>
                <w:bCs/>
                <w:iCs/>
                <w:sz w:val="20"/>
                <w:szCs w:val="20"/>
              </w:rPr>
              <w:t xml:space="preserve"> (%)</w:t>
            </w:r>
          </w:p>
        </w:tc>
        <w:tc>
          <w:tcPr>
            <w:tcW w:w="1587" w:type="pct"/>
          </w:tcPr>
          <w:p w14:paraId="386F447E"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32 (91.40)</w:t>
            </w:r>
          </w:p>
        </w:tc>
        <w:tc>
          <w:tcPr>
            <w:tcW w:w="1587" w:type="pct"/>
          </w:tcPr>
          <w:p w14:paraId="1FA366B3"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NR (73.60)</w:t>
            </w:r>
          </w:p>
        </w:tc>
      </w:tr>
      <w:tr w:rsidR="00461C55" w:rsidRPr="0098660A" w14:paraId="3FD15B6F" w14:textId="77777777" w:rsidTr="00524F05">
        <w:trPr>
          <w:tblHeader/>
        </w:trPr>
        <w:tc>
          <w:tcPr>
            <w:tcW w:w="1826" w:type="pct"/>
            <w:vAlign w:val="center"/>
          </w:tcPr>
          <w:p w14:paraId="6AF5DF27" w14:textId="77777777" w:rsidR="002E4876" w:rsidRPr="0098660A" w:rsidRDefault="002E4876" w:rsidP="002E4876">
            <w:pPr>
              <w:keepNext/>
              <w:keepLines/>
              <w:ind w:right="-111"/>
              <w:jc w:val="left"/>
              <w:rPr>
                <w:rFonts w:ascii="Arial Narrow" w:eastAsia="MS Gothic" w:hAnsi="Arial Narrow" w:cs="Times New Roman"/>
                <w:bCs/>
                <w:iCs/>
                <w:sz w:val="20"/>
                <w:szCs w:val="20"/>
              </w:rPr>
            </w:pPr>
            <w:r w:rsidRPr="0098660A">
              <w:rPr>
                <w:rFonts w:ascii="Arial Narrow" w:hAnsi="Arial Narrow"/>
                <w:sz w:val="20"/>
                <w:szCs w:val="20"/>
              </w:rPr>
              <w:t>Breakthrough haemolysis, mean</w:t>
            </w:r>
            <w:r w:rsidRPr="0098660A">
              <w:rPr>
                <w:rFonts w:ascii="Arial Narrow" w:eastAsia="MS Gothic" w:hAnsi="Arial Narrow" w:cs="Times New Roman"/>
                <w:bCs/>
                <w:iCs/>
                <w:sz w:val="20"/>
                <w:szCs w:val="20"/>
              </w:rPr>
              <w:t xml:space="preserve"> (%)</w:t>
            </w:r>
          </w:p>
        </w:tc>
        <w:tc>
          <w:tcPr>
            <w:tcW w:w="1587" w:type="pct"/>
          </w:tcPr>
          <w:p w14:paraId="757EC989"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2 (5.70)</w:t>
            </w:r>
          </w:p>
        </w:tc>
        <w:tc>
          <w:tcPr>
            <w:tcW w:w="1587" w:type="pct"/>
          </w:tcPr>
          <w:p w14:paraId="1C067C0A" w14:textId="77777777" w:rsidR="002E4876" w:rsidRPr="0098660A" w:rsidRDefault="002E4876" w:rsidP="002E4876">
            <w:pPr>
              <w:keepNext/>
              <w:keepLines/>
              <w:jc w:val="center"/>
              <w:rPr>
                <w:rFonts w:ascii="Arial Narrow" w:eastAsia="MS Gothic" w:hAnsi="Arial Narrow" w:cs="Times New Roman"/>
                <w:bCs/>
                <w:iCs/>
                <w:sz w:val="20"/>
                <w:szCs w:val="20"/>
              </w:rPr>
            </w:pPr>
            <w:r w:rsidRPr="0098660A">
              <w:rPr>
                <w:rFonts w:ascii="Arial Narrow" w:hAnsi="Arial Narrow"/>
                <w:sz w:val="20"/>
                <w:szCs w:val="20"/>
              </w:rPr>
              <w:t>NR (4.00)</w:t>
            </w:r>
          </w:p>
        </w:tc>
      </w:tr>
      <w:tr w:rsidR="00461C55" w:rsidRPr="0098660A" w14:paraId="0472BC91" w14:textId="77777777" w:rsidTr="00524F05">
        <w:trPr>
          <w:tblHeader/>
        </w:trPr>
        <w:tc>
          <w:tcPr>
            <w:tcW w:w="1826" w:type="pct"/>
            <w:vAlign w:val="center"/>
          </w:tcPr>
          <w:p w14:paraId="5DAD75F5" w14:textId="6F9CF0EC" w:rsidR="002E4876" w:rsidRPr="0098660A" w:rsidRDefault="002E4876" w:rsidP="002E4876">
            <w:pPr>
              <w:keepNext/>
              <w:keepLines/>
              <w:ind w:right="-111"/>
              <w:jc w:val="left"/>
              <w:rPr>
                <w:rFonts w:ascii="Arial Narrow" w:hAnsi="Arial Narrow"/>
                <w:sz w:val="20"/>
                <w:szCs w:val="20"/>
              </w:rPr>
            </w:pPr>
            <w:r w:rsidRPr="0098660A">
              <w:rPr>
                <w:rFonts w:ascii="Arial Narrow" w:hAnsi="Arial Narrow"/>
                <w:sz w:val="20"/>
                <w:szCs w:val="20"/>
              </w:rPr>
              <w:t xml:space="preserve">Change from BL FACIT – </w:t>
            </w:r>
            <w:r w:rsidR="00035877" w:rsidRPr="0098660A">
              <w:rPr>
                <w:rFonts w:ascii="Arial Narrow" w:hAnsi="Arial Narrow"/>
                <w:sz w:val="20"/>
                <w:szCs w:val="20"/>
              </w:rPr>
              <w:t>F</w:t>
            </w:r>
            <w:r w:rsidRPr="0098660A">
              <w:rPr>
                <w:rFonts w:ascii="Arial Narrow" w:hAnsi="Arial Narrow"/>
                <w:sz w:val="20"/>
                <w:szCs w:val="20"/>
              </w:rPr>
              <w:t xml:space="preserve">atigue score, </w:t>
            </w:r>
          </w:p>
          <w:p w14:paraId="62932087" w14:textId="77777777" w:rsidR="002E4876" w:rsidRPr="0098660A" w:rsidRDefault="002E4876" w:rsidP="002E4876">
            <w:pPr>
              <w:keepNext/>
              <w:keepLines/>
              <w:ind w:right="-111"/>
              <w:jc w:val="left"/>
              <w:rPr>
                <w:rFonts w:ascii="Arial Narrow" w:hAnsi="Arial Narrow"/>
                <w:sz w:val="20"/>
                <w:szCs w:val="20"/>
              </w:rPr>
            </w:pPr>
            <w:r w:rsidRPr="0098660A">
              <w:rPr>
                <w:rFonts w:ascii="Arial Narrow" w:hAnsi="Arial Narrow"/>
                <w:sz w:val="20"/>
                <w:szCs w:val="20"/>
              </w:rPr>
              <w:t>LS mean</w:t>
            </w:r>
          </w:p>
        </w:tc>
        <w:tc>
          <w:tcPr>
            <w:tcW w:w="1587" w:type="pct"/>
            <w:vAlign w:val="center"/>
          </w:tcPr>
          <w:p w14:paraId="4153C3CB" w14:textId="77777777" w:rsidR="002E4876" w:rsidRPr="0098660A" w:rsidRDefault="002E4876" w:rsidP="002E4876">
            <w:pPr>
              <w:keepNext/>
              <w:keepLines/>
              <w:jc w:val="center"/>
              <w:rPr>
                <w:rFonts w:ascii="Arial Narrow" w:hAnsi="Arial Narrow"/>
                <w:sz w:val="20"/>
                <w:szCs w:val="20"/>
              </w:rPr>
            </w:pPr>
            <w:r w:rsidRPr="0098660A">
              <w:rPr>
                <w:rFonts w:ascii="Arial Narrow" w:hAnsi="Arial Narrow"/>
                <w:sz w:val="20"/>
                <w:szCs w:val="20"/>
              </w:rPr>
              <w:t>7.78</w:t>
            </w:r>
          </w:p>
        </w:tc>
        <w:tc>
          <w:tcPr>
            <w:tcW w:w="1587" w:type="pct"/>
            <w:vAlign w:val="center"/>
          </w:tcPr>
          <w:p w14:paraId="458B1A0A" w14:textId="77777777" w:rsidR="002E4876" w:rsidRPr="0098660A" w:rsidRDefault="002E4876" w:rsidP="002E4876">
            <w:pPr>
              <w:keepNext/>
              <w:keepLines/>
              <w:jc w:val="center"/>
              <w:rPr>
                <w:rFonts w:ascii="Arial Narrow" w:hAnsi="Arial Narrow"/>
                <w:sz w:val="20"/>
                <w:szCs w:val="20"/>
              </w:rPr>
            </w:pPr>
            <w:r w:rsidRPr="0098660A">
              <w:rPr>
                <w:rFonts w:ascii="Arial Narrow" w:hAnsi="Arial Narrow"/>
                <w:sz w:val="20"/>
                <w:szCs w:val="20"/>
              </w:rPr>
              <w:t>7.07</w:t>
            </w:r>
          </w:p>
        </w:tc>
      </w:tr>
    </w:tbl>
    <w:p w14:paraId="40B8AC5D" w14:textId="77777777" w:rsidR="002E4876" w:rsidRPr="0098660A" w:rsidRDefault="002E4876" w:rsidP="00524F05">
      <w:pPr>
        <w:rPr>
          <w:rFonts w:ascii="Arial Narrow" w:hAnsi="Arial Narrow"/>
          <w:sz w:val="18"/>
          <w:szCs w:val="18"/>
        </w:rPr>
      </w:pPr>
      <w:r w:rsidRPr="0098660A">
        <w:rPr>
          <w:rFonts w:ascii="Arial Narrow" w:hAnsi="Arial Narrow"/>
          <w:sz w:val="18"/>
          <w:szCs w:val="18"/>
        </w:rPr>
        <w:t>Source: Table 2-59, p82 of the submission</w:t>
      </w:r>
    </w:p>
    <w:p w14:paraId="07B953A4" w14:textId="790B139A" w:rsidR="002E4876" w:rsidRPr="0098660A" w:rsidRDefault="00721ACA" w:rsidP="00524F05">
      <w:pPr>
        <w:spacing w:after="120"/>
        <w:rPr>
          <w:rFonts w:ascii="Arial Narrow" w:hAnsi="Arial Narrow"/>
          <w:sz w:val="18"/>
          <w:szCs w:val="18"/>
        </w:rPr>
      </w:pPr>
      <w:r w:rsidRPr="0098660A">
        <w:rPr>
          <w:rFonts w:ascii="Arial Narrow" w:hAnsi="Arial Narrow"/>
          <w:sz w:val="18"/>
          <w:szCs w:val="18"/>
        </w:rPr>
        <w:t xml:space="preserve">BL = baseline; </w:t>
      </w:r>
      <w:r w:rsidR="00AB6909" w:rsidRPr="0098660A">
        <w:rPr>
          <w:rFonts w:ascii="Arial Narrow" w:hAnsi="Arial Narrow"/>
          <w:sz w:val="18"/>
          <w:szCs w:val="18"/>
        </w:rPr>
        <w:t xml:space="preserve">FACIT = Functional Assessment of Chronic Illness Therapy; </w:t>
      </w:r>
      <w:r w:rsidR="002E4876" w:rsidRPr="0098660A">
        <w:rPr>
          <w:rFonts w:ascii="Arial Narrow" w:hAnsi="Arial Narrow"/>
          <w:sz w:val="18"/>
          <w:szCs w:val="18"/>
        </w:rPr>
        <w:t>LDH = lactate dehydrogenase; LS = least square; NE = not estimable; NR = not reported; U/L = units per litre</w:t>
      </w:r>
    </w:p>
    <w:p w14:paraId="14214920" w14:textId="37A05FA0" w:rsidR="00DA3167" w:rsidRPr="0098660A" w:rsidRDefault="00700E7E" w:rsidP="00EC5836">
      <w:pPr>
        <w:pStyle w:val="3-BodyText"/>
      </w:pPr>
      <w:r w:rsidRPr="0098660A">
        <w:t>In the indirect comparison, efficacy in terms of change in LDH level from baseline, LDH normalisation, haemoglobin stabilisation, and transfusion avoidance numerically favoured pegcetacoplan. However, due to key transitivity concerns, the comparative efficacy of pegcetacoplan and ravulizumab should be interpreted with caution</w:t>
      </w:r>
      <w:r w:rsidR="00DA3167" w:rsidRPr="0098660A">
        <w:t>.</w:t>
      </w:r>
    </w:p>
    <w:p w14:paraId="1452C351" w14:textId="0D19F1B0" w:rsidR="00B60939" w:rsidRPr="0098660A" w:rsidRDefault="00B60939" w:rsidP="00D86231">
      <w:pPr>
        <w:pStyle w:val="4-SubsectionHeading"/>
      </w:pPr>
      <w:bookmarkStart w:id="42" w:name="_Toc22897642"/>
      <w:bookmarkStart w:id="43" w:name="_Toc193368021"/>
      <w:bookmarkStart w:id="44" w:name="_Hlk188899385"/>
      <w:r w:rsidRPr="0098660A">
        <w:t>Comparative harms</w:t>
      </w:r>
      <w:bookmarkEnd w:id="42"/>
      <w:bookmarkEnd w:id="43"/>
    </w:p>
    <w:bookmarkStart w:id="45" w:name="_Hlk188899418"/>
    <w:bookmarkStart w:id="46" w:name="_Hlk104801403"/>
    <w:bookmarkEnd w:id="44"/>
    <w:p w14:paraId="4507D581" w14:textId="2A4E3742" w:rsidR="00CF2AA4" w:rsidRPr="0098660A" w:rsidRDefault="008711F6" w:rsidP="00CF2AA4">
      <w:pPr>
        <w:pStyle w:val="3-BodyText"/>
        <w:rPr>
          <w:rFonts w:cstheme="minorHAnsi"/>
          <w:color w:val="0066FF"/>
          <w:szCs w:val="24"/>
        </w:rPr>
      </w:pPr>
      <w:r w:rsidRPr="0098660A">
        <w:rPr>
          <w:rFonts w:cstheme="minorHAnsi"/>
          <w:szCs w:val="24"/>
        </w:rPr>
        <w:fldChar w:fldCharType="begin"/>
      </w:r>
      <w:r w:rsidRPr="0098660A">
        <w:rPr>
          <w:rFonts w:cstheme="minorHAnsi"/>
          <w:szCs w:val="24"/>
        </w:rPr>
        <w:instrText xml:space="preserve"> REF _Ref189935691 \h  \* MERGEFORMAT </w:instrText>
      </w:r>
      <w:r w:rsidRPr="0098660A">
        <w:rPr>
          <w:rFonts w:cstheme="minorHAnsi"/>
          <w:szCs w:val="24"/>
        </w:rPr>
      </w:r>
      <w:r w:rsidRPr="0098660A">
        <w:rPr>
          <w:rFonts w:cstheme="minorHAnsi"/>
          <w:szCs w:val="24"/>
        </w:rPr>
        <w:fldChar w:fldCharType="separate"/>
      </w:r>
      <w:r w:rsidR="00134128" w:rsidRPr="00134128">
        <w:rPr>
          <w:rFonts w:cstheme="minorHAnsi"/>
          <w:szCs w:val="24"/>
        </w:rPr>
        <w:t>Table 7</w:t>
      </w:r>
      <w:r w:rsidRPr="0098660A">
        <w:rPr>
          <w:rFonts w:cstheme="minorHAnsi"/>
          <w:szCs w:val="24"/>
        </w:rPr>
        <w:fldChar w:fldCharType="end"/>
      </w:r>
      <w:r w:rsidRPr="0098660A">
        <w:rPr>
          <w:rFonts w:cstheme="minorHAnsi"/>
          <w:szCs w:val="24"/>
        </w:rPr>
        <w:t xml:space="preserve"> </w:t>
      </w:r>
      <w:r w:rsidR="00CF2AA4" w:rsidRPr="0098660A">
        <w:rPr>
          <w:rFonts w:cstheme="minorHAnsi"/>
          <w:szCs w:val="24"/>
        </w:rPr>
        <w:t xml:space="preserve">summarises the </w:t>
      </w:r>
      <w:r w:rsidR="00CF2AA4" w:rsidRPr="0098660A">
        <w:rPr>
          <w:rFonts w:cstheme="minorHAnsi"/>
          <w:color w:val="000000" w:themeColor="text1"/>
          <w:szCs w:val="24"/>
        </w:rPr>
        <w:t>overall treatment</w:t>
      </w:r>
      <w:r w:rsidR="00C60B72" w:rsidRPr="0098660A">
        <w:rPr>
          <w:rFonts w:cstheme="minorHAnsi"/>
          <w:color w:val="000000" w:themeColor="text1"/>
          <w:szCs w:val="24"/>
        </w:rPr>
        <w:t xml:space="preserve"> </w:t>
      </w:r>
      <w:r w:rsidR="00CF2AA4" w:rsidRPr="0098660A">
        <w:rPr>
          <w:rFonts w:cstheme="minorHAnsi"/>
          <w:color w:val="000000" w:themeColor="text1"/>
          <w:szCs w:val="24"/>
        </w:rPr>
        <w:t xml:space="preserve">emergent adverse events (TEAEs) in the pegcetacoplan </w:t>
      </w:r>
      <w:r w:rsidRPr="0098660A">
        <w:rPr>
          <w:rFonts w:cstheme="minorHAnsi"/>
          <w:color w:val="000000" w:themeColor="text1"/>
          <w:szCs w:val="24"/>
        </w:rPr>
        <w:t xml:space="preserve">and </w:t>
      </w:r>
      <w:r w:rsidR="00CF2AA4" w:rsidRPr="0098660A">
        <w:rPr>
          <w:rFonts w:cstheme="minorHAnsi"/>
          <w:color w:val="000000" w:themeColor="text1"/>
          <w:szCs w:val="24"/>
        </w:rPr>
        <w:t>BSC arm</w:t>
      </w:r>
      <w:r w:rsidRPr="0098660A">
        <w:rPr>
          <w:rFonts w:cstheme="minorHAnsi"/>
          <w:color w:val="000000" w:themeColor="text1"/>
          <w:szCs w:val="24"/>
        </w:rPr>
        <w:t>s</w:t>
      </w:r>
      <w:r w:rsidR="00CF2AA4" w:rsidRPr="0098660A">
        <w:rPr>
          <w:rFonts w:cstheme="minorHAnsi"/>
          <w:color w:val="000000" w:themeColor="text1"/>
          <w:szCs w:val="24"/>
        </w:rPr>
        <w:t xml:space="preserve"> in PRINCE</w:t>
      </w:r>
      <w:r w:rsidR="00CF2AA4" w:rsidRPr="0098660A">
        <w:rPr>
          <w:rFonts w:cstheme="minorHAnsi"/>
          <w:color w:val="0066FF"/>
          <w:szCs w:val="24"/>
        </w:rPr>
        <w:t>.</w:t>
      </w:r>
    </w:p>
    <w:p w14:paraId="3FA3620C" w14:textId="361DED42" w:rsidR="008711F6" w:rsidRPr="0098660A" w:rsidRDefault="008711F6" w:rsidP="008711F6">
      <w:pPr>
        <w:keepNext/>
        <w:keepLines/>
        <w:rPr>
          <w:rFonts w:ascii="Arial Narrow" w:hAnsi="Arial Narrow"/>
          <w:b/>
          <w:bCs/>
          <w:sz w:val="20"/>
          <w:szCs w:val="20"/>
        </w:rPr>
      </w:pPr>
      <w:bookmarkStart w:id="47" w:name="_Ref189935691"/>
      <w:r w:rsidRPr="0098660A">
        <w:rPr>
          <w:rFonts w:ascii="Arial Narrow" w:hAnsi="Arial Narrow"/>
          <w:b/>
          <w:bCs/>
          <w:sz w:val="20"/>
          <w:szCs w:val="20"/>
        </w:rPr>
        <w:t xml:space="preserve">Table </w:t>
      </w:r>
      <w:r w:rsidRPr="0098660A">
        <w:rPr>
          <w:rFonts w:ascii="Arial Narrow" w:hAnsi="Arial Narrow"/>
          <w:b/>
          <w:bCs/>
          <w:sz w:val="20"/>
          <w:szCs w:val="20"/>
        </w:rPr>
        <w:fldChar w:fldCharType="begin"/>
      </w:r>
      <w:r w:rsidRPr="0098660A">
        <w:rPr>
          <w:rFonts w:ascii="Arial Narrow" w:hAnsi="Arial Narrow"/>
          <w:b/>
          <w:bCs/>
          <w:sz w:val="20"/>
          <w:szCs w:val="20"/>
        </w:rPr>
        <w:instrText xml:space="preserve"> SEQ Table \* ARABIC </w:instrText>
      </w:r>
      <w:r w:rsidRPr="0098660A">
        <w:rPr>
          <w:rFonts w:ascii="Arial Narrow" w:hAnsi="Arial Narrow"/>
          <w:b/>
          <w:bCs/>
          <w:sz w:val="20"/>
          <w:szCs w:val="20"/>
        </w:rPr>
        <w:fldChar w:fldCharType="separate"/>
      </w:r>
      <w:r w:rsidR="00134128">
        <w:rPr>
          <w:rFonts w:ascii="Arial Narrow" w:hAnsi="Arial Narrow"/>
          <w:b/>
          <w:bCs/>
          <w:noProof/>
          <w:sz w:val="20"/>
          <w:szCs w:val="20"/>
        </w:rPr>
        <w:t>7</w:t>
      </w:r>
      <w:r w:rsidRPr="0098660A">
        <w:rPr>
          <w:rFonts w:ascii="Arial Narrow" w:hAnsi="Arial Narrow"/>
          <w:b/>
          <w:bCs/>
          <w:sz w:val="20"/>
          <w:szCs w:val="20"/>
        </w:rPr>
        <w:fldChar w:fldCharType="end"/>
      </w:r>
      <w:bookmarkEnd w:id="47"/>
      <w:r w:rsidRPr="0098660A">
        <w:rPr>
          <w:rFonts w:ascii="Arial Narrow" w:hAnsi="Arial Narrow"/>
          <w:b/>
          <w:bCs/>
          <w:sz w:val="20"/>
          <w:szCs w:val="20"/>
        </w:rPr>
        <w:t>: Summary of the overall safety of the PRINCE trial</w:t>
      </w:r>
    </w:p>
    <w:tbl>
      <w:tblPr>
        <w:tblW w:w="492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558"/>
        <w:gridCol w:w="1988"/>
        <w:gridCol w:w="1508"/>
      </w:tblGrid>
      <w:tr w:rsidR="00F77322" w:rsidRPr="0098660A" w14:paraId="65205650" w14:textId="77777777">
        <w:trPr>
          <w:tblHeader/>
        </w:trPr>
        <w:tc>
          <w:tcPr>
            <w:tcW w:w="2155" w:type="pct"/>
            <w:vAlign w:val="center"/>
          </w:tcPr>
          <w:p w14:paraId="4EC33DC4" w14:textId="77777777" w:rsidR="008711F6" w:rsidRPr="0098660A" w:rsidRDefault="008711F6" w:rsidP="008711F6">
            <w:pPr>
              <w:keepNext/>
              <w:keepLines/>
              <w:jc w:val="left"/>
              <w:rPr>
                <w:rFonts w:ascii="Arial Narrow" w:eastAsia="MS Gothic" w:hAnsi="Arial Narrow" w:cs="Times New Roman"/>
                <w:b/>
                <w:iCs/>
                <w:sz w:val="20"/>
              </w:rPr>
            </w:pPr>
          </w:p>
        </w:tc>
        <w:tc>
          <w:tcPr>
            <w:tcW w:w="1996" w:type="pct"/>
            <w:gridSpan w:val="2"/>
            <w:vAlign w:val="center"/>
          </w:tcPr>
          <w:p w14:paraId="332556BB" w14:textId="77777777" w:rsidR="008711F6" w:rsidRPr="0098660A" w:rsidRDefault="008711F6" w:rsidP="008711F6">
            <w:pPr>
              <w:keepNext/>
              <w:keepLines/>
              <w:jc w:val="center"/>
              <w:rPr>
                <w:rFonts w:ascii="Arial Narrow" w:eastAsia="MS Gothic" w:hAnsi="Arial Narrow" w:cs="Times New Roman"/>
                <w:b/>
                <w:iCs/>
                <w:sz w:val="20"/>
              </w:rPr>
            </w:pPr>
            <w:r w:rsidRPr="0098660A">
              <w:rPr>
                <w:rFonts w:ascii="Arial Narrow" w:eastAsia="MS Gothic" w:hAnsi="Arial Narrow" w:cs="Times New Roman"/>
                <w:b/>
                <w:iCs/>
                <w:sz w:val="20"/>
              </w:rPr>
              <w:t>Pegcetacoplan (overall)</w:t>
            </w:r>
          </w:p>
          <w:p w14:paraId="3A7D0532" w14:textId="77777777" w:rsidR="008711F6" w:rsidRPr="0098660A" w:rsidRDefault="008711F6" w:rsidP="008711F6">
            <w:pPr>
              <w:keepNext/>
              <w:keepLines/>
              <w:jc w:val="center"/>
              <w:rPr>
                <w:rFonts w:ascii="Arial Narrow" w:eastAsia="MS Gothic" w:hAnsi="Arial Narrow" w:cs="Times New Roman"/>
                <w:b/>
                <w:iCs/>
                <w:sz w:val="20"/>
              </w:rPr>
            </w:pPr>
            <w:r w:rsidRPr="0098660A">
              <w:rPr>
                <w:rFonts w:ascii="Arial Narrow" w:eastAsia="MS Gothic" w:hAnsi="Arial Narrow" w:cs="Times New Roman"/>
                <w:b/>
                <w:iCs/>
                <w:sz w:val="20"/>
              </w:rPr>
              <w:t>(n = 46)</w:t>
            </w:r>
          </w:p>
        </w:tc>
        <w:tc>
          <w:tcPr>
            <w:tcW w:w="849" w:type="pct"/>
            <w:vMerge w:val="restart"/>
            <w:vAlign w:val="center"/>
          </w:tcPr>
          <w:p w14:paraId="693D3105" w14:textId="77777777" w:rsidR="008711F6" w:rsidRPr="0098660A" w:rsidRDefault="008711F6" w:rsidP="008711F6">
            <w:pPr>
              <w:keepNext/>
              <w:keepLines/>
              <w:jc w:val="center"/>
              <w:rPr>
                <w:rFonts w:ascii="Arial Narrow" w:eastAsia="MS Gothic" w:hAnsi="Arial Narrow" w:cs="Times New Roman"/>
                <w:b/>
                <w:iCs/>
                <w:sz w:val="20"/>
              </w:rPr>
            </w:pPr>
            <w:r w:rsidRPr="0098660A">
              <w:rPr>
                <w:rFonts w:ascii="Arial Narrow" w:eastAsia="MS Gothic" w:hAnsi="Arial Narrow" w:cs="Times New Roman"/>
                <w:b/>
                <w:iCs/>
                <w:sz w:val="20"/>
              </w:rPr>
              <w:t>BSC</w:t>
            </w:r>
          </w:p>
          <w:p w14:paraId="6B8E6F32" w14:textId="77777777" w:rsidR="008711F6" w:rsidRPr="0098660A" w:rsidRDefault="008711F6" w:rsidP="008711F6">
            <w:pPr>
              <w:keepNext/>
              <w:keepLines/>
              <w:jc w:val="center"/>
              <w:rPr>
                <w:rFonts w:ascii="Arial Narrow" w:eastAsia="MS Gothic" w:hAnsi="Arial Narrow" w:cs="Times New Roman"/>
                <w:b/>
                <w:iCs/>
                <w:sz w:val="20"/>
              </w:rPr>
            </w:pPr>
            <w:r w:rsidRPr="0098660A">
              <w:rPr>
                <w:rFonts w:ascii="Arial Narrow" w:eastAsia="MS Gothic" w:hAnsi="Arial Narrow" w:cs="Times New Roman"/>
                <w:b/>
                <w:iCs/>
                <w:sz w:val="20"/>
              </w:rPr>
              <w:t>(n = 18)</w:t>
            </w:r>
          </w:p>
          <w:p w14:paraId="524CBDF6" w14:textId="77777777" w:rsidR="008711F6" w:rsidRPr="0098660A" w:rsidRDefault="008711F6" w:rsidP="008711F6">
            <w:pPr>
              <w:keepNext/>
              <w:keepLines/>
              <w:jc w:val="center"/>
              <w:rPr>
                <w:rFonts w:ascii="Arial Narrow" w:eastAsia="MS Gothic" w:hAnsi="Arial Narrow" w:cs="Times New Roman"/>
                <w:b/>
                <w:iCs/>
                <w:sz w:val="20"/>
              </w:rPr>
            </w:pPr>
            <w:r w:rsidRPr="0098660A">
              <w:rPr>
                <w:rFonts w:ascii="Arial Narrow" w:eastAsia="MS Gothic" w:hAnsi="Arial Narrow" w:cs="Times New Roman"/>
                <w:b/>
                <w:iCs/>
                <w:sz w:val="20"/>
              </w:rPr>
              <w:t>RCP + post-RCP</w:t>
            </w:r>
          </w:p>
        </w:tc>
      </w:tr>
      <w:tr w:rsidR="00F77322" w:rsidRPr="0098660A" w14:paraId="4747726C" w14:textId="77777777">
        <w:trPr>
          <w:tblHeader/>
        </w:trPr>
        <w:tc>
          <w:tcPr>
            <w:tcW w:w="2155" w:type="pct"/>
            <w:vAlign w:val="center"/>
          </w:tcPr>
          <w:p w14:paraId="249C3400" w14:textId="77777777" w:rsidR="008711F6" w:rsidRPr="0098660A" w:rsidRDefault="008711F6" w:rsidP="008711F6">
            <w:pPr>
              <w:keepNext/>
              <w:keepLines/>
              <w:jc w:val="left"/>
              <w:rPr>
                <w:rFonts w:ascii="Arial Narrow" w:eastAsia="MS Gothic" w:hAnsi="Arial Narrow" w:cs="Times New Roman"/>
                <w:b/>
                <w:iCs/>
                <w:sz w:val="20"/>
              </w:rPr>
            </w:pPr>
          </w:p>
        </w:tc>
        <w:tc>
          <w:tcPr>
            <w:tcW w:w="877" w:type="pct"/>
            <w:vAlign w:val="center"/>
          </w:tcPr>
          <w:p w14:paraId="17839DEC" w14:textId="77777777" w:rsidR="008711F6" w:rsidRPr="0098660A" w:rsidRDefault="008711F6" w:rsidP="008711F6">
            <w:pPr>
              <w:keepNext/>
              <w:keepLines/>
              <w:jc w:val="center"/>
              <w:rPr>
                <w:rFonts w:ascii="Arial Narrow" w:eastAsia="MS Gothic" w:hAnsi="Arial Narrow" w:cs="Times New Roman"/>
                <w:b/>
                <w:iCs/>
                <w:sz w:val="20"/>
              </w:rPr>
            </w:pPr>
            <w:r w:rsidRPr="0098660A">
              <w:rPr>
                <w:rFonts w:ascii="Arial Narrow" w:eastAsia="MS Gothic" w:hAnsi="Arial Narrow" w:cs="Times New Roman"/>
                <w:b/>
                <w:iCs/>
                <w:sz w:val="20"/>
              </w:rPr>
              <w:t>26-week RCP</w:t>
            </w:r>
          </w:p>
        </w:tc>
        <w:tc>
          <w:tcPr>
            <w:tcW w:w="1119" w:type="pct"/>
            <w:vAlign w:val="center"/>
          </w:tcPr>
          <w:p w14:paraId="2F4E29DF" w14:textId="77777777" w:rsidR="008711F6" w:rsidRPr="0098660A" w:rsidRDefault="008711F6" w:rsidP="008711F6">
            <w:pPr>
              <w:keepNext/>
              <w:keepLines/>
              <w:jc w:val="center"/>
              <w:rPr>
                <w:rFonts w:ascii="Arial Narrow" w:eastAsia="MS Gothic" w:hAnsi="Arial Narrow" w:cs="Times New Roman"/>
                <w:b/>
                <w:iCs/>
                <w:sz w:val="20"/>
              </w:rPr>
            </w:pPr>
            <w:r w:rsidRPr="0098660A">
              <w:rPr>
                <w:rFonts w:ascii="Arial Narrow" w:eastAsia="MS Gothic" w:hAnsi="Arial Narrow" w:cs="Times New Roman"/>
                <w:b/>
                <w:iCs/>
                <w:sz w:val="20"/>
              </w:rPr>
              <w:t>RCP + post-RCP</w:t>
            </w:r>
          </w:p>
        </w:tc>
        <w:tc>
          <w:tcPr>
            <w:tcW w:w="849" w:type="pct"/>
            <w:vMerge/>
            <w:vAlign w:val="center"/>
          </w:tcPr>
          <w:p w14:paraId="64A92042" w14:textId="77777777" w:rsidR="008711F6" w:rsidRPr="0098660A" w:rsidRDefault="008711F6" w:rsidP="008711F6">
            <w:pPr>
              <w:keepNext/>
              <w:keepLines/>
              <w:jc w:val="left"/>
              <w:rPr>
                <w:rFonts w:ascii="Arial Narrow" w:eastAsia="MS Gothic" w:hAnsi="Arial Narrow" w:cs="Times New Roman"/>
                <w:b/>
                <w:iCs/>
                <w:sz w:val="20"/>
              </w:rPr>
            </w:pPr>
          </w:p>
        </w:tc>
      </w:tr>
      <w:tr w:rsidR="008711F6" w:rsidRPr="0098660A" w14:paraId="5E3B2AC3" w14:textId="77777777">
        <w:tc>
          <w:tcPr>
            <w:tcW w:w="2155" w:type="pct"/>
          </w:tcPr>
          <w:p w14:paraId="1AFD6909" w14:textId="77777777" w:rsidR="008711F6" w:rsidRPr="0098660A" w:rsidRDefault="008711F6" w:rsidP="008711F6">
            <w:pPr>
              <w:widowControl w:val="0"/>
              <w:jc w:val="left"/>
              <w:rPr>
                <w:rFonts w:ascii="Arial Narrow" w:eastAsia="MS Gothic" w:hAnsi="Arial Narrow" w:cs="Times New Roman"/>
                <w:sz w:val="20"/>
                <w:szCs w:val="20"/>
              </w:rPr>
            </w:pPr>
            <w:r w:rsidRPr="0098660A">
              <w:rPr>
                <w:rFonts w:ascii="Arial Narrow" w:eastAsia="MS Gothic" w:hAnsi="Arial Narrow" w:cs="Times New Roman"/>
                <w:sz w:val="20"/>
                <w:szCs w:val="20"/>
              </w:rPr>
              <w:t>Any TEAE, n (%)</w:t>
            </w:r>
          </w:p>
        </w:tc>
        <w:tc>
          <w:tcPr>
            <w:tcW w:w="877" w:type="pct"/>
          </w:tcPr>
          <w:p w14:paraId="06B342E8" w14:textId="77777777" w:rsidR="008711F6" w:rsidRPr="0098660A" w:rsidRDefault="008711F6" w:rsidP="008711F6">
            <w:pPr>
              <w:widowControl w:val="0"/>
              <w:jc w:val="center"/>
              <w:rPr>
                <w:rFonts w:ascii="Arial Narrow" w:eastAsia="MS Gothic" w:hAnsi="Arial Narrow" w:cs="Times New Roman"/>
                <w:sz w:val="20"/>
                <w:szCs w:val="20"/>
              </w:rPr>
            </w:pPr>
            <w:r w:rsidRPr="0098660A">
              <w:rPr>
                <w:rFonts w:ascii="Arial Narrow" w:eastAsia="MS Gothic" w:hAnsi="Arial Narrow" w:cs="Times New Roman"/>
                <w:sz w:val="20"/>
                <w:szCs w:val="20"/>
              </w:rPr>
              <w:t>33 (71.7)</w:t>
            </w:r>
          </w:p>
        </w:tc>
        <w:tc>
          <w:tcPr>
            <w:tcW w:w="1119" w:type="pct"/>
          </w:tcPr>
          <w:p w14:paraId="261A8072" w14:textId="77777777" w:rsidR="008711F6" w:rsidRPr="0098660A" w:rsidRDefault="008711F6" w:rsidP="008711F6">
            <w:pPr>
              <w:widowControl w:val="0"/>
              <w:jc w:val="center"/>
              <w:rPr>
                <w:rFonts w:ascii="Arial Narrow" w:eastAsia="MS Gothic" w:hAnsi="Arial Narrow" w:cs="Times New Roman"/>
                <w:sz w:val="20"/>
                <w:szCs w:val="20"/>
              </w:rPr>
            </w:pPr>
            <w:r w:rsidRPr="0098660A">
              <w:rPr>
                <w:rFonts w:ascii="Arial Narrow" w:hAnsi="Arial Narrow" w:cs="Times New Roman"/>
                <w:color w:val="000000"/>
                <w:sz w:val="20"/>
                <w:szCs w:val="20"/>
              </w:rPr>
              <w:t>35 (76.1)</w:t>
            </w:r>
          </w:p>
        </w:tc>
        <w:tc>
          <w:tcPr>
            <w:tcW w:w="849" w:type="pct"/>
          </w:tcPr>
          <w:p w14:paraId="61BE57CC" w14:textId="77777777" w:rsidR="008711F6" w:rsidRPr="0098660A" w:rsidRDefault="008711F6" w:rsidP="008711F6">
            <w:pPr>
              <w:widowControl w:val="0"/>
              <w:jc w:val="center"/>
              <w:rPr>
                <w:rFonts w:ascii="Arial Narrow" w:eastAsia="MS Gothic" w:hAnsi="Arial Narrow" w:cs="Times New Roman"/>
                <w:sz w:val="20"/>
                <w:szCs w:val="20"/>
              </w:rPr>
            </w:pPr>
            <w:r w:rsidRPr="0098660A">
              <w:rPr>
                <w:rFonts w:ascii="Arial Narrow" w:eastAsia="MS Gothic" w:hAnsi="Arial Narrow" w:cs="Times New Roman"/>
                <w:sz w:val="20"/>
                <w:szCs w:val="20"/>
              </w:rPr>
              <w:t>12 (66.7)</w:t>
            </w:r>
          </w:p>
        </w:tc>
      </w:tr>
      <w:tr w:rsidR="008711F6" w:rsidRPr="0098660A" w14:paraId="3C152068" w14:textId="77777777">
        <w:tc>
          <w:tcPr>
            <w:tcW w:w="5000" w:type="pct"/>
            <w:gridSpan w:val="4"/>
          </w:tcPr>
          <w:p w14:paraId="1EE46C22" w14:textId="77777777" w:rsidR="008711F6" w:rsidRPr="0098660A" w:rsidRDefault="008711F6" w:rsidP="008711F6">
            <w:pPr>
              <w:widowControl w:val="0"/>
              <w:jc w:val="left"/>
              <w:rPr>
                <w:rFonts w:ascii="Arial Narrow" w:eastAsia="MS Gothic" w:hAnsi="Arial Narrow" w:cs="Times New Roman"/>
                <w:sz w:val="20"/>
                <w:szCs w:val="20"/>
              </w:rPr>
            </w:pPr>
            <w:r w:rsidRPr="0098660A">
              <w:rPr>
                <w:rFonts w:ascii="Arial Narrow" w:eastAsia="MS Gothic" w:hAnsi="Arial Narrow" w:cs="Times New Roman"/>
                <w:sz w:val="20"/>
                <w:szCs w:val="20"/>
              </w:rPr>
              <w:t>TEAEs by severity, n (%)</w:t>
            </w:r>
          </w:p>
        </w:tc>
      </w:tr>
      <w:tr w:rsidR="008711F6" w:rsidRPr="0098660A" w14:paraId="57B19D95" w14:textId="77777777">
        <w:tc>
          <w:tcPr>
            <w:tcW w:w="2155" w:type="pct"/>
          </w:tcPr>
          <w:p w14:paraId="1188F746" w14:textId="77777777" w:rsidR="008711F6" w:rsidRPr="0098660A" w:rsidRDefault="008711F6" w:rsidP="008711F6">
            <w:pPr>
              <w:widowControl w:val="0"/>
              <w:jc w:val="left"/>
              <w:rPr>
                <w:rFonts w:ascii="Arial Narrow" w:eastAsia="MS Gothic" w:hAnsi="Arial Narrow" w:cs="Times New Roman"/>
                <w:sz w:val="20"/>
                <w:szCs w:val="20"/>
              </w:rPr>
            </w:pPr>
            <w:r w:rsidRPr="0098660A">
              <w:rPr>
                <w:rFonts w:ascii="Arial Narrow" w:eastAsia="MS Gothic" w:hAnsi="Arial Narrow" w:cs="Times New Roman"/>
                <w:sz w:val="20"/>
                <w:szCs w:val="20"/>
              </w:rPr>
              <w:t xml:space="preserve">    Mild </w:t>
            </w:r>
          </w:p>
        </w:tc>
        <w:tc>
          <w:tcPr>
            <w:tcW w:w="877" w:type="pct"/>
          </w:tcPr>
          <w:p w14:paraId="4E82E277" w14:textId="77777777" w:rsidR="008711F6" w:rsidRPr="0098660A" w:rsidRDefault="008711F6" w:rsidP="008711F6">
            <w:pPr>
              <w:widowControl w:val="0"/>
              <w:jc w:val="center"/>
              <w:rPr>
                <w:rFonts w:ascii="Arial Narrow" w:eastAsia="MS Gothic" w:hAnsi="Arial Narrow" w:cs="Times New Roman"/>
                <w:sz w:val="20"/>
                <w:szCs w:val="20"/>
              </w:rPr>
            </w:pPr>
            <w:r w:rsidRPr="0098660A">
              <w:rPr>
                <w:rFonts w:ascii="Arial Narrow" w:hAnsi="Arial Narrow"/>
                <w:sz w:val="20"/>
                <w:szCs w:val="20"/>
              </w:rPr>
              <w:t>16 (34.8)</w:t>
            </w:r>
          </w:p>
        </w:tc>
        <w:tc>
          <w:tcPr>
            <w:tcW w:w="1119" w:type="pct"/>
          </w:tcPr>
          <w:p w14:paraId="0E36C540" w14:textId="77777777" w:rsidR="008711F6" w:rsidRPr="0098660A" w:rsidRDefault="008711F6" w:rsidP="008711F6">
            <w:pPr>
              <w:widowControl w:val="0"/>
              <w:jc w:val="center"/>
              <w:rPr>
                <w:rFonts w:ascii="Arial Narrow" w:eastAsia="MS Gothic" w:hAnsi="Arial Narrow" w:cs="Times New Roman"/>
                <w:sz w:val="20"/>
                <w:szCs w:val="20"/>
              </w:rPr>
            </w:pPr>
            <w:r w:rsidRPr="0098660A">
              <w:rPr>
                <w:rFonts w:ascii="Arial Narrow" w:hAnsi="Arial Narrow" w:cs="Times New Roman"/>
                <w:color w:val="000000"/>
                <w:sz w:val="20"/>
                <w:szCs w:val="20"/>
              </w:rPr>
              <w:t>12 (26.1)</w:t>
            </w:r>
          </w:p>
        </w:tc>
        <w:tc>
          <w:tcPr>
            <w:tcW w:w="849" w:type="pct"/>
          </w:tcPr>
          <w:p w14:paraId="6639EFCE" w14:textId="77777777" w:rsidR="008711F6" w:rsidRPr="0098660A" w:rsidRDefault="008711F6" w:rsidP="008711F6">
            <w:pPr>
              <w:widowControl w:val="0"/>
              <w:jc w:val="center"/>
              <w:rPr>
                <w:rFonts w:ascii="Arial Narrow" w:eastAsia="MS Gothic" w:hAnsi="Arial Narrow" w:cs="Times New Roman"/>
                <w:sz w:val="20"/>
                <w:szCs w:val="20"/>
              </w:rPr>
            </w:pPr>
            <w:r w:rsidRPr="0098660A">
              <w:rPr>
                <w:rFonts w:ascii="Arial Narrow" w:hAnsi="Arial Narrow"/>
                <w:sz w:val="20"/>
                <w:szCs w:val="20"/>
              </w:rPr>
              <w:t>7 (38.9)</w:t>
            </w:r>
          </w:p>
        </w:tc>
      </w:tr>
      <w:tr w:rsidR="008711F6" w:rsidRPr="0098660A" w14:paraId="635BC6CD" w14:textId="77777777">
        <w:tc>
          <w:tcPr>
            <w:tcW w:w="2155" w:type="pct"/>
          </w:tcPr>
          <w:p w14:paraId="53F73E9C" w14:textId="77777777" w:rsidR="008711F6" w:rsidRPr="0098660A" w:rsidRDefault="008711F6" w:rsidP="008711F6">
            <w:pPr>
              <w:widowControl w:val="0"/>
              <w:jc w:val="left"/>
              <w:rPr>
                <w:rFonts w:ascii="Arial Narrow" w:eastAsia="MS Gothic" w:hAnsi="Arial Narrow" w:cs="Times New Roman"/>
                <w:sz w:val="20"/>
                <w:szCs w:val="20"/>
              </w:rPr>
            </w:pPr>
            <w:r w:rsidRPr="0098660A">
              <w:rPr>
                <w:rFonts w:ascii="Arial Narrow" w:eastAsia="MS Gothic" w:hAnsi="Arial Narrow" w:cs="Times New Roman"/>
                <w:sz w:val="20"/>
                <w:szCs w:val="20"/>
              </w:rPr>
              <w:t xml:space="preserve">    Moderate </w:t>
            </w:r>
          </w:p>
        </w:tc>
        <w:tc>
          <w:tcPr>
            <w:tcW w:w="877" w:type="pct"/>
          </w:tcPr>
          <w:p w14:paraId="4F29CC93" w14:textId="77777777" w:rsidR="008711F6" w:rsidRPr="0098660A" w:rsidRDefault="008711F6" w:rsidP="008711F6">
            <w:pPr>
              <w:widowControl w:val="0"/>
              <w:jc w:val="center"/>
              <w:rPr>
                <w:rFonts w:ascii="Arial Narrow" w:eastAsia="MS Gothic" w:hAnsi="Arial Narrow" w:cs="Times New Roman"/>
                <w:sz w:val="20"/>
                <w:szCs w:val="20"/>
              </w:rPr>
            </w:pPr>
            <w:r w:rsidRPr="0098660A">
              <w:rPr>
                <w:rFonts w:ascii="Arial Narrow" w:hAnsi="Arial Narrow"/>
                <w:sz w:val="20"/>
                <w:szCs w:val="20"/>
              </w:rPr>
              <w:t>13 (28.3)</w:t>
            </w:r>
          </w:p>
        </w:tc>
        <w:tc>
          <w:tcPr>
            <w:tcW w:w="1119" w:type="pct"/>
          </w:tcPr>
          <w:p w14:paraId="1199FE72" w14:textId="77777777" w:rsidR="008711F6" w:rsidRPr="0098660A" w:rsidRDefault="008711F6" w:rsidP="008711F6">
            <w:pPr>
              <w:widowControl w:val="0"/>
              <w:jc w:val="center"/>
              <w:rPr>
                <w:rFonts w:ascii="Arial Narrow" w:eastAsia="MS Gothic" w:hAnsi="Arial Narrow" w:cs="Times New Roman"/>
                <w:sz w:val="20"/>
                <w:szCs w:val="20"/>
              </w:rPr>
            </w:pPr>
            <w:r w:rsidRPr="0098660A">
              <w:rPr>
                <w:rFonts w:ascii="Arial Narrow" w:hAnsi="Arial Narrow" w:cs="Times New Roman"/>
                <w:color w:val="000000"/>
                <w:sz w:val="20"/>
                <w:szCs w:val="20"/>
              </w:rPr>
              <w:t>17 (37.0)</w:t>
            </w:r>
          </w:p>
        </w:tc>
        <w:tc>
          <w:tcPr>
            <w:tcW w:w="849" w:type="pct"/>
          </w:tcPr>
          <w:p w14:paraId="5BC30320" w14:textId="77777777" w:rsidR="008711F6" w:rsidRPr="0098660A" w:rsidRDefault="008711F6" w:rsidP="008711F6">
            <w:pPr>
              <w:widowControl w:val="0"/>
              <w:jc w:val="center"/>
              <w:rPr>
                <w:rFonts w:ascii="Arial Narrow" w:eastAsia="MS Gothic" w:hAnsi="Arial Narrow" w:cs="Times New Roman"/>
                <w:sz w:val="20"/>
                <w:szCs w:val="20"/>
              </w:rPr>
            </w:pPr>
            <w:r w:rsidRPr="0098660A">
              <w:rPr>
                <w:rFonts w:ascii="Arial Narrow" w:hAnsi="Arial Narrow"/>
                <w:sz w:val="20"/>
                <w:szCs w:val="20"/>
              </w:rPr>
              <w:t>3 (16.7)</w:t>
            </w:r>
          </w:p>
        </w:tc>
      </w:tr>
      <w:tr w:rsidR="008711F6" w:rsidRPr="0098660A" w14:paraId="0EB8A402" w14:textId="77777777">
        <w:tc>
          <w:tcPr>
            <w:tcW w:w="2155" w:type="pct"/>
          </w:tcPr>
          <w:p w14:paraId="52E6A10E" w14:textId="77777777" w:rsidR="008711F6" w:rsidRPr="0098660A" w:rsidRDefault="008711F6" w:rsidP="008711F6">
            <w:pPr>
              <w:widowControl w:val="0"/>
              <w:jc w:val="left"/>
              <w:rPr>
                <w:rFonts w:ascii="Arial Narrow" w:eastAsia="MS Gothic" w:hAnsi="Arial Narrow" w:cs="Times New Roman"/>
                <w:sz w:val="20"/>
                <w:szCs w:val="20"/>
              </w:rPr>
            </w:pPr>
            <w:r w:rsidRPr="0098660A">
              <w:rPr>
                <w:rFonts w:ascii="Arial Narrow" w:eastAsia="MS Gothic" w:hAnsi="Arial Narrow" w:cs="Times New Roman"/>
                <w:sz w:val="20"/>
                <w:szCs w:val="20"/>
              </w:rPr>
              <w:t xml:space="preserve">    Severe </w:t>
            </w:r>
          </w:p>
        </w:tc>
        <w:tc>
          <w:tcPr>
            <w:tcW w:w="877" w:type="pct"/>
          </w:tcPr>
          <w:p w14:paraId="74BD7637" w14:textId="77777777" w:rsidR="008711F6" w:rsidRPr="0098660A" w:rsidRDefault="008711F6" w:rsidP="008711F6">
            <w:pPr>
              <w:widowControl w:val="0"/>
              <w:jc w:val="center"/>
              <w:rPr>
                <w:rFonts w:ascii="Arial Narrow" w:eastAsia="MS Gothic" w:hAnsi="Arial Narrow" w:cs="Times New Roman"/>
                <w:sz w:val="20"/>
                <w:szCs w:val="20"/>
              </w:rPr>
            </w:pPr>
            <w:r w:rsidRPr="0098660A">
              <w:rPr>
                <w:rFonts w:ascii="Arial Narrow" w:hAnsi="Arial Narrow"/>
                <w:sz w:val="20"/>
                <w:szCs w:val="20"/>
              </w:rPr>
              <w:t>4 (8.7)</w:t>
            </w:r>
          </w:p>
        </w:tc>
        <w:tc>
          <w:tcPr>
            <w:tcW w:w="1119" w:type="pct"/>
          </w:tcPr>
          <w:p w14:paraId="236D1DE9" w14:textId="77777777" w:rsidR="008711F6" w:rsidRPr="0098660A" w:rsidRDefault="008711F6" w:rsidP="008711F6">
            <w:pPr>
              <w:widowControl w:val="0"/>
              <w:jc w:val="center"/>
              <w:rPr>
                <w:rFonts w:ascii="Arial Narrow" w:eastAsia="MS Gothic" w:hAnsi="Arial Narrow" w:cs="Times New Roman"/>
                <w:sz w:val="20"/>
                <w:szCs w:val="20"/>
              </w:rPr>
            </w:pPr>
            <w:r w:rsidRPr="0098660A">
              <w:rPr>
                <w:rFonts w:ascii="Arial Narrow" w:hAnsi="Arial Narrow" w:cs="Times New Roman"/>
                <w:color w:val="000000"/>
                <w:sz w:val="20"/>
                <w:szCs w:val="20"/>
              </w:rPr>
              <w:t>6 (13.0)</w:t>
            </w:r>
          </w:p>
        </w:tc>
        <w:tc>
          <w:tcPr>
            <w:tcW w:w="849" w:type="pct"/>
          </w:tcPr>
          <w:p w14:paraId="2C2125EC" w14:textId="77777777" w:rsidR="008711F6" w:rsidRPr="0098660A" w:rsidRDefault="008711F6" w:rsidP="008711F6">
            <w:pPr>
              <w:widowControl w:val="0"/>
              <w:jc w:val="center"/>
              <w:rPr>
                <w:rFonts w:ascii="Arial Narrow" w:eastAsia="MS Gothic" w:hAnsi="Arial Narrow" w:cs="Times New Roman"/>
                <w:sz w:val="20"/>
                <w:szCs w:val="20"/>
              </w:rPr>
            </w:pPr>
            <w:r w:rsidRPr="0098660A">
              <w:rPr>
                <w:rFonts w:ascii="Arial Narrow" w:hAnsi="Arial Narrow"/>
                <w:sz w:val="20"/>
                <w:szCs w:val="20"/>
              </w:rPr>
              <w:t>2 (11.1)</w:t>
            </w:r>
          </w:p>
        </w:tc>
      </w:tr>
      <w:tr w:rsidR="008711F6" w:rsidRPr="0098660A" w14:paraId="40A807F4" w14:textId="77777777">
        <w:tc>
          <w:tcPr>
            <w:tcW w:w="2155" w:type="pct"/>
          </w:tcPr>
          <w:p w14:paraId="5C7888F6" w14:textId="77777777" w:rsidR="008711F6" w:rsidRPr="0098660A" w:rsidRDefault="008711F6" w:rsidP="008711F6">
            <w:pPr>
              <w:widowControl w:val="0"/>
              <w:jc w:val="left"/>
              <w:rPr>
                <w:rFonts w:ascii="Arial Narrow" w:eastAsia="MS Gothic" w:hAnsi="Arial Narrow" w:cs="Times New Roman"/>
                <w:sz w:val="20"/>
                <w:szCs w:val="20"/>
              </w:rPr>
            </w:pPr>
            <w:r w:rsidRPr="0098660A">
              <w:rPr>
                <w:rFonts w:ascii="Arial Narrow" w:eastAsia="MS Gothic" w:hAnsi="Arial Narrow" w:cs="Times New Roman"/>
                <w:sz w:val="20"/>
                <w:szCs w:val="20"/>
              </w:rPr>
              <w:t>SAEs, n (%)</w:t>
            </w:r>
          </w:p>
        </w:tc>
        <w:tc>
          <w:tcPr>
            <w:tcW w:w="877" w:type="pct"/>
          </w:tcPr>
          <w:p w14:paraId="172B33F7" w14:textId="77777777" w:rsidR="008711F6" w:rsidRPr="0098660A" w:rsidRDefault="008711F6" w:rsidP="008711F6">
            <w:pPr>
              <w:widowControl w:val="0"/>
              <w:jc w:val="center"/>
              <w:rPr>
                <w:rFonts w:ascii="Arial Narrow" w:eastAsia="MS Gothic" w:hAnsi="Arial Narrow" w:cs="Times New Roman"/>
                <w:sz w:val="20"/>
                <w:szCs w:val="20"/>
              </w:rPr>
            </w:pPr>
            <w:r w:rsidRPr="0098660A">
              <w:rPr>
                <w:rFonts w:ascii="Arial Narrow" w:hAnsi="Arial Narrow" w:cs="Times New Roman"/>
                <w:color w:val="000000"/>
                <w:sz w:val="20"/>
                <w:szCs w:val="20"/>
              </w:rPr>
              <w:t>4 (8.7)</w:t>
            </w:r>
          </w:p>
        </w:tc>
        <w:tc>
          <w:tcPr>
            <w:tcW w:w="1119" w:type="pct"/>
          </w:tcPr>
          <w:p w14:paraId="6F75421A" w14:textId="77777777" w:rsidR="008711F6" w:rsidRPr="0098660A" w:rsidRDefault="008711F6" w:rsidP="008711F6">
            <w:pPr>
              <w:widowControl w:val="0"/>
              <w:jc w:val="center"/>
              <w:rPr>
                <w:rFonts w:ascii="Arial Narrow" w:eastAsia="MS Gothic" w:hAnsi="Arial Narrow" w:cs="Times New Roman"/>
                <w:sz w:val="20"/>
                <w:szCs w:val="20"/>
              </w:rPr>
            </w:pPr>
            <w:r w:rsidRPr="0098660A">
              <w:rPr>
                <w:rFonts w:ascii="Arial Narrow" w:hAnsi="Arial Narrow" w:cs="Times New Roman"/>
                <w:color w:val="000000"/>
                <w:sz w:val="20"/>
                <w:szCs w:val="20"/>
              </w:rPr>
              <w:t>6 (13.0)</w:t>
            </w:r>
          </w:p>
        </w:tc>
        <w:tc>
          <w:tcPr>
            <w:tcW w:w="849" w:type="pct"/>
          </w:tcPr>
          <w:p w14:paraId="0075C234" w14:textId="77777777" w:rsidR="008711F6" w:rsidRPr="0098660A" w:rsidRDefault="008711F6" w:rsidP="008711F6">
            <w:pPr>
              <w:widowControl w:val="0"/>
              <w:jc w:val="center"/>
              <w:rPr>
                <w:rFonts w:ascii="Arial Narrow" w:eastAsia="MS Gothic" w:hAnsi="Arial Narrow" w:cs="Times New Roman"/>
                <w:sz w:val="20"/>
                <w:szCs w:val="20"/>
              </w:rPr>
            </w:pPr>
            <w:r w:rsidRPr="0098660A">
              <w:rPr>
                <w:rFonts w:ascii="Arial Narrow" w:hAnsi="Arial Narrow" w:cs="Times New Roman"/>
                <w:color w:val="000000"/>
                <w:sz w:val="20"/>
                <w:szCs w:val="20"/>
              </w:rPr>
              <w:t>3 (16.7)</w:t>
            </w:r>
          </w:p>
        </w:tc>
      </w:tr>
      <w:tr w:rsidR="008711F6" w:rsidRPr="0098660A" w14:paraId="0CD83798" w14:textId="77777777">
        <w:tc>
          <w:tcPr>
            <w:tcW w:w="2155" w:type="pct"/>
          </w:tcPr>
          <w:p w14:paraId="0945E4ED" w14:textId="77777777" w:rsidR="008711F6" w:rsidRPr="0098660A" w:rsidRDefault="008711F6" w:rsidP="008711F6">
            <w:pPr>
              <w:widowControl w:val="0"/>
              <w:jc w:val="left"/>
              <w:rPr>
                <w:rFonts w:ascii="Arial Narrow" w:eastAsia="MS Gothic" w:hAnsi="Arial Narrow" w:cs="Times New Roman"/>
                <w:sz w:val="20"/>
                <w:szCs w:val="20"/>
              </w:rPr>
            </w:pPr>
            <w:r w:rsidRPr="0098660A">
              <w:rPr>
                <w:rFonts w:ascii="Arial Narrow" w:eastAsia="MS Gothic" w:hAnsi="Arial Narrow" w:cs="Times New Roman"/>
                <w:sz w:val="20"/>
                <w:szCs w:val="20"/>
              </w:rPr>
              <w:t>TEAEs related to pegcetacoplan, n (%)</w:t>
            </w:r>
          </w:p>
        </w:tc>
        <w:tc>
          <w:tcPr>
            <w:tcW w:w="877" w:type="pct"/>
          </w:tcPr>
          <w:p w14:paraId="596C0966" w14:textId="77777777" w:rsidR="008711F6" w:rsidRPr="0098660A" w:rsidRDefault="008711F6" w:rsidP="008711F6">
            <w:pPr>
              <w:widowControl w:val="0"/>
              <w:jc w:val="center"/>
              <w:rPr>
                <w:rFonts w:ascii="Arial Narrow" w:eastAsia="MS Gothic" w:hAnsi="Arial Narrow" w:cs="Times New Roman"/>
                <w:sz w:val="20"/>
                <w:szCs w:val="20"/>
              </w:rPr>
            </w:pPr>
            <w:r w:rsidRPr="0098660A">
              <w:rPr>
                <w:rFonts w:ascii="Arial Narrow" w:hAnsi="Arial Narrow" w:cs="Times New Roman"/>
                <w:color w:val="000000"/>
                <w:sz w:val="20"/>
                <w:szCs w:val="20"/>
              </w:rPr>
              <w:t>13 (28.3)</w:t>
            </w:r>
          </w:p>
        </w:tc>
        <w:tc>
          <w:tcPr>
            <w:tcW w:w="1119" w:type="pct"/>
          </w:tcPr>
          <w:p w14:paraId="20B17BD4" w14:textId="77777777" w:rsidR="008711F6" w:rsidRPr="0098660A" w:rsidRDefault="008711F6" w:rsidP="008711F6">
            <w:pPr>
              <w:widowControl w:val="0"/>
              <w:jc w:val="center"/>
              <w:rPr>
                <w:rFonts w:ascii="Arial Narrow" w:eastAsia="MS Gothic" w:hAnsi="Arial Narrow" w:cs="Times New Roman"/>
                <w:sz w:val="20"/>
                <w:szCs w:val="20"/>
              </w:rPr>
            </w:pPr>
            <w:r w:rsidRPr="0098660A">
              <w:rPr>
                <w:rFonts w:ascii="Arial Narrow" w:hAnsi="Arial Narrow" w:cs="Times New Roman"/>
                <w:color w:val="000000"/>
                <w:sz w:val="20"/>
                <w:szCs w:val="20"/>
              </w:rPr>
              <w:t>16 (34.8)</w:t>
            </w:r>
          </w:p>
        </w:tc>
        <w:tc>
          <w:tcPr>
            <w:tcW w:w="849" w:type="pct"/>
          </w:tcPr>
          <w:p w14:paraId="53E82B76" w14:textId="77777777" w:rsidR="008711F6" w:rsidRPr="0098660A" w:rsidRDefault="008711F6" w:rsidP="008711F6">
            <w:pPr>
              <w:widowControl w:val="0"/>
              <w:jc w:val="center"/>
              <w:rPr>
                <w:rFonts w:ascii="Arial Narrow" w:eastAsia="MS Gothic" w:hAnsi="Arial Narrow" w:cs="Times New Roman"/>
                <w:sz w:val="20"/>
                <w:szCs w:val="20"/>
              </w:rPr>
            </w:pPr>
            <w:r w:rsidRPr="0098660A">
              <w:rPr>
                <w:rFonts w:ascii="Arial Narrow" w:eastAsia="MS Gothic" w:hAnsi="Arial Narrow" w:cs="Times New Roman"/>
                <w:sz w:val="20"/>
                <w:szCs w:val="20"/>
              </w:rPr>
              <w:t>NA</w:t>
            </w:r>
          </w:p>
        </w:tc>
      </w:tr>
      <w:tr w:rsidR="008711F6" w:rsidRPr="0098660A" w14:paraId="65570BBC" w14:textId="77777777">
        <w:tc>
          <w:tcPr>
            <w:tcW w:w="2155" w:type="pct"/>
          </w:tcPr>
          <w:p w14:paraId="5DD98102" w14:textId="77777777" w:rsidR="008711F6" w:rsidRPr="0098660A" w:rsidRDefault="008711F6" w:rsidP="008711F6">
            <w:pPr>
              <w:widowControl w:val="0"/>
              <w:jc w:val="left"/>
              <w:rPr>
                <w:rFonts w:ascii="Arial Narrow" w:eastAsia="MS Gothic" w:hAnsi="Arial Narrow" w:cs="Times New Roman"/>
                <w:sz w:val="20"/>
                <w:szCs w:val="20"/>
              </w:rPr>
            </w:pPr>
            <w:r w:rsidRPr="0098660A">
              <w:rPr>
                <w:rFonts w:ascii="Arial Narrow" w:eastAsia="MS Gothic" w:hAnsi="Arial Narrow" w:cs="Times New Roman"/>
                <w:sz w:val="20"/>
                <w:szCs w:val="20"/>
              </w:rPr>
              <w:t>SAEs related to pegcetacoplan, n (%)</w:t>
            </w:r>
          </w:p>
        </w:tc>
        <w:tc>
          <w:tcPr>
            <w:tcW w:w="877" w:type="pct"/>
          </w:tcPr>
          <w:p w14:paraId="7C370BCE" w14:textId="77777777" w:rsidR="008711F6" w:rsidRPr="0098660A" w:rsidRDefault="008711F6" w:rsidP="008711F6">
            <w:pPr>
              <w:widowControl w:val="0"/>
              <w:jc w:val="center"/>
              <w:rPr>
                <w:rFonts w:ascii="Arial Narrow" w:eastAsia="MS Gothic" w:hAnsi="Arial Narrow" w:cs="Times New Roman"/>
                <w:sz w:val="20"/>
                <w:szCs w:val="20"/>
              </w:rPr>
            </w:pPr>
            <w:r w:rsidRPr="0098660A">
              <w:rPr>
                <w:rFonts w:ascii="Arial Narrow" w:eastAsia="MS Gothic" w:hAnsi="Arial Narrow" w:cs="Times New Roman"/>
                <w:sz w:val="20"/>
                <w:szCs w:val="20"/>
              </w:rPr>
              <w:t>0</w:t>
            </w:r>
          </w:p>
        </w:tc>
        <w:tc>
          <w:tcPr>
            <w:tcW w:w="1119" w:type="pct"/>
          </w:tcPr>
          <w:p w14:paraId="66CCD51F" w14:textId="77777777" w:rsidR="008711F6" w:rsidRPr="0098660A" w:rsidRDefault="008711F6" w:rsidP="008711F6">
            <w:pPr>
              <w:widowControl w:val="0"/>
              <w:jc w:val="center"/>
              <w:rPr>
                <w:rFonts w:ascii="Arial Narrow" w:eastAsia="MS Gothic" w:hAnsi="Arial Narrow" w:cs="Times New Roman"/>
                <w:sz w:val="20"/>
                <w:szCs w:val="20"/>
              </w:rPr>
            </w:pPr>
            <w:r w:rsidRPr="0098660A">
              <w:rPr>
                <w:rFonts w:ascii="Arial Narrow" w:eastAsia="MS Gothic" w:hAnsi="Arial Narrow" w:cs="Times New Roman"/>
                <w:sz w:val="20"/>
                <w:szCs w:val="20"/>
              </w:rPr>
              <w:t>0</w:t>
            </w:r>
          </w:p>
        </w:tc>
        <w:tc>
          <w:tcPr>
            <w:tcW w:w="849" w:type="pct"/>
          </w:tcPr>
          <w:p w14:paraId="5B18E6B1" w14:textId="77777777" w:rsidR="008711F6" w:rsidRPr="0098660A" w:rsidRDefault="008711F6" w:rsidP="008711F6">
            <w:pPr>
              <w:widowControl w:val="0"/>
              <w:jc w:val="center"/>
              <w:rPr>
                <w:rFonts w:ascii="Arial Narrow" w:eastAsia="MS Gothic" w:hAnsi="Arial Narrow" w:cs="Times New Roman"/>
                <w:sz w:val="20"/>
                <w:szCs w:val="20"/>
              </w:rPr>
            </w:pPr>
            <w:r w:rsidRPr="0098660A">
              <w:rPr>
                <w:rFonts w:ascii="Arial Narrow" w:eastAsia="MS Gothic" w:hAnsi="Arial Narrow" w:cs="Times New Roman"/>
                <w:sz w:val="20"/>
                <w:szCs w:val="20"/>
              </w:rPr>
              <w:t>NA</w:t>
            </w:r>
          </w:p>
        </w:tc>
      </w:tr>
      <w:tr w:rsidR="008711F6" w:rsidRPr="0098660A" w14:paraId="3BFA1861" w14:textId="77777777">
        <w:tc>
          <w:tcPr>
            <w:tcW w:w="2155" w:type="pct"/>
          </w:tcPr>
          <w:p w14:paraId="576A19AA" w14:textId="77777777" w:rsidR="008711F6" w:rsidRPr="0098660A" w:rsidRDefault="008711F6" w:rsidP="008711F6">
            <w:pPr>
              <w:widowControl w:val="0"/>
              <w:ind w:right="-110"/>
              <w:jc w:val="left"/>
              <w:rPr>
                <w:rFonts w:ascii="Arial Narrow" w:eastAsia="MS Gothic" w:hAnsi="Arial Narrow" w:cs="Times New Roman"/>
                <w:sz w:val="20"/>
                <w:szCs w:val="20"/>
              </w:rPr>
            </w:pPr>
            <w:r w:rsidRPr="0098660A">
              <w:rPr>
                <w:rFonts w:ascii="Arial Narrow" w:eastAsia="MS Gothic" w:hAnsi="Arial Narrow" w:cs="Times New Roman"/>
                <w:sz w:val="20"/>
                <w:szCs w:val="20"/>
              </w:rPr>
              <w:t>TEAEs leading to treatment discontinuation, n (%)</w:t>
            </w:r>
          </w:p>
        </w:tc>
        <w:tc>
          <w:tcPr>
            <w:tcW w:w="877" w:type="pct"/>
          </w:tcPr>
          <w:p w14:paraId="1C677DF4" w14:textId="77777777" w:rsidR="008711F6" w:rsidRPr="0098660A" w:rsidRDefault="008711F6" w:rsidP="008711F6">
            <w:pPr>
              <w:widowControl w:val="0"/>
              <w:jc w:val="center"/>
              <w:rPr>
                <w:rFonts w:ascii="Arial Narrow" w:eastAsia="MS Gothic" w:hAnsi="Arial Narrow" w:cs="Times New Roman"/>
                <w:sz w:val="20"/>
                <w:szCs w:val="20"/>
              </w:rPr>
            </w:pPr>
            <w:r w:rsidRPr="0098660A">
              <w:rPr>
                <w:rFonts w:ascii="Arial Narrow" w:eastAsia="MS Gothic" w:hAnsi="Arial Narrow" w:cs="Times New Roman"/>
                <w:sz w:val="20"/>
                <w:szCs w:val="20"/>
              </w:rPr>
              <w:t>0</w:t>
            </w:r>
          </w:p>
        </w:tc>
        <w:tc>
          <w:tcPr>
            <w:tcW w:w="1119" w:type="pct"/>
          </w:tcPr>
          <w:p w14:paraId="4957C265" w14:textId="77777777" w:rsidR="008711F6" w:rsidRPr="0098660A" w:rsidRDefault="008711F6" w:rsidP="008711F6">
            <w:pPr>
              <w:widowControl w:val="0"/>
              <w:jc w:val="center"/>
              <w:rPr>
                <w:rFonts w:ascii="Arial Narrow" w:eastAsia="MS Gothic" w:hAnsi="Arial Narrow" w:cs="Times New Roman"/>
                <w:sz w:val="20"/>
                <w:szCs w:val="20"/>
              </w:rPr>
            </w:pPr>
            <w:r w:rsidRPr="0098660A">
              <w:rPr>
                <w:rFonts w:ascii="Arial Narrow" w:eastAsia="MS Gothic" w:hAnsi="Arial Narrow" w:cs="Times New Roman"/>
                <w:sz w:val="20"/>
                <w:szCs w:val="20"/>
              </w:rPr>
              <w:t>0</w:t>
            </w:r>
          </w:p>
        </w:tc>
        <w:tc>
          <w:tcPr>
            <w:tcW w:w="849" w:type="pct"/>
          </w:tcPr>
          <w:p w14:paraId="46C984D7" w14:textId="77777777" w:rsidR="008711F6" w:rsidRPr="0098660A" w:rsidRDefault="008711F6" w:rsidP="008711F6">
            <w:pPr>
              <w:widowControl w:val="0"/>
              <w:jc w:val="center"/>
              <w:rPr>
                <w:rFonts w:ascii="Arial Narrow" w:eastAsia="MS Gothic" w:hAnsi="Arial Narrow" w:cs="Times New Roman"/>
                <w:sz w:val="20"/>
                <w:szCs w:val="20"/>
              </w:rPr>
            </w:pPr>
            <w:r w:rsidRPr="0098660A">
              <w:rPr>
                <w:rFonts w:ascii="Arial Narrow" w:eastAsia="MS Gothic" w:hAnsi="Arial Narrow" w:cs="Times New Roman"/>
                <w:sz w:val="20"/>
                <w:szCs w:val="20"/>
              </w:rPr>
              <w:t>NA</w:t>
            </w:r>
          </w:p>
        </w:tc>
      </w:tr>
      <w:tr w:rsidR="008711F6" w:rsidRPr="0098660A" w14:paraId="0EF17908" w14:textId="77777777">
        <w:tc>
          <w:tcPr>
            <w:tcW w:w="2155" w:type="pct"/>
          </w:tcPr>
          <w:p w14:paraId="048606C7" w14:textId="77777777" w:rsidR="008711F6" w:rsidRPr="0098660A" w:rsidRDefault="008711F6" w:rsidP="008711F6">
            <w:pPr>
              <w:widowControl w:val="0"/>
              <w:jc w:val="left"/>
              <w:rPr>
                <w:rFonts w:ascii="Arial Narrow" w:eastAsia="MS Gothic" w:hAnsi="Arial Narrow" w:cs="Times New Roman"/>
                <w:sz w:val="20"/>
                <w:szCs w:val="20"/>
              </w:rPr>
            </w:pPr>
            <w:r w:rsidRPr="0098660A">
              <w:rPr>
                <w:rFonts w:ascii="Arial Narrow" w:eastAsia="MS Gothic" w:hAnsi="Arial Narrow" w:cs="Times New Roman"/>
                <w:sz w:val="20"/>
                <w:szCs w:val="20"/>
              </w:rPr>
              <w:t>TEAEs leading to death, n (%)</w:t>
            </w:r>
          </w:p>
        </w:tc>
        <w:tc>
          <w:tcPr>
            <w:tcW w:w="877" w:type="pct"/>
          </w:tcPr>
          <w:p w14:paraId="24BEA2FD" w14:textId="77777777" w:rsidR="008711F6" w:rsidRPr="0098660A" w:rsidRDefault="008711F6" w:rsidP="008711F6">
            <w:pPr>
              <w:widowControl w:val="0"/>
              <w:jc w:val="center"/>
              <w:rPr>
                <w:rFonts w:ascii="Arial Narrow" w:eastAsia="MS Gothic" w:hAnsi="Arial Narrow" w:cs="Times New Roman"/>
                <w:sz w:val="20"/>
                <w:szCs w:val="20"/>
              </w:rPr>
            </w:pPr>
            <w:r w:rsidRPr="0098660A">
              <w:rPr>
                <w:rFonts w:ascii="Arial Narrow" w:eastAsia="MS Gothic" w:hAnsi="Arial Narrow" w:cs="Times New Roman"/>
                <w:sz w:val="20"/>
                <w:szCs w:val="20"/>
              </w:rPr>
              <w:t>0</w:t>
            </w:r>
          </w:p>
        </w:tc>
        <w:tc>
          <w:tcPr>
            <w:tcW w:w="1119" w:type="pct"/>
          </w:tcPr>
          <w:p w14:paraId="407F7B35" w14:textId="77777777" w:rsidR="008711F6" w:rsidRPr="0098660A" w:rsidRDefault="008711F6" w:rsidP="008711F6">
            <w:pPr>
              <w:widowControl w:val="0"/>
              <w:jc w:val="center"/>
              <w:rPr>
                <w:rFonts w:ascii="Arial Narrow" w:eastAsia="MS Gothic" w:hAnsi="Arial Narrow" w:cs="Times New Roman"/>
                <w:sz w:val="20"/>
                <w:szCs w:val="20"/>
              </w:rPr>
            </w:pPr>
            <w:r w:rsidRPr="0098660A">
              <w:rPr>
                <w:rFonts w:ascii="Arial Narrow" w:eastAsia="MS Gothic" w:hAnsi="Arial Narrow" w:cs="Times New Roman"/>
                <w:sz w:val="20"/>
                <w:szCs w:val="20"/>
              </w:rPr>
              <w:t>1 (2.2)</w:t>
            </w:r>
          </w:p>
        </w:tc>
        <w:tc>
          <w:tcPr>
            <w:tcW w:w="849" w:type="pct"/>
          </w:tcPr>
          <w:p w14:paraId="75A67C0A" w14:textId="77777777" w:rsidR="008711F6" w:rsidRPr="0098660A" w:rsidRDefault="008711F6" w:rsidP="008711F6">
            <w:pPr>
              <w:widowControl w:val="0"/>
              <w:jc w:val="center"/>
              <w:rPr>
                <w:rFonts w:ascii="Arial Narrow" w:eastAsia="MS Gothic" w:hAnsi="Arial Narrow" w:cs="Times New Roman"/>
                <w:sz w:val="20"/>
                <w:szCs w:val="20"/>
              </w:rPr>
            </w:pPr>
            <w:r w:rsidRPr="0098660A">
              <w:rPr>
                <w:rFonts w:ascii="Arial Narrow" w:eastAsia="MS Gothic" w:hAnsi="Arial Narrow" w:cs="Times New Roman"/>
                <w:sz w:val="20"/>
                <w:szCs w:val="20"/>
              </w:rPr>
              <w:t>1 (5.6)</w:t>
            </w:r>
          </w:p>
        </w:tc>
      </w:tr>
    </w:tbl>
    <w:p w14:paraId="60BCE2E0" w14:textId="77777777" w:rsidR="008711F6" w:rsidRPr="0098660A" w:rsidRDefault="008711F6" w:rsidP="008711F6">
      <w:pPr>
        <w:rPr>
          <w:rFonts w:ascii="Arial Narrow" w:hAnsi="Arial Narrow"/>
          <w:sz w:val="18"/>
          <w:szCs w:val="18"/>
        </w:rPr>
      </w:pPr>
      <w:r w:rsidRPr="0098660A">
        <w:rPr>
          <w:rFonts w:ascii="Arial Narrow" w:hAnsi="Arial Narrow"/>
          <w:sz w:val="18"/>
          <w:szCs w:val="18"/>
        </w:rPr>
        <w:t>Source: formulated during the evaluation; pp137-139 of the Pegcetacoplan APL-308 Clinical Study Report</w:t>
      </w:r>
    </w:p>
    <w:p w14:paraId="3E45332D" w14:textId="2F9140EA" w:rsidR="00CF2AA4" w:rsidRPr="0098660A" w:rsidRDefault="0010205C" w:rsidP="00F9417F">
      <w:pPr>
        <w:spacing w:after="120"/>
        <w:rPr>
          <w:rFonts w:ascii="Arial Narrow" w:hAnsi="Arial Narrow"/>
          <w:sz w:val="18"/>
          <w:szCs w:val="18"/>
        </w:rPr>
      </w:pPr>
      <w:r w:rsidRPr="0098660A">
        <w:rPr>
          <w:rFonts w:ascii="Arial Narrow" w:hAnsi="Arial Narrow"/>
          <w:sz w:val="18"/>
          <w:szCs w:val="18"/>
        </w:rPr>
        <w:t>BSC = best support</w:t>
      </w:r>
      <w:r w:rsidR="00C60B72" w:rsidRPr="0098660A">
        <w:rPr>
          <w:rFonts w:ascii="Arial Narrow" w:hAnsi="Arial Narrow"/>
          <w:sz w:val="18"/>
          <w:szCs w:val="18"/>
        </w:rPr>
        <w:t>ive</w:t>
      </w:r>
      <w:r w:rsidRPr="0098660A">
        <w:rPr>
          <w:rFonts w:ascii="Arial Narrow" w:hAnsi="Arial Narrow"/>
          <w:sz w:val="18"/>
          <w:szCs w:val="18"/>
        </w:rPr>
        <w:t xml:space="preserve"> care; </w:t>
      </w:r>
      <w:r w:rsidR="008711F6" w:rsidRPr="0098660A">
        <w:rPr>
          <w:rFonts w:ascii="Arial Narrow" w:hAnsi="Arial Narrow"/>
          <w:sz w:val="18"/>
          <w:szCs w:val="18"/>
        </w:rPr>
        <w:t>NA = not applicable; TEAE = treatment emergent adverse event; RCP = randomised controlled period; SAE = serious adverse event</w:t>
      </w:r>
      <w:bookmarkEnd w:id="45"/>
    </w:p>
    <w:bookmarkEnd w:id="46"/>
    <w:p w14:paraId="60BF138B" w14:textId="75049025" w:rsidR="00F9417F" w:rsidRPr="0098660A" w:rsidRDefault="00F9417F" w:rsidP="00F9417F">
      <w:pPr>
        <w:pStyle w:val="3-BodyText"/>
      </w:pPr>
      <w:r w:rsidRPr="0098660A">
        <w:t xml:space="preserve">In PRINCE, the most commonly reported study drug-related TEAEs during the entire treatment period </w:t>
      </w:r>
      <w:r w:rsidR="001D6216" w:rsidRPr="0098660A">
        <w:t xml:space="preserve">(i.e., the 26-week RCP + post RCP) </w:t>
      </w:r>
      <w:r w:rsidRPr="0098660A">
        <w:t>included hypokalaemia (6.5%, 3</w:t>
      </w:r>
      <w:r w:rsidR="006151CE" w:rsidRPr="0098660A">
        <w:t> </w:t>
      </w:r>
      <w:r w:rsidRPr="0098660A">
        <w:t xml:space="preserve">patients), injection site bruising (4.3%, 2 patients), rash (4.3%, 2 patients), and dizziness (4.3%, 2 patients). </w:t>
      </w:r>
    </w:p>
    <w:p w14:paraId="20B0E70D" w14:textId="0BB79BEB" w:rsidR="00F9417F" w:rsidRPr="0098660A" w:rsidRDefault="00F9417F" w:rsidP="00F9417F">
      <w:pPr>
        <w:pStyle w:val="3-BodyText"/>
      </w:pPr>
      <w:r w:rsidRPr="0098660A">
        <w:t xml:space="preserve">In PRINCE, AEs including (1) injection site reactions (ISRs), (2) infections, including sepsis, (3) haemolytic disorders, (4) thrombosis events, and (5) hypersensitivity events were identified as selected AEs because of the mechanism of action of pegcetacoplan, </w:t>
      </w:r>
      <w:r w:rsidRPr="0098660A">
        <w:lastRenderedPageBreak/>
        <w:t>route of administration, and relevance to PNH. Incidence of selected AEs in the trial are presented in</w:t>
      </w:r>
      <w:r w:rsidR="001D6216" w:rsidRPr="0098660A">
        <w:t xml:space="preserve"> </w:t>
      </w:r>
      <w:r w:rsidR="001D6216" w:rsidRPr="0098660A">
        <w:fldChar w:fldCharType="begin"/>
      </w:r>
      <w:r w:rsidR="001D6216" w:rsidRPr="0098660A">
        <w:instrText xml:space="preserve"> REF _Ref189936520 \h </w:instrText>
      </w:r>
      <w:r w:rsidR="001D6216" w:rsidRPr="0098660A">
        <w:fldChar w:fldCharType="separate"/>
      </w:r>
      <w:r w:rsidR="00134128" w:rsidRPr="0098660A">
        <w:t xml:space="preserve">Table </w:t>
      </w:r>
      <w:r w:rsidR="00134128">
        <w:rPr>
          <w:noProof/>
        </w:rPr>
        <w:t>8</w:t>
      </w:r>
      <w:r w:rsidR="001D6216" w:rsidRPr="0098660A">
        <w:fldChar w:fldCharType="end"/>
      </w:r>
      <w:r w:rsidR="001D6216" w:rsidRPr="0098660A">
        <w:t>.</w:t>
      </w:r>
    </w:p>
    <w:p w14:paraId="646841A0" w14:textId="2A0E2665" w:rsidR="001D6216" w:rsidRPr="0098660A" w:rsidRDefault="001D6216" w:rsidP="001D6216">
      <w:pPr>
        <w:pStyle w:val="Caption"/>
      </w:pPr>
      <w:bookmarkStart w:id="48" w:name="_Ref189936520"/>
      <w:r w:rsidRPr="0098660A">
        <w:t xml:space="preserve">Table </w:t>
      </w:r>
      <w:r w:rsidR="00ED489E" w:rsidRPr="0098660A">
        <w:fldChar w:fldCharType="begin"/>
      </w:r>
      <w:r w:rsidR="00ED489E" w:rsidRPr="0098660A">
        <w:instrText xml:space="preserve"> SEQ Table \* ARABIC </w:instrText>
      </w:r>
      <w:r w:rsidR="00ED489E" w:rsidRPr="0098660A">
        <w:fldChar w:fldCharType="separate"/>
      </w:r>
      <w:r w:rsidR="00134128">
        <w:rPr>
          <w:noProof/>
        </w:rPr>
        <w:t>8</w:t>
      </w:r>
      <w:r w:rsidR="00ED489E" w:rsidRPr="0098660A">
        <w:fldChar w:fldCharType="end"/>
      </w:r>
      <w:bookmarkEnd w:id="48"/>
      <w:r w:rsidRPr="0098660A">
        <w:t xml:space="preserve">: Summary of the selected AEs in the PRINCE trial </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2111"/>
        <w:gridCol w:w="1875"/>
        <w:gridCol w:w="1873"/>
      </w:tblGrid>
      <w:tr w:rsidR="00F77322" w:rsidRPr="0098660A" w14:paraId="6469057B" w14:textId="77777777">
        <w:tc>
          <w:tcPr>
            <w:tcW w:w="1753" w:type="pct"/>
            <w:vMerge w:val="restart"/>
            <w:vAlign w:val="center"/>
          </w:tcPr>
          <w:p w14:paraId="7D48B9AA" w14:textId="77777777" w:rsidR="001D6216" w:rsidRPr="0098660A" w:rsidRDefault="001D6216" w:rsidP="001D6216">
            <w:pPr>
              <w:widowControl w:val="0"/>
              <w:jc w:val="center"/>
              <w:rPr>
                <w:rFonts w:ascii="Arial Narrow" w:eastAsia="MS Gothic" w:hAnsi="Arial Narrow" w:cs="Times New Roman"/>
                <w:b/>
                <w:bCs/>
                <w:sz w:val="20"/>
                <w:szCs w:val="20"/>
              </w:rPr>
            </w:pPr>
            <w:r w:rsidRPr="0098660A">
              <w:rPr>
                <w:rFonts w:ascii="Arial Narrow" w:eastAsia="MS Gothic" w:hAnsi="Arial Narrow" w:cs="Times New Roman"/>
                <w:b/>
                <w:bCs/>
                <w:sz w:val="20"/>
                <w:szCs w:val="20"/>
              </w:rPr>
              <w:t>Selected AEs</w:t>
            </w:r>
          </w:p>
          <w:p w14:paraId="6A07AC43" w14:textId="77777777" w:rsidR="001D6216" w:rsidRPr="0098660A" w:rsidRDefault="001D6216" w:rsidP="001D6216">
            <w:pPr>
              <w:widowControl w:val="0"/>
              <w:jc w:val="center"/>
              <w:rPr>
                <w:rFonts w:ascii="Arial Narrow" w:eastAsia="MS Gothic" w:hAnsi="Arial Narrow" w:cs="Times New Roman"/>
                <w:b/>
                <w:bCs/>
                <w:sz w:val="20"/>
                <w:szCs w:val="20"/>
              </w:rPr>
            </w:pPr>
            <w:r w:rsidRPr="0098660A">
              <w:rPr>
                <w:rFonts w:ascii="Arial Narrow" w:eastAsia="MS Gothic" w:hAnsi="Arial Narrow" w:cs="Times New Roman"/>
                <w:b/>
                <w:bCs/>
                <w:sz w:val="20"/>
                <w:szCs w:val="20"/>
              </w:rPr>
              <w:t>n (%)</w:t>
            </w:r>
          </w:p>
        </w:tc>
        <w:tc>
          <w:tcPr>
            <w:tcW w:w="2209" w:type="pct"/>
            <w:gridSpan w:val="2"/>
          </w:tcPr>
          <w:p w14:paraId="436869C5" w14:textId="77777777" w:rsidR="001D6216" w:rsidRPr="0098660A" w:rsidRDefault="001D6216" w:rsidP="001D6216">
            <w:pPr>
              <w:widowControl w:val="0"/>
              <w:jc w:val="center"/>
              <w:rPr>
                <w:rFonts w:ascii="Arial Narrow" w:eastAsia="MS Gothic" w:hAnsi="Arial Narrow" w:cs="Times New Roman"/>
                <w:b/>
                <w:bCs/>
                <w:sz w:val="20"/>
                <w:szCs w:val="20"/>
              </w:rPr>
            </w:pPr>
            <w:r w:rsidRPr="0098660A">
              <w:rPr>
                <w:rFonts w:ascii="Arial Narrow" w:eastAsia="MS Gothic" w:hAnsi="Arial Narrow" w:cs="Times New Roman"/>
                <w:b/>
                <w:bCs/>
                <w:sz w:val="20"/>
                <w:szCs w:val="20"/>
              </w:rPr>
              <w:t>Pegcetacoplan (overall)</w:t>
            </w:r>
          </w:p>
          <w:p w14:paraId="17AE85D5" w14:textId="77777777" w:rsidR="001D6216" w:rsidRPr="0098660A" w:rsidRDefault="001D6216" w:rsidP="001D6216">
            <w:pPr>
              <w:widowControl w:val="0"/>
              <w:jc w:val="center"/>
              <w:rPr>
                <w:rFonts w:ascii="Arial Narrow" w:eastAsia="MS Gothic" w:hAnsi="Arial Narrow" w:cs="Times New Roman"/>
                <w:b/>
                <w:bCs/>
                <w:sz w:val="20"/>
                <w:szCs w:val="20"/>
              </w:rPr>
            </w:pPr>
            <w:r w:rsidRPr="0098660A">
              <w:rPr>
                <w:rFonts w:ascii="Arial Narrow" w:eastAsia="MS Gothic" w:hAnsi="Arial Narrow" w:cs="Times New Roman"/>
                <w:b/>
                <w:bCs/>
                <w:sz w:val="20"/>
                <w:szCs w:val="20"/>
              </w:rPr>
              <w:t>(n = 46)</w:t>
            </w:r>
          </w:p>
        </w:tc>
        <w:tc>
          <w:tcPr>
            <w:tcW w:w="1038" w:type="pct"/>
          </w:tcPr>
          <w:p w14:paraId="1D50F900" w14:textId="77777777" w:rsidR="001D6216" w:rsidRPr="0098660A" w:rsidRDefault="001D6216" w:rsidP="001D6216">
            <w:pPr>
              <w:widowControl w:val="0"/>
              <w:jc w:val="center"/>
              <w:rPr>
                <w:rFonts w:ascii="Arial Narrow" w:eastAsia="MS Gothic" w:hAnsi="Arial Narrow" w:cs="Times New Roman"/>
                <w:b/>
                <w:bCs/>
                <w:sz w:val="20"/>
                <w:szCs w:val="20"/>
              </w:rPr>
            </w:pPr>
            <w:r w:rsidRPr="0098660A">
              <w:rPr>
                <w:rFonts w:ascii="Arial Narrow" w:eastAsia="MS Gothic" w:hAnsi="Arial Narrow" w:cs="Times New Roman"/>
                <w:b/>
                <w:bCs/>
                <w:sz w:val="20"/>
                <w:szCs w:val="20"/>
              </w:rPr>
              <w:t>BSC</w:t>
            </w:r>
          </w:p>
          <w:p w14:paraId="466D2674" w14:textId="77777777" w:rsidR="001D6216" w:rsidRPr="0098660A" w:rsidRDefault="001D6216" w:rsidP="001D6216">
            <w:pPr>
              <w:widowControl w:val="0"/>
              <w:jc w:val="center"/>
              <w:rPr>
                <w:rFonts w:ascii="Arial Narrow" w:eastAsia="MS Gothic" w:hAnsi="Arial Narrow" w:cs="Times New Roman"/>
                <w:b/>
                <w:bCs/>
                <w:sz w:val="20"/>
                <w:szCs w:val="20"/>
              </w:rPr>
            </w:pPr>
            <w:r w:rsidRPr="0098660A">
              <w:rPr>
                <w:rFonts w:ascii="Arial Narrow" w:eastAsia="MS Gothic" w:hAnsi="Arial Narrow" w:cs="Times New Roman"/>
                <w:b/>
                <w:bCs/>
                <w:sz w:val="20"/>
                <w:szCs w:val="20"/>
              </w:rPr>
              <w:t>(n = 18)</w:t>
            </w:r>
          </w:p>
        </w:tc>
      </w:tr>
      <w:tr w:rsidR="007E38F9" w:rsidRPr="0098660A" w14:paraId="0190D7FE" w14:textId="77777777">
        <w:tc>
          <w:tcPr>
            <w:tcW w:w="1753" w:type="pct"/>
            <w:vMerge/>
          </w:tcPr>
          <w:p w14:paraId="2C043B9E" w14:textId="77777777" w:rsidR="001D6216" w:rsidRPr="0098660A" w:rsidRDefault="001D6216" w:rsidP="001D6216">
            <w:pPr>
              <w:widowControl w:val="0"/>
              <w:jc w:val="center"/>
              <w:rPr>
                <w:rFonts w:ascii="Arial Narrow" w:eastAsia="MS Gothic" w:hAnsi="Arial Narrow" w:cs="Times New Roman"/>
                <w:b/>
                <w:bCs/>
                <w:sz w:val="20"/>
                <w:szCs w:val="20"/>
              </w:rPr>
            </w:pPr>
          </w:p>
        </w:tc>
        <w:tc>
          <w:tcPr>
            <w:tcW w:w="1170" w:type="pct"/>
          </w:tcPr>
          <w:p w14:paraId="396FE082" w14:textId="77777777" w:rsidR="001D6216" w:rsidRPr="0098660A" w:rsidRDefault="001D6216" w:rsidP="001D6216">
            <w:pPr>
              <w:widowControl w:val="0"/>
              <w:jc w:val="center"/>
              <w:rPr>
                <w:rFonts w:ascii="Arial Narrow" w:eastAsia="MS Gothic" w:hAnsi="Arial Narrow" w:cs="Times New Roman"/>
                <w:b/>
                <w:bCs/>
                <w:sz w:val="20"/>
                <w:szCs w:val="20"/>
              </w:rPr>
            </w:pPr>
            <w:r w:rsidRPr="0098660A">
              <w:rPr>
                <w:rFonts w:ascii="Arial Narrow" w:eastAsia="MS Gothic" w:hAnsi="Arial Narrow" w:cs="Times New Roman"/>
                <w:b/>
                <w:bCs/>
                <w:sz w:val="20"/>
                <w:szCs w:val="20"/>
              </w:rPr>
              <w:t>26-week RCP</w:t>
            </w:r>
          </w:p>
        </w:tc>
        <w:tc>
          <w:tcPr>
            <w:tcW w:w="1039" w:type="pct"/>
          </w:tcPr>
          <w:p w14:paraId="1404B957" w14:textId="77777777" w:rsidR="001D6216" w:rsidRPr="0098660A" w:rsidRDefault="001D6216" w:rsidP="001D6216">
            <w:pPr>
              <w:widowControl w:val="0"/>
              <w:jc w:val="center"/>
              <w:rPr>
                <w:rFonts w:ascii="Arial Narrow" w:eastAsia="MS Gothic" w:hAnsi="Arial Narrow" w:cs="Times New Roman"/>
                <w:b/>
                <w:bCs/>
                <w:sz w:val="20"/>
                <w:szCs w:val="20"/>
              </w:rPr>
            </w:pPr>
            <w:r w:rsidRPr="0098660A">
              <w:rPr>
                <w:rFonts w:ascii="Arial Narrow" w:eastAsia="MS Gothic" w:hAnsi="Arial Narrow" w:cs="Times New Roman"/>
                <w:b/>
                <w:iCs/>
                <w:sz w:val="20"/>
              </w:rPr>
              <w:t>RCP + post-RCP</w:t>
            </w:r>
          </w:p>
        </w:tc>
        <w:tc>
          <w:tcPr>
            <w:tcW w:w="1038" w:type="pct"/>
          </w:tcPr>
          <w:p w14:paraId="1446F77B" w14:textId="77777777" w:rsidR="001D6216" w:rsidRPr="0098660A" w:rsidRDefault="001D6216" w:rsidP="001D6216">
            <w:pPr>
              <w:widowControl w:val="0"/>
              <w:jc w:val="center"/>
              <w:rPr>
                <w:rFonts w:ascii="Arial Narrow" w:eastAsia="MS Gothic" w:hAnsi="Arial Narrow" w:cs="Times New Roman"/>
                <w:b/>
                <w:bCs/>
                <w:sz w:val="20"/>
                <w:szCs w:val="20"/>
              </w:rPr>
            </w:pPr>
            <w:r w:rsidRPr="0098660A">
              <w:rPr>
                <w:rFonts w:ascii="Arial Narrow" w:eastAsia="MS Gothic" w:hAnsi="Arial Narrow" w:cs="Times New Roman"/>
                <w:b/>
                <w:iCs/>
                <w:sz w:val="20"/>
              </w:rPr>
              <w:t>RCP + post-RCP</w:t>
            </w:r>
          </w:p>
        </w:tc>
      </w:tr>
      <w:tr w:rsidR="001D6216" w:rsidRPr="0098660A" w14:paraId="0969459A" w14:textId="77777777">
        <w:tc>
          <w:tcPr>
            <w:tcW w:w="1753" w:type="pct"/>
          </w:tcPr>
          <w:p w14:paraId="2CBAE87E" w14:textId="77777777" w:rsidR="001D6216" w:rsidRPr="0098660A" w:rsidRDefault="001D6216" w:rsidP="001D6216">
            <w:pPr>
              <w:widowControl w:val="0"/>
              <w:jc w:val="left"/>
              <w:rPr>
                <w:rFonts w:ascii="Arial Narrow" w:eastAsia="MS Gothic" w:hAnsi="Arial Narrow" w:cs="Times New Roman"/>
                <w:sz w:val="20"/>
                <w:szCs w:val="20"/>
              </w:rPr>
            </w:pPr>
            <w:r w:rsidRPr="0098660A">
              <w:rPr>
                <w:rFonts w:ascii="Arial Narrow" w:hAnsi="Arial Narrow"/>
                <w:sz w:val="20"/>
                <w:szCs w:val="20"/>
              </w:rPr>
              <w:t>Injection site reactions</w:t>
            </w:r>
          </w:p>
        </w:tc>
        <w:tc>
          <w:tcPr>
            <w:tcW w:w="1170" w:type="pct"/>
          </w:tcPr>
          <w:p w14:paraId="1975EC9D" w14:textId="77777777" w:rsidR="001D6216" w:rsidRPr="0098660A" w:rsidRDefault="001D6216" w:rsidP="001D6216">
            <w:pPr>
              <w:widowControl w:val="0"/>
              <w:jc w:val="center"/>
              <w:rPr>
                <w:rFonts w:ascii="Arial Narrow" w:eastAsia="MS Gothic" w:hAnsi="Arial Narrow" w:cs="Times New Roman"/>
                <w:sz w:val="20"/>
                <w:szCs w:val="20"/>
              </w:rPr>
            </w:pPr>
            <w:r w:rsidRPr="0098660A">
              <w:rPr>
                <w:rFonts w:ascii="Arial Narrow" w:eastAsia="MS Gothic" w:hAnsi="Arial Narrow" w:cs="Times New Roman"/>
                <w:sz w:val="20"/>
                <w:szCs w:val="20"/>
              </w:rPr>
              <w:t>14 (30.4)</w:t>
            </w:r>
          </w:p>
        </w:tc>
        <w:tc>
          <w:tcPr>
            <w:tcW w:w="1039" w:type="pct"/>
          </w:tcPr>
          <w:p w14:paraId="5C0302E9" w14:textId="77777777" w:rsidR="001D6216" w:rsidRPr="0098660A" w:rsidRDefault="001D6216" w:rsidP="001D6216">
            <w:pPr>
              <w:widowControl w:val="0"/>
              <w:jc w:val="center"/>
              <w:rPr>
                <w:rFonts w:ascii="Arial Narrow" w:eastAsia="MS Gothic" w:hAnsi="Arial Narrow" w:cs="Times New Roman"/>
                <w:sz w:val="20"/>
                <w:szCs w:val="20"/>
              </w:rPr>
            </w:pPr>
            <w:r w:rsidRPr="0098660A">
              <w:rPr>
                <w:rFonts w:ascii="Arial Narrow" w:eastAsia="MS Gothic" w:hAnsi="Arial Narrow" w:cs="Times New Roman"/>
                <w:sz w:val="20"/>
                <w:szCs w:val="20"/>
              </w:rPr>
              <w:t>16 (34.8)</w:t>
            </w:r>
          </w:p>
        </w:tc>
        <w:tc>
          <w:tcPr>
            <w:tcW w:w="1038" w:type="pct"/>
          </w:tcPr>
          <w:p w14:paraId="7A938BDB" w14:textId="77777777" w:rsidR="001D6216" w:rsidRPr="0098660A" w:rsidRDefault="001D6216" w:rsidP="001D6216">
            <w:pPr>
              <w:widowControl w:val="0"/>
              <w:jc w:val="center"/>
              <w:rPr>
                <w:rFonts w:ascii="Arial Narrow" w:eastAsia="MS Gothic" w:hAnsi="Arial Narrow" w:cs="Times New Roman"/>
                <w:sz w:val="20"/>
                <w:szCs w:val="20"/>
              </w:rPr>
            </w:pPr>
            <w:r w:rsidRPr="0098660A">
              <w:rPr>
                <w:rFonts w:ascii="Arial Narrow" w:eastAsia="MS Gothic" w:hAnsi="Arial Narrow" w:cs="Times New Roman"/>
                <w:sz w:val="20"/>
                <w:szCs w:val="20"/>
              </w:rPr>
              <w:t>NA</w:t>
            </w:r>
          </w:p>
        </w:tc>
      </w:tr>
      <w:tr w:rsidR="001D6216" w:rsidRPr="0098660A" w14:paraId="3C71AB36" w14:textId="77777777">
        <w:tc>
          <w:tcPr>
            <w:tcW w:w="1753" w:type="pct"/>
          </w:tcPr>
          <w:p w14:paraId="269FCDEF" w14:textId="77777777" w:rsidR="001D6216" w:rsidRPr="0098660A" w:rsidRDefault="00901FEB" w:rsidP="001D6216">
            <w:pPr>
              <w:rPr>
                <w:rFonts w:ascii="Arial Narrow" w:hAnsi="Arial Narrow"/>
                <w:sz w:val="20"/>
                <w:szCs w:val="20"/>
              </w:rPr>
            </w:pPr>
            <w:r w:rsidRPr="0098660A">
              <w:rPr>
                <w:rFonts w:ascii="Arial Narrow" w:hAnsi="Arial Narrow"/>
                <w:sz w:val="20"/>
                <w:szCs w:val="20"/>
              </w:rPr>
              <w:t>Infections</w:t>
            </w:r>
          </w:p>
        </w:tc>
        <w:tc>
          <w:tcPr>
            <w:tcW w:w="1170" w:type="pct"/>
          </w:tcPr>
          <w:p w14:paraId="5BAC0B03" w14:textId="77777777" w:rsidR="001D6216" w:rsidRPr="0098660A" w:rsidRDefault="001D6216" w:rsidP="001D6216">
            <w:pPr>
              <w:widowControl w:val="0"/>
              <w:jc w:val="center"/>
              <w:rPr>
                <w:rFonts w:ascii="Arial Narrow" w:eastAsia="MS Gothic" w:hAnsi="Arial Narrow" w:cs="Times New Roman"/>
                <w:sz w:val="20"/>
                <w:szCs w:val="20"/>
              </w:rPr>
            </w:pPr>
            <w:r w:rsidRPr="0098660A">
              <w:rPr>
                <w:rFonts w:ascii="Arial Narrow" w:eastAsia="MS Gothic" w:hAnsi="Arial Narrow" w:cs="Times New Roman"/>
                <w:sz w:val="20"/>
                <w:szCs w:val="20"/>
              </w:rPr>
              <w:t>9 (19.6)</w:t>
            </w:r>
          </w:p>
        </w:tc>
        <w:tc>
          <w:tcPr>
            <w:tcW w:w="1039" w:type="pct"/>
          </w:tcPr>
          <w:p w14:paraId="722F4CFA" w14:textId="77777777" w:rsidR="001D6216" w:rsidRPr="0098660A" w:rsidRDefault="001D6216" w:rsidP="001D6216">
            <w:pPr>
              <w:widowControl w:val="0"/>
              <w:jc w:val="center"/>
              <w:rPr>
                <w:rFonts w:ascii="Arial Narrow" w:eastAsia="MS Gothic" w:hAnsi="Arial Narrow" w:cs="Times New Roman"/>
                <w:sz w:val="20"/>
                <w:szCs w:val="20"/>
              </w:rPr>
            </w:pPr>
            <w:r w:rsidRPr="0098660A">
              <w:rPr>
                <w:rFonts w:ascii="Arial Narrow" w:eastAsia="MS Gothic" w:hAnsi="Arial Narrow" w:cs="Times New Roman"/>
                <w:sz w:val="20"/>
                <w:szCs w:val="20"/>
              </w:rPr>
              <w:t>11 (23.9)</w:t>
            </w:r>
          </w:p>
        </w:tc>
        <w:tc>
          <w:tcPr>
            <w:tcW w:w="1038" w:type="pct"/>
          </w:tcPr>
          <w:p w14:paraId="1BA8F953" w14:textId="77777777" w:rsidR="001D6216" w:rsidRPr="0098660A" w:rsidRDefault="001D6216" w:rsidP="001D6216">
            <w:pPr>
              <w:widowControl w:val="0"/>
              <w:jc w:val="center"/>
              <w:rPr>
                <w:rFonts w:ascii="Arial Narrow" w:eastAsia="MS Gothic" w:hAnsi="Arial Narrow" w:cs="Times New Roman"/>
                <w:sz w:val="20"/>
                <w:szCs w:val="20"/>
              </w:rPr>
            </w:pPr>
            <w:r w:rsidRPr="0098660A">
              <w:rPr>
                <w:rFonts w:ascii="Arial Narrow" w:eastAsia="MS Gothic" w:hAnsi="Arial Narrow" w:cs="Times New Roman"/>
                <w:sz w:val="20"/>
                <w:szCs w:val="20"/>
              </w:rPr>
              <w:t>5 (27.8)</w:t>
            </w:r>
          </w:p>
        </w:tc>
      </w:tr>
      <w:tr w:rsidR="001D6216" w:rsidRPr="0098660A" w14:paraId="6E61CFBE" w14:textId="77777777">
        <w:tc>
          <w:tcPr>
            <w:tcW w:w="1753" w:type="pct"/>
          </w:tcPr>
          <w:p w14:paraId="6FC20A16" w14:textId="77777777" w:rsidR="001D6216" w:rsidRPr="0098660A" w:rsidRDefault="001D6216" w:rsidP="001D6216">
            <w:pPr>
              <w:rPr>
                <w:rFonts w:ascii="Arial Narrow" w:hAnsi="Arial Narrow"/>
                <w:sz w:val="20"/>
                <w:szCs w:val="20"/>
              </w:rPr>
            </w:pPr>
            <w:r w:rsidRPr="0098660A">
              <w:rPr>
                <w:rFonts w:ascii="Arial Narrow" w:hAnsi="Arial Narrow"/>
                <w:sz w:val="20"/>
                <w:szCs w:val="20"/>
              </w:rPr>
              <w:t xml:space="preserve">   Sepsis</w:t>
            </w:r>
          </w:p>
        </w:tc>
        <w:tc>
          <w:tcPr>
            <w:tcW w:w="1170" w:type="pct"/>
          </w:tcPr>
          <w:p w14:paraId="0209D52C" w14:textId="77777777" w:rsidR="001D6216" w:rsidRPr="0098660A" w:rsidRDefault="001D6216" w:rsidP="001D6216">
            <w:pPr>
              <w:widowControl w:val="0"/>
              <w:jc w:val="center"/>
              <w:rPr>
                <w:rFonts w:ascii="Arial Narrow" w:eastAsia="MS Gothic" w:hAnsi="Arial Narrow" w:cs="Times New Roman"/>
                <w:sz w:val="20"/>
                <w:szCs w:val="20"/>
              </w:rPr>
            </w:pPr>
            <w:r w:rsidRPr="0098660A">
              <w:rPr>
                <w:rFonts w:ascii="Arial Narrow" w:eastAsia="MS Gothic" w:hAnsi="Arial Narrow" w:cs="Times New Roman"/>
                <w:sz w:val="20"/>
                <w:szCs w:val="20"/>
              </w:rPr>
              <w:t>0</w:t>
            </w:r>
          </w:p>
        </w:tc>
        <w:tc>
          <w:tcPr>
            <w:tcW w:w="1039" w:type="pct"/>
          </w:tcPr>
          <w:p w14:paraId="4E43B11B" w14:textId="77777777" w:rsidR="001D6216" w:rsidRPr="0098660A" w:rsidRDefault="001D6216" w:rsidP="001D6216">
            <w:pPr>
              <w:widowControl w:val="0"/>
              <w:jc w:val="center"/>
              <w:rPr>
                <w:rFonts w:ascii="Arial Narrow" w:eastAsia="MS Gothic" w:hAnsi="Arial Narrow" w:cs="Times New Roman"/>
                <w:sz w:val="20"/>
                <w:szCs w:val="20"/>
              </w:rPr>
            </w:pPr>
            <w:r w:rsidRPr="0098660A">
              <w:rPr>
                <w:rFonts w:ascii="Arial Narrow" w:eastAsia="MS Gothic" w:hAnsi="Arial Narrow" w:cs="Times New Roman"/>
                <w:sz w:val="20"/>
                <w:szCs w:val="20"/>
              </w:rPr>
              <w:t>1 (2.2)</w:t>
            </w:r>
          </w:p>
        </w:tc>
        <w:tc>
          <w:tcPr>
            <w:tcW w:w="1038" w:type="pct"/>
          </w:tcPr>
          <w:p w14:paraId="15EE3487" w14:textId="77777777" w:rsidR="001D6216" w:rsidRPr="0098660A" w:rsidRDefault="001D6216" w:rsidP="001D6216">
            <w:pPr>
              <w:widowControl w:val="0"/>
              <w:jc w:val="center"/>
              <w:rPr>
                <w:rFonts w:ascii="Arial Narrow" w:eastAsia="MS Gothic" w:hAnsi="Arial Narrow" w:cs="Times New Roman"/>
                <w:sz w:val="20"/>
                <w:szCs w:val="20"/>
              </w:rPr>
            </w:pPr>
            <w:r w:rsidRPr="0098660A">
              <w:rPr>
                <w:rFonts w:ascii="Arial Narrow" w:eastAsia="MS Gothic" w:hAnsi="Arial Narrow" w:cs="Times New Roman"/>
                <w:sz w:val="20"/>
                <w:szCs w:val="20"/>
              </w:rPr>
              <w:t>1 (5.6)</w:t>
            </w:r>
          </w:p>
        </w:tc>
      </w:tr>
      <w:tr w:rsidR="001D6216" w:rsidRPr="0098660A" w14:paraId="4C702ACC" w14:textId="77777777">
        <w:tc>
          <w:tcPr>
            <w:tcW w:w="1753" w:type="pct"/>
          </w:tcPr>
          <w:p w14:paraId="396BAEC6" w14:textId="77777777" w:rsidR="001D6216" w:rsidRPr="0098660A" w:rsidRDefault="00901FEB" w:rsidP="001D6216">
            <w:pPr>
              <w:rPr>
                <w:rFonts w:ascii="Arial Narrow" w:hAnsi="Arial Narrow"/>
                <w:sz w:val="20"/>
                <w:szCs w:val="20"/>
              </w:rPr>
            </w:pPr>
            <w:r w:rsidRPr="0098660A">
              <w:rPr>
                <w:rFonts w:ascii="Arial Narrow" w:hAnsi="Arial Narrow"/>
                <w:sz w:val="20"/>
                <w:szCs w:val="20"/>
              </w:rPr>
              <w:t>Haemolytic disorders</w:t>
            </w:r>
          </w:p>
        </w:tc>
        <w:tc>
          <w:tcPr>
            <w:tcW w:w="1170" w:type="pct"/>
          </w:tcPr>
          <w:p w14:paraId="731CBA6B" w14:textId="77777777" w:rsidR="001D6216" w:rsidRPr="0098660A" w:rsidRDefault="001D6216" w:rsidP="001D6216">
            <w:pPr>
              <w:widowControl w:val="0"/>
              <w:jc w:val="center"/>
              <w:rPr>
                <w:rFonts w:ascii="Arial Narrow" w:eastAsia="MS Gothic" w:hAnsi="Arial Narrow" w:cs="Times New Roman"/>
                <w:sz w:val="20"/>
                <w:szCs w:val="20"/>
              </w:rPr>
            </w:pPr>
            <w:r w:rsidRPr="0098660A">
              <w:rPr>
                <w:rFonts w:ascii="Arial Narrow" w:eastAsia="MS Gothic" w:hAnsi="Arial Narrow" w:cs="Times New Roman"/>
                <w:sz w:val="20"/>
                <w:szCs w:val="20"/>
              </w:rPr>
              <w:t>0</w:t>
            </w:r>
          </w:p>
        </w:tc>
        <w:tc>
          <w:tcPr>
            <w:tcW w:w="1039" w:type="pct"/>
          </w:tcPr>
          <w:p w14:paraId="30288891" w14:textId="77777777" w:rsidR="001D6216" w:rsidRPr="0098660A" w:rsidRDefault="001D6216" w:rsidP="001D6216">
            <w:pPr>
              <w:widowControl w:val="0"/>
              <w:jc w:val="center"/>
              <w:rPr>
                <w:rFonts w:ascii="Arial Narrow" w:eastAsia="MS Gothic" w:hAnsi="Arial Narrow" w:cs="Times New Roman"/>
                <w:sz w:val="20"/>
                <w:szCs w:val="20"/>
                <w:highlight w:val="yellow"/>
              </w:rPr>
            </w:pPr>
            <w:r w:rsidRPr="0098660A">
              <w:rPr>
                <w:rFonts w:ascii="Arial Narrow" w:eastAsia="MS Gothic" w:hAnsi="Arial Narrow" w:cs="Times New Roman"/>
                <w:sz w:val="20"/>
                <w:szCs w:val="20"/>
              </w:rPr>
              <w:t>3 (5.6)</w:t>
            </w:r>
          </w:p>
        </w:tc>
        <w:tc>
          <w:tcPr>
            <w:tcW w:w="1038" w:type="pct"/>
          </w:tcPr>
          <w:p w14:paraId="1E0BF985" w14:textId="77777777" w:rsidR="001D6216" w:rsidRPr="0098660A" w:rsidRDefault="001D6216" w:rsidP="001D6216">
            <w:pPr>
              <w:widowControl w:val="0"/>
              <w:jc w:val="center"/>
              <w:rPr>
                <w:rFonts w:ascii="Arial Narrow" w:eastAsia="MS Gothic" w:hAnsi="Arial Narrow" w:cs="Times New Roman"/>
                <w:sz w:val="20"/>
                <w:szCs w:val="20"/>
                <w:highlight w:val="yellow"/>
              </w:rPr>
            </w:pPr>
            <w:r w:rsidRPr="0098660A">
              <w:rPr>
                <w:rFonts w:ascii="Arial Narrow" w:eastAsia="MS Gothic" w:hAnsi="Arial Narrow" w:cs="Times New Roman"/>
                <w:sz w:val="20"/>
                <w:szCs w:val="20"/>
              </w:rPr>
              <w:t>0</w:t>
            </w:r>
          </w:p>
        </w:tc>
      </w:tr>
      <w:tr w:rsidR="001D6216" w:rsidRPr="0098660A" w14:paraId="7D7FEAF4" w14:textId="77777777">
        <w:tc>
          <w:tcPr>
            <w:tcW w:w="1753" w:type="pct"/>
          </w:tcPr>
          <w:p w14:paraId="0626B8E4" w14:textId="77777777" w:rsidR="001D6216" w:rsidRPr="0098660A" w:rsidRDefault="00901FEB" w:rsidP="001D6216">
            <w:pPr>
              <w:rPr>
                <w:rFonts w:ascii="Arial Narrow" w:hAnsi="Arial Narrow"/>
                <w:sz w:val="20"/>
                <w:szCs w:val="20"/>
              </w:rPr>
            </w:pPr>
            <w:r w:rsidRPr="0098660A">
              <w:rPr>
                <w:rFonts w:ascii="Arial Narrow" w:hAnsi="Arial Narrow"/>
                <w:sz w:val="20"/>
                <w:szCs w:val="20"/>
              </w:rPr>
              <w:t>Thrombosis events</w:t>
            </w:r>
          </w:p>
        </w:tc>
        <w:tc>
          <w:tcPr>
            <w:tcW w:w="1170" w:type="pct"/>
          </w:tcPr>
          <w:p w14:paraId="168FC212" w14:textId="77777777" w:rsidR="001D6216" w:rsidRPr="0098660A" w:rsidRDefault="001D6216" w:rsidP="001D6216">
            <w:pPr>
              <w:widowControl w:val="0"/>
              <w:jc w:val="center"/>
              <w:rPr>
                <w:rFonts w:ascii="Arial Narrow" w:eastAsia="MS Gothic" w:hAnsi="Arial Narrow" w:cs="Times New Roman"/>
                <w:sz w:val="20"/>
                <w:szCs w:val="20"/>
              </w:rPr>
            </w:pPr>
            <w:r w:rsidRPr="0098660A">
              <w:rPr>
                <w:rFonts w:ascii="Arial Narrow" w:eastAsia="MS Gothic" w:hAnsi="Arial Narrow" w:cs="Times New Roman"/>
                <w:sz w:val="20"/>
                <w:szCs w:val="20"/>
              </w:rPr>
              <w:t>0</w:t>
            </w:r>
          </w:p>
        </w:tc>
        <w:tc>
          <w:tcPr>
            <w:tcW w:w="1039" w:type="pct"/>
          </w:tcPr>
          <w:p w14:paraId="2414EBB5" w14:textId="77777777" w:rsidR="001D6216" w:rsidRPr="0098660A" w:rsidRDefault="001D6216" w:rsidP="001D6216">
            <w:pPr>
              <w:widowControl w:val="0"/>
              <w:jc w:val="center"/>
              <w:rPr>
                <w:rFonts w:ascii="Arial Narrow" w:eastAsia="MS Gothic" w:hAnsi="Arial Narrow" w:cs="Times New Roman"/>
                <w:sz w:val="20"/>
                <w:szCs w:val="20"/>
              </w:rPr>
            </w:pPr>
            <w:r w:rsidRPr="0098660A">
              <w:rPr>
                <w:rFonts w:ascii="Arial Narrow" w:eastAsia="MS Gothic" w:hAnsi="Arial Narrow" w:cs="Times New Roman"/>
                <w:sz w:val="20"/>
                <w:szCs w:val="20"/>
              </w:rPr>
              <w:t>0</w:t>
            </w:r>
          </w:p>
        </w:tc>
        <w:tc>
          <w:tcPr>
            <w:tcW w:w="1038" w:type="pct"/>
          </w:tcPr>
          <w:p w14:paraId="51A336F3" w14:textId="77777777" w:rsidR="001D6216" w:rsidRPr="0098660A" w:rsidRDefault="001D6216" w:rsidP="001D6216">
            <w:pPr>
              <w:widowControl w:val="0"/>
              <w:jc w:val="center"/>
              <w:rPr>
                <w:rFonts w:ascii="Arial Narrow" w:eastAsia="MS Gothic" w:hAnsi="Arial Narrow" w:cs="Times New Roman"/>
                <w:sz w:val="20"/>
                <w:szCs w:val="20"/>
              </w:rPr>
            </w:pPr>
            <w:r w:rsidRPr="0098660A">
              <w:rPr>
                <w:rFonts w:ascii="Arial Narrow" w:eastAsia="MS Gothic" w:hAnsi="Arial Narrow" w:cs="Times New Roman"/>
                <w:sz w:val="20"/>
                <w:szCs w:val="20"/>
              </w:rPr>
              <w:t>0</w:t>
            </w:r>
          </w:p>
        </w:tc>
      </w:tr>
      <w:tr w:rsidR="001D6216" w:rsidRPr="0098660A" w14:paraId="245529D1" w14:textId="77777777">
        <w:tc>
          <w:tcPr>
            <w:tcW w:w="1753" w:type="pct"/>
          </w:tcPr>
          <w:p w14:paraId="2F659B50" w14:textId="77777777" w:rsidR="001D6216" w:rsidRPr="0098660A" w:rsidRDefault="00901FEB" w:rsidP="001D6216">
            <w:pPr>
              <w:rPr>
                <w:rFonts w:ascii="Arial Narrow" w:hAnsi="Arial Narrow"/>
                <w:sz w:val="20"/>
                <w:szCs w:val="20"/>
              </w:rPr>
            </w:pPr>
            <w:r w:rsidRPr="0098660A">
              <w:rPr>
                <w:rFonts w:ascii="Arial Narrow" w:hAnsi="Arial Narrow"/>
                <w:sz w:val="20"/>
                <w:szCs w:val="20"/>
              </w:rPr>
              <w:t>Hypersensitivity events</w:t>
            </w:r>
          </w:p>
        </w:tc>
        <w:tc>
          <w:tcPr>
            <w:tcW w:w="1170" w:type="pct"/>
          </w:tcPr>
          <w:p w14:paraId="68040B86" w14:textId="77777777" w:rsidR="001D6216" w:rsidRPr="0098660A" w:rsidRDefault="001D6216" w:rsidP="001D6216">
            <w:pPr>
              <w:widowControl w:val="0"/>
              <w:jc w:val="center"/>
              <w:rPr>
                <w:rFonts w:ascii="Arial Narrow" w:eastAsia="MS Gothic" w:hAnsi="Arial Narrow" w:cs="Times New Roman"/>
                <w:sz w:val="20"/>
                <w:szCs w:val="20"/>
              </w:rPr>
            </w:pPr>
            <w:r w:rsidRPr="0098660A">
              <w:rPr>
                <w:rFonts w:ascii="Arial Narrow" w:eastAsia="MS Gothic" w:hAnsi="Arial Narrow" w:cs="Times New Roman"/>
                <w:sz w:val="20"/>
                <w:szCs w:val="20"/>
              </w:rPr>
              <w:t>9 (19.6)</w:t>
            </w:r>
          </w:p>
        </w:tc>
        <w:tc>
          <w:tcPr>
            <w:tcW w:w="1039" w:type="pct"/>
          </w:tcPr>
          <w:p w14:paraId="7E3B0E1C" w14:textId="77777777" w:rsidR="001D6216" w:rsidRPr="0098660A" w:rsidRDefault="001D6216" w:rsidP="001D6216">
            <w:pPr>
              <w:widowControl w:val="0"/>
              <w:jc w:val="center"/>
              <w:rPr>
                <w:rFonts w:ascii="Arial Narrow" w:eastAsia="MS Gothic" w:hAnsi="Arial Narrow" w:cs="Times New Roman"/>
                <w:sz w:val="20"/>
                <w:szCs w:val="20"/>
              </w:rPr>
            </w:pPr>
            <w:r w:rsidRPr="0098660A">
              <w:rPr>
                <w:rFonts w:ascii="Arial Narrow" w:eastAsia="MS Gothic" w:hAnsi="Arial Narrow" w:cs="Times New Roman"/>
                <w:sz w:val="20"/>
                <w:szCs w:val="20"/>
              </w:rPr>
              <w:t>12 (26.1)</w:t>
            </w:r>
          </w:p>
        </w:tc>
        <w:tc>
          <w:tcPr>
            <w:tcW w:w="1038" w:type="pct"/>
          </w:tcPr>
          <w:p w14:paraId="3A9940BB" w14:textId="77777777" w:rsidR="001D6216" w:rsidRPr="0098660A" w:rsidRDefault="001D6216" w:rsidP="001D6216">
            <w:pPr>
              <w:widowControl w:val="0"/>
              <w:jc w:val="center"/>
              <w:rPr>
                <w:rFonts w:ascii="Arial Narrow" w:eastAsia="MS Gothic" w:hAnsi="Arial Narrow" w:cs="Times New Roman"/>
                <w:sz w:val="20"/>
                <w:szCs w:val="20"/>
              </w:rPr>
            </w:pPr>
            <w:r w:rsidRPr="0098660A">
              <w:rPr>
                <w:rFonts w:ascii="Arial Narrow" w:eastAsia="MS Gothic" w:hAnsi="Arial Narrow" w:cs="Times New Roman"/>
                <w:sz w:val="20"/>
                <w:szCs w:val="20"/>
              </w:rPr>
              <w:t>2 (11.1)</w:t>
            </w:r>
          </w:p>
        </w:tc>
      </w:tr>
    </w:tbl>
    <w:p w14:paraId="7231EF45" w14:textId="77777777" w:rsidR="001D6216" w:rsidRPr="0098660A" w:rsidRDefault="001D6216" w:rsidP="001D6216">
      <w:pPr>
        <w:rPr>
          <w:rFonts w:ascii="Arial Narrow" w:hAnsi="Arial Narrow"/>
          <w:sz w:val="18"/>
          <w:szCs w:val="18"/>
        </w:rPr>
      </w:pPr>
      <w:r w:rsidRPr="0098660A">
        <w:rPr>
          <w:rFonts w:ascii="Arial Narrow" w:hAnsi="Arial Narrow"/>
          <w:sz w:val="18"/>
          <w:szCs w:val="18"/>
        </w:rPr>
        <w:t>Source: Table 45, p159 of the Pegcetacoplan APL-308 Clinical Study Report</w:t>
      </w:r>
    </w:p>
    <w:p w14:paraId="00B51AB0" w14:textId="7AC523E9" w:rsidR="001D6216" w:rsidRPr="0098660A" w:rsidRDefault="001D6216" w:rsidP="001D6216">
      <w:pPr>
        <w:rPr>
          <w:rFonts w:ascii="Arial Narrow" w:hAnsi="Arial Narrow"/>
          <w:sz w:val="18"/>
          <w:szCs w:val="18"/>
        </w:rPr>
      </w:pPr>
      <w:r w:rsidRPr="0098660A">
        <w:rPr>
          <w:rFonts w:ascii="Arial Narrow" w:hAnsi="Arial Narrow"/>
          <w:sz w:val="18"/>
          <w:szCs w:val="18"/>
        </w:rPr>
        <w:t>AE = adverse event; BSC = best support</w:t>
      </w:r>
      <w:r w:rsidR="00B911BB" w:rsidRPr="0098660A">
        <w:rPr>
          <w:rFonts w:ascii="Arial Narrow" w:hAnsi="Arial Narrow"/>
          <w:sz w:val="18"/>
          <w:szCs w:val="18"/>
        </w:rPr>
        <w:t xml:space="preserve">ive </w:t>
      </w:r>
      <w:r w:rsidRPr="0098660A">
        <w:rPr>
          <w:rFonts w:ascii="Arial Narrow" w:hAnsi="Arial Narrow"/>
          <w:sz w:val="18"/>
          <w:szCs w:val="18"/>
        </w:rPr>
        <w:t>care; NA = not applicable; RCP = randomised controlled period</w:t>
      </w:r>
    </w:p>
    <w:p w14:paraId="6C4E7EE0" w14:textId="4B1AD49A" w:rsidR="001D6216" w:rsidRPr="0098660A" w:rsidRDefault="001D6216" w:rsidP="001D6216">
      <w:pPr>
        <w:pStyle w:val="3-BodyText"/>
      </w:pPr>
      <w:r w:rsidRPr="0098660A">
        <w:t>During the entire treatment period of PRINCE, the most commonly reported TEAEs (≥</w:t>
      </w:r>
      <w:r w:rsidR="006151CE" w:rsidRPr="0098660A">
        <w:t> </w:t>
      </w:r>
      <w:r w:rsidRPr="0098660A">
        <w:t>5%) included hypokalaemia and pain in extremity (13% each), dizziness and arthralgia (10.9% each), fever/pyrexia and headache (8.7%),</w:t>
      </w:r>
      <w:r w:rsidR="00C60B72" w:rsidRPr="0098660A">
        <w:t xml:space="preserve"> </w:t>
      </w:r>
      <w:r w:rsidRPr="0098660A">
        <w:t xml:space="preserve">ecchymosis, erythema, musculoskeletal pain, and abdominal pain/upper abdominal pain (6.5% each). Except for hypokalaemia and abdominal pain, other commonly reported TEAEs in the study only occurred in pegcetacoplan treated patients. </w:t>
      </w:r>
    </w:p>
    <w:p w14:paraId="11F34F6B" w14:textId="77777777" w:rsidR="001D6216" w:rsidRPr="0098660A" w:rsidRDefault="001D6216" w:rsidP="001D6216">
      <w:pPr>
        <w:pStyle w:val="3-BodyText"/>
      </w:pPr>
      <w:r w:rsidRPr="0098660A">
        <w:t>In PRINCE, severe TEAEs experienced by pegcetacoplan treated patients included chest pain, neutropenia, febrile neutropenia, anaemia, pancytopenia, septic shock, haemolysis, lymphopenia, hypokalaemia, and bile duct stone. Except for the chest pain (resolved with treatment) and the lymphopenia (not treated and resolved at study completion) that were considered related to the study drug, other severe TEAEs were considered not related to the study drug.</w:t>
      </w:r>
    </w:p>
    <w:p w14:paraId="039A2878" w14:textId="2ACE4ED7" w:rsidR="001D6216" w:rsidRPr="0098660A" w:rsidRDefault="001D6216" w:rsidP="001D6216">
      <w:pPr>
        <w:pStyle w:val="3-BodyText"/>
      </w:pPr>
      <w:r w:rsidRPr="0098660A">
        <w:t xml:space="preserve">In PRINCE, SAEs experienced by pegcetacoplan treated patients included anaemia, neutropenia, febrile neutropenia, pancytopenia, haemolysis, dermoid cyst, septic shock, and bile duct stone (1 patient each). None of the SAEs reported was considered related to the study drug and none resulted in discontinuation of the study drug. Two patients had SAEs leading to death (one in the pegcetacoplan arm due to septic shock and one in the </w:t>
      </w:r>
      <w:r w:rsidR="00203B16" w:rsidRPr="0098660A">
        <w:rPr>
          <w:rFonts w:ascii="Calibri" w:eastAsia="Times New Roman" w:hAnsi="Calibri" w:cs="Arial"/>
          <w:szCs w:val="24"/>
        </w:rPr>
        <w:t xml:space="preserve">BSC </w:t>
      </w:r>
      <w:r w:rsidRPr="0098660A">
        <w:t>arm due to respiratory failure and septic shock). Neither death was considered related to pegcetacoplan treatment.</w:t>
      </w:r>
    </w:p>
    <w:p w14:paraId="7091A55B" w14:textId="702EC7E2" w:rsidR="00203B16" w:rsidRPr="0098660A" w:rsidRDefault="00CF2793" w:rsidP="00203B16">
      <w:pPr>
        <w:pStyle w:val="3-BodyText"/>
      </w:pPr>
      <w:r w:rsidRPr="0098660A">
        <w:t>A</w:t>
      </w:r>
      <w:r w:rsidR="00203B16" w:rsidRPr="0098660A">
        <w:t xml:space="preserve"> severe hypokalaemic event occurred in a patient who received pegcetacoplan in the trial, although was not considered to be related to pegcetacoplan by the investigator. In general, safety results from the PRINCE study reflect the known safety profile of pegcetacoplan, however are difficult to interpret due to the small size of the trial, and the limited duration of treatment and follow up.</w:t>
      </w:r>
    </w:p>
    <w:p w14:paraId="0A8CBE20" w14:textId="0E5AFDD6" w:rsidR="0065799B" w:rsidRPr="0098660A" w:rsidRDefault="0065799B" w:rsidP="004908CF">
      <w:pPr>
        <w:pStyle w:val="5-SubsectionSubheading"/>
      </w:pPr>
      <w:bookmarkStart w:id="49" w:name="_Toc193368022"/>
      <w:r w:rsidRPr="0098660A">
        <w:t>Indirect comparison of pegcetacoplan vs ravulizumab</w:t>
      </w:r>
      <w:bookmarkEnd w:id="49"/>
    </w:p>
    <w:p w14:paraId="78AF832B" w14:textId="3C531D9E" w:rsidR="001D6216" w:rsidRPr="0098660A" w:rsidRDefault="00C60B72" w:rsidP="001D6216">
      <w:pPr>
        <w:pStyle w:val="3-BodyText"/>
      </w:pPr>
      <w:r w:rsidRPr="0098660A">
        <w:rPr>
          <w:rFonts w:ascii="Calibri" w:eastAsia="Times New Roman" w:hAnsi="Calibri" w:cs="Arial"/>
          <w:szCs w:val="24"/>
        </w:rPr>
        <w:t>An i</w:t>
      </w:r>
      <w:r w:rsidR="0065799B" w:rsidRPr="0098660A">
        <w:rPr>
          <w:rFonts w:ascii="Calibri" w:eastAsia="Times New Roman" w:hAnsi="Calibri" w:cs="Arial"/>
          <w:szCs w:val="24"/>
        </w:rPr>
        <w:t xml:space="preserve">ndirect comparison of incidence of AEs of the pegcetacoplan arm vs ravulizumab arm in the PRINCE and ALXN1210-301 trials is provided in </w:t>
      </w:r>
      <w:r w:rsidR="0065799B" w:rsidRPr="0098660A">
        <w:rPr>
          <w:rFonts w:ascii="Calibri" w:eastAsia="Times New Roman" w:hAnsi="Calibri" w:cs="Arial"/>
          <w:szCs w:val="24"/>
        </w:rPr>
        <w:fldChar w:fldCharType="begin"/>
      </w:r>
      <w:r w:rsidR="0065799B" w:rsidRPr="0098660A">
        <w:rPr>
          <w:rFonts w:ascii="Calibri" w:eastAsia="Times New Roman" w:hAnsi="Calibri" w:cs="Arial"/>
          <w:szCs w:val="24"/>
        </w:rPr>
        <w:instrText xml:space="preserve"> REF _Ref189936861 \h </w:instrText>
      </w:r>
      <w:r w:rsidR="0065799B" w:rsidRPr="0098660A">
        <w:rPr>
          <w:rFonts w:ascii="Calibri" w:eastAsia="Times New Roman" w:hAnsi="Calibri" w:cs="Arial"/>
          <w:szCs w:val="24"/>
        </w:rPr>
      </w:r>
      <w:r w:rsidR="0065799B" w:rsidRPr="0098660A">
        <w:rPr>
          <w:rFonts w:ascii="Calibri" w:eastAsia="Times New Roman" w:hAnsi="Calibri" w:cs="Arial"/>
          <w:szCs w:val="24"/>
        </w:rPr>
        <w:fldChar w:fldCharType="separate"/>
      </w:r>
      <w:r w:rsidR="00134128" w:rsidRPr="0098660A">
        <w:t xml:space="preserve">Table </w:t>
      </w:r>
      <w:r w:rsidR="00134128">
        <w:rPr>
          <w:noProof/>
        </w:rPr>
        <w:t>9</w:t>
      </w:r>
      <w:r w:rsidR="0065799B" w:rsidRPr="0098660A">
        <w:rPr>
          <w:rFonts w:ascii="Calibri" w:eastAsia="Times New Roman" w:hAnsi="Calibri" w:cs="Arial"/>
          <w:szCs w:val="24"/>
        </w:rPr>
        <w:fldChar w:fldCharType="end"/>
      </w:r>
      <w:r w:rsidR="0065799B" w:rsidRPr="0098660A">
        <w:rPr>
          <w:rFonts w:ascii="Calibri" w:eastAsia="Times New Roman" w:hAnsi="Calibri" w:cs="Arial"/>
          <w:szCs w:val="24"/>
        </w:rPr>
        <w:t>.</w:t>
      </w:r>
    </w:p>
    <w:p w14:paraId="46A1CC31" w14:textId="7B6884B9" w:rsidR="0065799B" w:rsidRPr="0098660A" w:rsidRDefault="0065799B" w:rsidP="0065799B">
      <w:pPr>
        <w:pStyle w:val="Caption"/>
      </w:pPr>
      <w:bookmarkStart w:id="50" w:name="_Ref189936861"/>
      <w:r w:rsidRPr="0098660A">
        <w:lastRenderedPageBreak/>
        <w:t xml:space="preserve">Table </w:t>
      </w:r>
      <w:r w:rsidR="00ED489E" w:rsidRPr="0098660A">
        <w:fldChar w:fldCharType="begin"/>
      </w:r>
      <w:r w:rsidR="00ED489E" w:rsidRPr="0098660A">
        <w:instrText xml:space="preserve"> SEQ Table \* ARABIC </w:instrText>
      </w:r>
      <w:r w:rsidR="00ED489E" w:rsidRPr="0098660A">
        <w:fldChar w:fldCharType="separate"/>
      </w:r>
      <w:r w:rsidR="00134128">
        <w:rPr>
          <w:noProof/>
        </w:rPr>
        <w:t>9</w:t>
      </w:r>
      <w:r w:rsidR="00ED489E" w:rsidRPr="0098660A">
        <w:fldChar w:fldCharType="end"/>
      </w:r>
      <w:bookmarkEnd w:id="50"/>
      <w:r w:rsidRPr="0098660A">
        <w:t xml:space="preserve">: Comparative safety of pegcetacoplan versus ravulizumab using the </w:t>
      </w:r>
      <w:r w:rsidR="009D1488" w:rsidRPr="0098660A">
        <w:t>unanchored</w:t>
      </w:r>
      <w:r w:rsidRPr="0098660A">
        <w:t xml:space="preserve"> ITC method</w:t>
      </w:r>
    </w:p>
    <w:tbl>
      <w:tblPr>
        <w:tblW w:w="49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18"/>
        <w:gridCol w:w="3118"/>
      </w:tblGrid>
      <w:tr w:rsidR="00F77322" w:rsidRPr="0098660A" w14:paraId="546D9F4A" w14:textId="77777777" w:rsidTr="0065799B">
        <w:trPr>
          <w:trHeight w:val="75"/>
          <w:tblHeader/>
        </w:trPr>
        <w:tc>
          <w:tcPr>
            <w:tcW w:w="1508" w:type="pct"/>
            <w:vAlign w:val="center"/>
          </w:tcPr>
          <w:p w14:paraId="2CE6B1D4" w14:textId="77777777" w:rsidR="0065799B" w:rsidRPr="0098660A" w:rsidRDefault="0065799B" w:rsidP="0065799B">
            <w:pPr>
              <w:keepNext/>
              <w:keepLines/>
              <w:jc w:val="left"/>
              <w:rPr>
                <w:rFonts w:ascii="Arial Narrow" w:eastAsia="MS Gothic" w:hAnsi="Arial Narrow" w:cs="Times New Roman"/>
                <w:b/>
                <w:iCs/>
                <w:sz w:val="20"/>
                <w:szCs w:val="20"/>
              </w:rPr>
            </w:pPr>
            <w:r w:rsidRPr="0098660A">
              <w:rPr>
                <w:rFonts w:ascii="Arial Narrow" w:eastAsia="MS Gothic" w:hAnsi="Arial Narrow" w:cs="Times New Roman"/>
                <w:b/>
                <w:iCs/>
                <w:sz w:val="20"/>
                <w:szCs w:val="20"/>
              </w:rPr>
              <w:t>Trial</w:t>
            </w:r>
          </w:p>
        </w:tc>
        <w:tc>
          <w:tcPr>
            <w:tcW w:w="1746" w:type="pct"/>
            <w:vAlign w:val="center"/>
          </w:tcPr>
          <w:p w14:paraId="2940CC03" w14:textId="77777777" w:rsidR="0065799B" w:rsidRPr="0098660A" w:rsidRDefault="0065799B" w:rsidP="0065799B">
            <w:pPr>
              <w:keepNext/>
              <w:keepLines/>
              <w:jc w:val="center"/>
              <w:rPr>
                <w:rFonts w:ascii="Arial Narrow" w:hAnsi="Arial Narrow"/>
                <w:b/>
                <w:sz w:val="20"/>
                <w:szCs w:val="20"/>
              </w:rPr>
            </w:pPr>
            <w:r w:rsidRPr="0098660A">
              <w:rPr>
                <w:rFonts w:ascii="Arial Narrow" w:hAnsi="Arial Narrow"/>
                <w:b/>
                <w:sz w:val="20"/>
                <w:szCs w:val="20"/>
              </w:rPr>
              <w:t>PRINCE</w:t>
            </w:r>
          </w:p>
        </w:tc>
        <w:tc>
          <w:tcPr>
            <w:tcW w:w="1746" w:type="pct"/>
            <w:vAlign w:val="center"/>
          </w:tcPr>
          <w:p w14:paraId="35DF5932" w14:textId="77777777" w:rsidR="0065799B" w:rsidRPr="0098660A" w:rsidRDefault="0065799B" w:rsidP="0065799B">
            <w:pPr>
              <w:keepNext/>
              <w:keepLines/>
              <w:jc w:val="center"/>
              <w:rPr>
                <w:rFonts w:ascii="Arial Narrow" w:hAnsi="Arial Narrow"/>
                <w:b/>
                <w:sz w:val="20"/>
                <w:szCs w:val="20"/>
              </w:rPr>
            </w:pPr>
            <w:r w:rsidRPr="0098660A">
              <w:rPr>
                <w:rFonts w:ascii="Arial Narrow" w:hAnsi="Arial Narrow"/>
                <w:b/>
                <w:sz w:val="20"/>
                <w:szCs w:val="20"/>
              </w:rPr>
              <w:t>ALXN1210-301</w:t>
            </w:r>
          </w:p>
        </w:tc>
      </w:tr>
      <w:tr w:rsidR="00F77322" w:rsidRPr="0098660A" w14:paraId="38C96114" w14:textId="77777777" w:rsidTr="0065799B">
        <w:trPr>
          <w:trHeight w:val="75"/>
          <w:tblHeader/>
        </w:trPr>
        <w:tc>
          <w:tcPr>
            <w:tcW w:w="1508" w:type="pct"/>
            <w:vAlign w:val="center"/>
          </w:tcPr>
          <w:p w14:paraId="0C84C8B5" w14:textId="77777777" w:rsidR="0065799B" w:rsidRPr="0098660A" w:rsidRDefault="0065799B" w:rsidP="0065799B">
            <w:pPr>
              <w:keepNext/>
              <w:keepLines/>
              <w:jc w:val="left"/>
              <w:rPr>
                <w:rFonts w:ascii="Arial Narrow" w:eastAsia="MS Gothic" w:hAnsi="Arial Narrow" w:cs="Times New Roman"/>
                <w:bCs/>
                <w:iCs/>
                <w:sz w:val="20"/>
                <w:szCs w:val="20"/>
              </w:rPr>
            </w:pPr>
            <w:r w:rsidRPr="0098660A">
              <w:rPr>
                <w:rFonts w:ascii="Arial Narrow" w:eastAsia="MS Gothic" w:hAnsi="Arial Narrow" w:cs="Times New Roman"/>
                <w:bCs/>
                <w:iCs/>
                <w:sz w:val="20"/>
                <w:szCs w:val="20"/>
              </w:rPr>
              <w:t xml:space="preserve">Treatment </w:t>
            </w:r>
          </w:p>
        </w:tc>
        <w:tc>
          <w:tcPr>
            <w:tcW w:w="1746" w:type="pct"/>
            <w:vAlign w:val="center"/>
          </w:tcPr>
          <w:p w14:paraId="5D146DAB" w14:textId="77777777" w:rsidR="0065799B" w:rsidRPr="0098660A" w:rsidRDefault="0065799B" w:rsidP="0065799B">
            <w:pPr>
              <w:keepNext/>
              <w:keepLines/>
              <w:jc w:val="center"/>
              <w:rPr>
                <w:rFonts w:ascii="Arial Narrow" w:hAnsi="Arial Narrow"/>
                <w:sz w:val="20"/>
                <w:szCs w:val="20"/>
              </w:rPr>
            </w:pPr>
            <w:r w:rsidRPr="0098660A">
              <w:rPr>
                <w:rFonts w:ascii="Arial Narrow" w:hAnsi="Arial Narrow"/>
                <w:sz w:val="20"/>
                <w:szCs w:val="20"/>
              </w:rPr>
              <w:t>Pegcetacoplan</w:t>
            </w:r>
          </w:p>
          <w:p w14:paraId="73C00F83" w14:textId="77777777" w:rsidR="0065799B" w:rsidRPr="0098660A" w:rsidRDefault="0065799B" w:rsidP="0065799B">
            <w:pPr>
              <w:keepNext/>
              <w:keepLines/>
              <w:jc w:val="center"/>
              <w:rPr>
                <w:rFonts w:ascii="Arial Narrow" w:hAnsi="Arial Narrow"/>
                <w:b/>
                <w:bCs/>
                <w:sz w:val="20"/>
                <w:szCs w:val="20"/>
              </w:rPr>
            </w:pPr>
            <w:r w:rsidRPr="0098660A">
              <w:rPr>
                <w:rFonts w:ascii="Arial Narrow" w:hAnsi="Arial Narrow"/>
                <w:sz w:val="20"/>
                <w:szCs w:val="20"/>
              </w:rPr>
              <w:t>(n = 35)</w:t>
            </w:r>
          </w:p>
        </w:tc>
        <w:tc>
          <w:tcPr>
            <w:tcW w:w="1746" w:type="pct"/>
            <w:vAlign w:val="center"/>
          </w:tcPr>
          <w:p w14:paraId="2A1FFEFD" w14:textId="77777777" w:rsidR="0065799B" w:rsidRPr="0098660A" w:rsidRDefault="0065799B" w:rsidP="0065799B">
            <w:pPr>
              <w:keepNext/>
              <w:keepLines/>
              <w:jc w:val="center"/>
              <w:rPr>
                <w:rFonts w:ascii="Arial Narrow" w:hAnsi="Arial Narrow"/>
                <w:sz w:val="20"/>
                <w:szCs w:val="20"/>
              </w:rPr>
            </w:pPr>
            <w:r w:rsidRPr="0098660A">
              <w:rPr>
                <w:rFonts w:ascii="Arial Narrow" w:hAnsi="Arial Narrow"/>
                <w:sz w:val="20"/>
                <w:szCs w:val="20"/>
              </w:rPr>
              <w:t>Ravulizumab</w:t>
            </w:r>
          </w:p>
          <w:p w14:paraId="2886070E" w14:textId="77777777" w:rsidR="0065799B" w:rsidRPr="0098660A" w:rsidRDefault="0065799B" w:rsidP="0065799B">
            <w:pPr>
              <w:keepNext/>
              <w:keepLines/>
              <w:jc w:val="center"/>
              <w:rPr>
                <w:rFonts w:ascii="Arial Narrow" w:hAnsi="Arial Narrow"/>
                <w:b/>
                <w:bCs/>
                <w:sz w:val="20"/>
                <w:szCs w:val="20"/>
              </w:rPr>
            </w:pPr>
            <w:r w:rsidRPr="0098660A">
              <w:rPr>
                <w:rFonts w:ascii="Arial Narrow" w:hAnsi="Arial Narrow"/>
                <w:sz w:val="20"/>
                <w:szCs w:val="20"/>
              </w:rPr>
              <w:t>(n = 125)</w:t>
            </w:r>
          </w:p>
        </w:tc>
      </w:tr>
      <w:tr w:rsidR="00F77322" w:rsidRPr="0098660A" w14:paraId="02BA9334" w14:textId="77777777" w:rsidTr="0065799B">
        <w:trPr>
          <w:tblHeader/>
        </w:trPr>
        <w:tc>
          <w:tcPr>
            <w:tcW w:w="1508" w:type="pct"/>
            <w:vAlign w:val="center"/>
          </w:tcPr>
          <w:p w14:paraId="209E1090" w14:textId="77777777" w:rsidR="0065799B" w:rsidRPr="0098660A" w:rsidRDefault="0065799B" w:rsidP="0065799B">
            <w:pPr>
              <w:keepNext/>
              <w:keepLines/>
              <w:jc w:val="left"/>
              <w:rPr>
                <w:rFonts w:ascii="Arial Narrow" w:eastAsia="MS Gothic" w:hAnsi="Arial Narrow" w:cs="Times New Roman"/>
                <w:bCs/>
                <w:iCs/>
                <w:sz w:val="20"/>
                <w:szCs w:val="20"/>
              </w:rPr>
            </w:pPr>
            <w:r w:rsidRPr="0098660A">
              <w:rPr>
                <w:rFonts w:ascii="Arial Narrow" w:eastAsia="MS Gothic" w:hAnsi="Arial Narrow" w:cs="Times New Roman"/>
                <w:bCs/>
                <w:iCs/>
                <w:sz w:val="20"/>
                <w:szCs w:val="20"/>
              </w:rPr>
              <w:t>Any AEs, n (%)</w:t>
            </w:r>
          </w:p>
        </w:tc>
        <w:tc>
          <w:tcPr>
            <w:tcW w:w="1746" w:type="pct"/>
            <w:vAlign w:val="center"/>
          </w:tcPr>
          <w:p w14:paraId="6AEE250C" w14:textId="77777777" w:rsidR="0065799B" w:rsidRPr="0098660A" w:rsidRDefault="0065799B" w:rsidP="0065799B">
            <w:pPr>
              <w:keepNext/>
              <w:keepLines/>
              <w:jc w:val="center"/>
              <w:rPr>
                <w:rFonts w:ascii="Arial Narrow" w:eastAsia="MS Gothic" w:hAnsi="Arial Narrow" w:cs="Times New Roman"/>
                <w:bCs/>
                <w:iCs/>
                <w:sz w:val="20"/>
                <w:szCs w:val="20"/>
              </w:rPr>
            </w:pPr>
            <w:r w:rsidRPr="0098660A">
              <w:rPr>
                <w:rFonts w:ascii="Arial Narrow" w:eastAsia="MS Gothic" w:hAnsi="Arial Narrow" w:cs="Times New Roman"/>
                <w:bCs/>
                <w:iCs/>
                <w:sz w:val="20"/>
                <w:szCs w:val="20"/>
              </w:rPr>
              <w:t>33 (71.70)</w:t>
            </w:r>
          </w:p>
        </w:tc>
        <w:tc>
          <w:tcPr>
            <w:tcW w:w="1746" w:type="pct"/>
            <w:vAlign w:val="center"/>
          </w:tcPr>
          <w:p w14:paraId="4D103B2A" w14:textId="77777777" w:rsidR="0065799B" w:rsidRPr="0098660A" w:rsidRDefault="0065799B" w:rsidP="0065799B">
            <w:pPr>
              <w:keepNext/>
              <w:keepLines/>
              <w:jc w:val="center"/>
              <w:rPr>
                <w:rFonts w:ascii="Arial Narrow" w:eastAsia="MS Gothic" w:hAnsi="Arial Narrow" w:cs="Times New Roman"/>
                <w:bCs/>
                <w:iCs/>
                <w:sz w:val="20"/>
                <w:szCs w:val="20"/>
              </w:rPr>
            </w:pPr>
            <w:r w:rsidRPr="0098660A">
              <w:rPr>
                <w:rFonts w:ascii="Arial Narrow" w:eastAsia="MS Gothic" w:hAnsi="Arial Narrow" w:cs="Times New Roman"/>
                <w:bCs/>
                <w:iCs/>
                <w:sz w:val="20"/>
                <w:szCs w:val="20"/>
              </w:rPr>
              <w:t>110 (88.0)</w:t>
            </w:r>
          </w:p>
        </w:tc>
      </w:tr>
    </w:tbl>
    <w:p w14:paraId="4AADD64E" w14:textId="77777777" w:rsidR="0065799B" w:rsidRPr="0098660A" w:rsidRDefault="0065799B" w:rsidP="0065799B">
      <w:pPr>
        <w:rPr>
          <w:rFonts w:ascii="Arial Narrow" w:hAnsi="Arial Narrow"/>
          <w:sz w:val="18"/>
          <w:szCs w:val="18"/>
        </w:rPr>
      </w:pPr>
      <w:r w:rsidRPr="0098660A">
        <w:rPr>
          <w:rFonts w:ascii="Arial Narrow" w:hAnsi="Arial Narrow"/>
          <w:sz w:val="18"/>
          <w:szCs w:val="18"/>
        </w:rPr>
        <w:t>Source: Table 2-60, p83 of the submission</w:t>
      </w:r>
    </w:p>
    <w:p w14:paraId="0A0352D2" w14:textId="77777777" w:rsidR="0065799B" w:rsidRPr="0098660A" w:rsidRDefault="0065799B" w:rsidP="0065799B">
      <w:pPr>
        <w:rPr>
          <w:rFonts w:ascii="Arial Narrow" w:hAnsi="Arial Narrow"/>
          <w:sz w:val="18"/>
          <w:szCs w:val="18"/>
        </w:rPr>
      </w:pPr>
      <w:r w:rsidRPr="0098660A">
        <w:rPr>
          <w:rFonts w:ascii="Arial Narrow" w:hAnsi="Arial Narrow"/>
          <w:sz w:val="18"/>
          <w:szCs w:val="18"/>
        </w:rPr>
        <w:t>AE = adverse event</w:t>
      </w:r>
    </w:p>
    <w:p w14:paraId="6B8460AB" w14:textId="5D9559EA" w:rsidR="00806EBF" w:rsidRPr="0098660A" w:rsidRDefault="00BA0C09" w:rsidP="003F40D9">
      <w:pPr>
        <w:pStyle w:val="3-BodyText"/>
      </w:pPr>
      <w:bookmarkStart w:id="51" w:name="_Ref198039284"/>
      <w:r w:rsidRPr="0098660A">
        <w:rPr>
          <w:rFonts w:ascii="Calibri" w:eastAsia="Times New Roman" w:hAnsi="Calibri" w:cs="Arial"/>
          <w:szCs w:val="24"/>
        </w:rPr>
        <w:t>Since the two drugs were administered via different routes (SC versus IV) and were dosed with different frequencies (twice weekly versus once every 8 weeks),</w:t>
      </w:r>
      <w:r w:rsidR="00041A01" w:rsidRPr="0098660A">
        <w:rPr>
          <w:rFonts w:ascii="Calibri" w:eastAsia="Times New Roman" w:hAnsi="Calibri" w:cs="Arial"/>
          <w:szCs w:val="24"/>
        </w:rPr>
        <w:t xml:space="preserve"> and the safety profiles reported in PRINCE and ALXN1210-301 were different, </w:t>
      </w:r>
      <w:r w:rsidR="00B24000" w:rsidRPr="0098660A">
        <w:rPr>
          <w:rFonts w:ascii="Calibri" w:eastAsia="Times New Roman" w:hAnsi="Calibri" w:cs="Arial"/>
          <w:iCs/>
          <w:szCs w:val="24"/>
        </w:rPr>
        <w:t>the evaluation considered</w:t>
      </w:r>
      <w:r w:rsidR="00B24000" w:rsidRPr="0098660A">
        <w:rPr>
          <w:rFonts w:ascii="Calibri" w:eastAsia="Times New Roman" w:hAnsi="Calibri" w:cs="Arial"/>
          <w:szCs w:val="24"/>
        </w:rPr>
        <w:t xml:space="preserve"> </w:t>
      </w:r>
      <w:r w:rsidRPr="0098660A">
        <w:rPr>
          <w:rFonts w:ascii="Calibri" w:eastAsia="Times New Roman" w:hAnsi="Calibri" w:cs="Arial"/>
          <w:szCs w:val="24"/>
        </w:rPr>
        <w:t xml:space="preserve">the comparative safety profiles </w:t>
      </w:r>
      <w:r w:rsidR="00C60B72" w:rsidRPr="0098660A">
        <w:rPr>
          <w:rFonts w:ascii="Calibri" w:eastAsia="Times New Roman" w:hAnsi="Calibri" w:cs="Arial"/>
          <w:szCs w:val="24"/>
        </w:rPr>
        <w:t xml:space="preserve">presented in the submission </w:t>
      </w:r>
      <w:r w:rsidRPr="0098660A">
        <w:rPr>
          <w:rFonts w:ascii="Calibri" w:eastAsia="Times New Roman" w:hAnsi="Calibri" w:cs="Arial"/>
          <w:szCs w:val="24"/>
        </w:rPr>
        <w:t>may be unreliable.</w:t>
      </w:r>
      <w:r w:rsidR="00320711" w:rsidRPr="0098660A">
        <w:rPr>
          <w:rFonts w:ascii="Calibri" w:eastAsia="Times New Roman" w:hAnsi="Calibri" w:cs="Arial"/>
          <w:szCs w:val="24"/>
        </w:rPr>
        <w:t xml:space="preserve"> In PRINCE, </w:t>
      </w:r>
      <w:r w:rsidR="004B76AB" w:rsidRPr="0098660A">
        <w:rPr>
          <w:rFonts w:ascii="Calibri" w:eastAsia="Times New Roman" w:hAnsi="Calibri" w:cs="Arial"/>
          <w:szCs w:val="24"/>
        </w:rPr>
        <w:t>injection site reaction</w:t>
      </w:r>
      <w:r w:rsidR="00320711" w:rsidRPr="0098660A">
        <w:rPr>
          <w:rFonts w:ascii="Calibri" w:eastAsia="Times New Roman" w:hAnsi="Calibri" w:cs="Arial"/>
          <w:szCs w:val="24"/>
        </w:rPr>
        <w:t>s and hypokalaemia</w:t>
      </w:r>
      <w:r w:rsidR="004B76AB" w:rsidRPr="0098660A">
        <w:rPr>
          <w:rFonts w:ascii="Calibri" w:eastAsia="Times New Roman" w:hAnsi="Calibri" w:cs="Arial"/>
          <w:szCs w:val="24"/>
        </w:rPr>
        <w:t xml:space="preserve"> </w:t>
      </w:r>
      <w:r w:rsidR="00320711" w:rsidRPr="0098660A">
        <w:rPr>
          <w:rFonts w:ascii="Calibri" w:eastAsia="Times New Roman" w:hAnsi="Calibri" w:cs="Arial"/>
          <w:szCs w:val="24"/>
        </w:rPr>
        <w:t>were</w:t>
      </w:r>
      <w:r w:rsidR="004B76AB" w:rsidRPr="0098660A">
        <w:rPr>
          <w:rFonts w:ascii="Calibri" w:eastAsia="Times New Roman" w:hAnsi="Calibri" w:cs="Arial"/>
          <w:szCs w:val="24"/>
        </w:rPr>
        <w:t xml:space="preserve"> the most common</w:t>
      </w:r>
      <w:r w:rsidR="00320711" w:rsidRPr="0098660A">
        <w:rPr>
          <w:rFonts w:ascii="Calibri" w:eastAsia="Times New Roman" w:hAnsi="Calibri" w:cs="Arial"/>
          <w:szCs w:val="24"/>
        </w:rPr>
        <w:t>ly reported</w:t>
      </w:r>
      <w:r w:rsidR="004B76AB" w:rsidRPr="0098660A">
        <w:rPr>
          <w:rFonts w:ascii="Calibri" w:eastAsia="Times New Roman" w:hAnsi="Calibri" w:cs="Arial"/>
          <w:szCs w:val="24"/>
        </w:rPr>
        <w:t xml:space="preserve"> AE</w:t>
      </w:r>
      <w:r w:rsidR="00320711" w:rsidRPr="0098660A">
        <w:rPr>
          <w:rFonts w:ascii="Calibri" w:eastAsia="Times New Roman" w:hAnsi="Calibri" w:cs="Arial"/>
          <w:szCs w:val="24"/>
        </w:rPr>
        <w:t>s</w:t>
      </w:r>
      <w:r w:rsidR="004B76AB" w:rsidRPr="0098660A">
        <w:rPr>
          <w:rFonts w:ascii="Calibri" w:eastAsia="Times New Roman" w:hAnsi="Calibri" w:cs="Arial"/>
          <w:szCs w:val="24"/>
        </w:rPr>
        <w:t xml:space="preserve"> from pegcetacoplan treatment</w:t>
      </w:r>
      <w:r w:rsidR="00320711" w:rsidRPr="0098660A">
        <w:rPr>
          <w:rFonts w:ascii="Calibri" w:eastAsia="Times New Roman" w:hAnsi="Calibri" w:cs="Arial"/>
          <w:szCs w:val="24"/>
        </w:rPr>
        <w:t>. In ALXN1210-301,</w:t>
      </w:r>
      <w:r w:rsidR="004B76AB" w:rsidRPr="0098660A">
        <w:rPr>
          <w:rFonts w:ascii="Calibri" w:eastAsia="Times New Roman" w:hAnsi="Calibri" w:cs="Arial"/>
          <w:szCs w:val="24"/>
        </w:rPr>
        <w:t xml:space="preserve"> headache</w:t>
      </w:r>
      <w:r w:rsidR="00320711" w:rsidRPr="0098660A">
        <w:rPr>
          <w:rFonts w:ascii="Calibri" w:eastAsia="Times New Roman" w:hAnsi="Calibri" w:cs="Arial"/>
          <w:szCs w:val="24"/>
        </w:rPr>
        <w:t xml:space="preserve"> and upper respiratory tract infection were </w:t>
      </w:r>
      <w:r w:rsidR="004B76AB" w:rsidRPr="0098660A">
        <w:rPr>
          <w:rFonts w:ascii="Calibri" w:eastAsia="Times New Roman" w:hAnsi="Calibri" w:cs="Arial"/>
          <w:szCs w:val="24"/>
        </w:rPr>
        <w:t>the most common</w:t>
      </w:r>
      <w:r w:rsidR="00320711" w:rsidRPr="0098660A">
        <w:rPr>
          <w:rFonts w:ascii="Calibri" w:eastAsia="Times New Roman" w:hAnsi="Calibri" w:cs="Arial"/>
          <w:szCs w:val="24"/>
        </w:rPr>
        <w:t>ly reported</w:t>
      </w:r>
      <w:r w:rsidR="004B76AB" w:rsidRPr="0098660A">
        <w:rPr>
          <w:rFonts w:ascii="Calibri" w:eastAsia="Times New Roman" w:hAnsi="Calibri" w:cs="Arial"/>
          <w:szCs w:val="24"/>
        </w:rPr>
        <w:t xml:space="preserve"> AE</w:t>
      </w:r>
      <w:r w:rsidR="00320711" w:rsidRPr="0098660A">
        <w:rPr>
          <w:rFonts w:ascii="Calibri" w:eastAsia="Times New Roman" w:hAnsi="Calibri" w:cs="Arial"/>
          <w:szCs w:val="24"/>
        </w:rPr>
        <w:t>s</w:t>
      </w:r>
      <w:r w:rsidR="004B76AB" w:rsidRPr="0098660A">
        <w:rPr>
          <w:rFonts w:ascii="Calibri" w:eastAsia="Times New Roman" w:hAnsi="Calibri" w:cs="Arial"/>
          <w:szCs w:val="24"/>
        </w:rPr>
        <w:t xml:space="preserve"> from ravulizumab treatment. </w:t>
      </w:r>
      <w:r w:rsidRPr="0098660A">
        <w:rPr>
          <w:rFonts w:ascii="Calibri" w:eastAsia="Times New Roman" w:hAnsi="Calibri" w:cs="Arial"/>
          <w:szCs w:val="24"/>
        </w:rPr>
        <w:t xml:space="preserve">The numbers of patients included in the comparison </w:t>
      </w:r>
      <w:r w:rsidR="00A5110D" w:rsidRPr="0098660A">
        <w:rPr>
          <w:rFonts w:ascii="Calibri" w:eastAsia="Times New Roman" w:hAnsi="Calibri" w:cs="Arial"/>
          <w:szCs w:val="24"/>
        </w:rPr>
        <w:t>were</w:t>
      </w:r>
      <w:r w:rsidRPr="0098660A">
        <w:rPr>
          <w:rFonts w:ascii="Calibri" w:eastAsia="Times New Roman" w:hAnsi="Calibri" w:cs="Arial"/>
          <w:szCs w:val="24"/>
        </w:rPr>
        <w:t xml:space="preserve"> small, and the comparisons were unlikely to be powered to detect a clinically important difference in safety profiles.</w:t>
      </w:r>
      <w:bookmarkEnd w:id="51"/>
    </w:p>
    <w:p w14:paraId="61BAF7F2" w14:textId="77777777" w:rsidR="004D5C07" w:rsidRPr="0098660A" w:rsidRDefault="004D5C07" w:rsidP="004D5C07">
      <w:pPr>
        <w:pStyle w:val="4-SubsectionHeading"/>
      </w:pPr>
      <w:bookmarkStart w:id="52" w:name="_Toc22897643"/>
      <w:bookmarkStart w:id="53" w:name="_Toc177480627"/>
      <w:bookmarkStart w:id="54" w:name="_Toc193368023"/>
      <w:bookmarkStart w:id="55" w:name="_Toc22897644"/>
      <w:r w:rsidRPr="0098660A">
        <w:t>Benefits/harms</w:t>
      </w:r>
      <w:bookmarkEnd w:id="52"/>
      <w:bookmarkEnd w:id="53"/>
      <w:bookmarkEnd w:id="54"/>
    </w:p>
    <w:p w14:paraId="5CC6E08B" w14:textId="4FE6D4FD" w:rsidR="004D5C07" w:rsidRPr="0098660A" w:rsidRDefault="004D5C07" w:rsidP="004D5C07">
      <w:pPr>
        <w:pStyle w:val="3-BodyText"/>
      </w:pPr>
      <w:r w:rsidRPr="0098660A">
        <w:t xml:space="preserve">A benefits and harms table </w:t>
      </w:r>
      <w:proofErr w:type="gramStart"/>
      <w:r w:rsidRPr="0098660A">
        <w:t>is</w:t>
      </w:r>
      <w:proofErr w:type="gramEnd"/>
      <w:r w:rsidRPr="0098660A">
        <w:t xml:space="preserve"> not presented as the submission made a claim of non-inferiority.</w:t>
      </w:r>
    </w:p>
    <w:p w14:paraId="1C207246" w14:textId="0EC504E9" w:rsidR="00E26021" w:rsidRPr="0098660A" w:rsidRDefault="00B60939" w:rsidP="00AC7F65">
      <w:pPr>
        <w:pStyle w:val="4-SubsectionHeading"/>
      </w:pPr>
      <w:bookmarkStart w:id="56" w:name="_Toc193368024"/>
      <w:r w:rsidRPr="0098660A">
        <w:t>Clinical claim</w:t>
      </w:r>
      <w:bookmarkEnd w:id="55"/>
      <w:bookmarkEnd w:id="56"/>
    </w:p>
    <w:p w14:paraId="70029240" w14:textId="468C64A7" w:rsidR="00011F59" w:rsidRPr="0098660A" w:rsidRDefault="00AC7F65" w:rsidP="00E9094A">
      <w:pPr>
        <w:pStyle w:val="3-BodyText"/>
        <w:rPr>
          <w:rFonts w:eastAsia="Calibri"/>
        </w:rPr>
      </w:pPr>
      <w:bookmarkStart w:id="57" w:name="_Ref198040362"/>
      <w:bookmarkStart w:id="58" w:name="_Hlk191396787"/>
      <w:bookmarkStart w:id="59" w:name="_Hlk190350481"/>
      <w:r w:rsidRPr="0098660A">
        <w:rPr>
          <w:rFonts w:eastAsia="Calibri"/>
        </w:rPr>
        <w:t xml:space="preserve">The submission described pegcetacoplan as non-inferior in terms of effectiveness compared to ravulizumab. </w:t>
      </w:r>
      <w:r w:rsidR="00592086" w:rsidRPr="0098660A">
        <w:rPr>
          <w:rFonts w:eastAsia="Calibri"/>
          <w:iCs/>
        </w:rPr>
        <w:t>T</w:t>
      </w:r>
      <w:r w:rsidR="007433FE" w:rsidRPr="0098660A">
        <w:rPr>
          <w:rFonts w:eastAsia="Calibri"/>
          <w:iCs/>
        </w:rPr>
        <w:t>he E</w:t>
      </w:r>
      <w:r w:rsidR="00592086" w:rsidRPr="0098660A">
        <w:rPr>
          <w:rFonts w:eastAsia="Calibri"/>
          <w:iCs/>
        </w:rPr>
        <w:t>SC</w:t>
      </w:r>
      <w:r w:rsidR="007433FE" w:rsidRPr="0098660A">
        <w:rPr>
          <w:rFonts w:eastAsia="Calibri"/>
          <w:iCs/>
        </w:rPr>
        <w:t xml:space="preserve"> considered the claim was likely met but with moderate uncertainty</w:t>
      </w:r>
      <w:r w:rsidRPr="0098660A">
        <w:rPr>
          <w:rFonts w:eastAsia="Calibri"/>
        </w:rPr>
        <w:t xml:space="preserve">. </w:t>
      </w:r>
      <w:r w:rsidR="00592086" w:rsidRPr="0098660A">
        <w:rPr>
          <w:rFonts w:eastAsia="Calibri"/>
          <w:iCs/>
        </w:rPr>
        <w:t xml:space="preserve">The evaluation noted </w:t>
      </w:r>
      <w:r w:rsidR="00592086" w:rsidRPr="0098660A">
        <w:rPr>
          <w:rFonts w:eastAsia="Calibri"/>
        </w:rPr>
        <w:t>a</w:t>
      </w:r>
      <w:r w:rsidRPr="0098660A">
        <w:rPr>
          <w:rFonts w:eastAsia="Calibri"/>
        </w:rPr>
        <w:t>lthough efficacy results in the indirect comparison in terms of change in LDH level from baseline, LDH normalisation, haemoglobin stabilisation, and transfusion avoidance numerically favoured pegcetacoplan, there were considerable concerns relating to the transitivity of the pegcetacoplan study and the ravulizumab study. Furthermore, trial results</w:t>
      </w:r>
      <w:r w:rsidR="008216D4" w:rsidRPr="0098660A">
        <w:rPr>
          <w:rFonts w:eastAsia="Calibri"/>
        </w:rPr>
        <w:t xml:space="preserve"> presented in the submission</w:t>
      </w:r>
      <w:r w:rsidRPr="0098660A">
        <w:rPr>
          <w:rFonts w:eastAsia="Calibri"/>
        </w:rPr>
        <w:t xml:space="preserve"> focused on short-term outcomes, and did not capture longer-term or key patient-relevant outcomes</w:t>
      </w:r>
      <w:r w:rsidR="008216D4" w:rsidRPr="0098660A">
        <w:rPr>
          <w:rFonts w:eastAsia="Calibri"/>
        </w:rPr>
        <w:t xml:space="preserve"> including prevention of thrombosis and improving survival</w:t>
      </w:r>
      <w:r w:rsidR="00011F59" w:rsidRPr="0098660A">
        <w:rPr>
          <w:rFonts w:eastAsia="Calibri"/>
        </w:rPr>
        <w:t>.</w:t>
      </w:r>
      <w:r w:rsidR="008216D4" w:rsidRPr="0098660A">
        <w:rPr>
          <w:rFonts w:eastAsia="Calibri"/>
        </w:rPr>
        <w:t xml:space="preserve"> </w:t>
      </w:r>
      <w:r w:rsidR="00592086" w:rsidRPr="0098660A">
        <w:rPr>
          <w:rFonts w:eastAsia="Calibri"/>
        </w:rPr>
        <w:t>In March 2022, t</w:t>
      </w:r>
      <w:r w:rsidR="008216D4" w:rsidRPr="0098660A">
        <w:rPr>
          <w:rFonts w:eastAsia="Calibri"/>
        </w:rPr>
        <w:t xml:space="preserve">he PBAC considered the evidence presented </w:t>
      </w:r>
      <w:r w:rsidR="00B71763" w:rsidRPr="0098660A">
        <w:rPr>
          <w:rFonts w:eastAsia="Calibri"/>
        </w:rPr>
        <w:t>for</w:t>
      </w:r>
      <w:r w:rsidR="008216D4" w:rsidRPr="0098660A">
        <w:rPr>
          <w:rFonts w:eastAsia="Calibri"/>
        </w:rPr>
        <w:t xml:space="preserve"> the request of pegcetacoplan </w:t>
      </w:r>
      <w:r w:rsidR="00B71763" w:rsidRPr="0098660A">
        <w:rPr>
          <w:rFonts w:eastAsia="Calibri"/>
        </w:rPr>
        <w:t xml:space="preserve">listed as the second-line treatment of PNH supported a benefit in short-term haematological </w:t>
      </w:r>
      <w:proofErr w:type="gramStart"/>
      <w:r w:rsidR="00B71763" w:rsidRPr="0098660A">
        <w:rPr>
          <w:rFonts w:eastAsia="Calibri"/>
        </w:rPr>
        <w:t>outcomes, and</w:t>
      </w:r>
      <w:proofErr w:type="gramEnd"/>
      <w:r w:rsidR="00B71763" w:rsidRPr="0098660A">
        <w:rPr>
          <w:rFonts w:eastAsia="Calibri"/>
        </w:rPr>
        <w:t xml:space="preserve"> noted that no evidence to support non-inferiority in terms of long-term outcomes was presented. The PBAC </w:t>
      </w:r>
      <w:r w:rsidR="00DB3BF2" w:rsidRPr="0098660A">
        <w:rPr>
          <w:rFonts w:eastAsia="Calibri"/>
        </w:rPr>
        <w:t xml:space="preserve">previously </w:t>
      </w:r>
      <w:r w:rsidR="00B71763" w:rsidRPr="0098660A">
        <w:rPr>
          <w:rFonts w:eastAsia="Calibri"/>
        </w:rPr>
        <w:t>agreed with the ESC that the long-term clinical data for pegcetacoplan was unlikely to be forthcoming for some time and thus the long-term relative benefit to C5</w:t>
      </w:r>
      <w:r w:rsidR="00DB3BF2" w:rsidRPr="0098660A">
        <w:rPr>
          <w:rFonts w:eastAsia="Calibri"/>
        </w:rPr>
        <w:t>i</w:t>
      </w:r>
      <w:r w:rsidR="00B71763" w:rsidRPr="0098660A">
        <w:rPr>
          <w:rFonts w:eastAsia="Calibri"/>
        </w:rPr>
        <w:t xml:space="preserve">s was difficult to measure. The PBAC </w:t>
      </w:r>
      <w:r w:rsidR="007F413C" w:rsidRPr="0098660A">
        <w:rPr>
          <w:rFonts w:eastAsia="Calibri"/>
        </w:rPr>
        <w:t xml:space="preserve">had </w:t>
      </w:r>
      <w:r w:rsidR="00B71763" w:rsidRPr="0098660A">
        <w:rPr>
          <w:rFonts w:eastAsia="Calibri"/>
        </w:rPr>
        <w:t xml:space="preserve">also recalled that its recommendation for ravulizumab relied on similar short-term outcomes comparative to eculizumab. Overall, the PBAC </w:t>
      </w:r>
      <w:r w:rsidR="007F413C" w:rsidRPr="0098660A">
        <w:rPr>
          <w:rFonts w:eastAsia="Calibri"/>
        </w:rPr>
        <w:t xml:space="preserve">previously </w:t>
      </w:r>
      <w:r w:rsidR="00B71763" w:rsidRPr="0098660A">
        <w:rPr>
          <w:rFonts w:eastAsia="Calibri"/>
        </w:rPr>
        <w:t>considered that while uncertain, the claim of non-inferior comparative effectiveness to the known benefits of C5 inhibitor treatment in this population was reasonable (para 7.5, pegcetacoplan PSD, March 2022 PBAC meeting).</w:t>
      </w:r>
      <w:r w:rsidR="00592086" w:rsidRPr="0098660A">
        <w:rPr>
          <w:rFonts w:eastAsia="Calibri"/>
        </w:rPr>
        <w:t xml:space="preserve"> </w:t>
      </w:r>
      <w:r w:rsidR="00592086" w:rsidRPr="0098660A">
        <w:rPr>
          <w:rFonts w:eastAsia="Calibri"/>
          <w:iCs/>
        </w:rPr>
        <w:t>The PSCR</w:t>
      </w:r>
      <w:r w:rsidR="00F510D1" w:rsidRPr="0098660A">
        <w:rPr>
          <w:rFonts w:eastAsia="Calibri"/>
          <w:iCs/>
        </w:rPr>
        <w:t xml:space="preserve"> </w:t>
      </w:r>
      <w:r w:rsidR="00FA0366" w:rsidRPr="0098660A">
        <w:rPr>
          <w:rFonts w:eastAsia="Calibri"/>
          <w:iCs/>
        </w:rPr>
        <w:lastRenderedPageBreak/>
        <w:t>argued there was no plausible clinical explanation as to why the efficacy of pegcetacoplan would differ between lines of therapy.</w:t>
      </w:r>
      <w:bookmarkEnd w:id="57"/>
      <w:r w:rsidR="00592086" w:rsidRPr="0098660A">
        <w:rPr>
          <w:rFonts w:eastAsia="Calibri"/>
          <w:iCs/>
        </w:rPr>
        <w:t xml:space="preserve"> </w:t>
      </w:r>
    </w:p>
    <w:p w14:paraId="6AC168C4" w14:textId="4EAC9078" w:rsidR="00F510D1" w:rsidRPr="0098660A" w:rsidRDefault="00F510D1" w:rsidP="003D4DCE">
      <w:pPr>
        <w:pStyle w:val="3-BodyText"/>
        <w:rPr>
          <w:rFonts w:eastAsia="Calibri"/>
        </w:rPr>
      </w:pPr>
      <w:bookmarkStart w:id="60" w:name="_Ref198040385"/>
      <w:bookmarkStart w:id="61" w:name="_Hlk190350938"/>
      <w:bookmarkEnd w:id="58"/>
      <w:r w:rsidRPr="0098660A">
        <w:rPr>
          <w:rFonts w:eastAsia="Calibri"/>
          <w:iCs/>
        </w:rPr>
        <w:t>The ESC acknowledged</w:t>
      </w:r>
      <w:r w:rsidR="00764F51" w:rsidRPr="0098660A">
        <w:rPr>
          <w:rFonts w:eastAsia="Calibri"/>
          <w:iCs/>
        </w:rPr>
        <w:t xml:space="preserve"> the difficulty in performing clinical trials in front</w:t>
      </w:r>
      <w:r w:rsidR="00157F24" w:rsidRPr="0098660A">
        <w:rPr>
          <w:rFonts w:eastAsia="Calibri"/>
          <w:iCs/>
        </w:rPr>
        <w:t>-</w:t>
      </w:r>
      <w:r w:rsidR="00764F51" w:rsidRPr="0098660A">
        <w:rPr>
          <w:rFonts w:eastAsia="Calibri"/>
          <w:iCs/>
        </w:rPr>
        <w:t>line disease when effective therapies were available</w:t>
      </w:r>
      <w:r w:rsidR="000E75D1" w:rsidRPr="0098660A">
        <w:rPr>
          <w:rFonts w:eastAsia="Calibri"/>
          <w:iCs/>
        </w:rPr>
        <w:t>.</w:t>
      </w:r>
      <w:r w:rsidR="006B67BE" w:rsidRPr="0098660A">
        <w:rPr>
          <w:rFonts w:eastAsia="Calibri"/>
          <w:iCs/>
        </w:rPr>
        <w:t xml:space="preserve"> </w:t>
      </w:r>
      <w:r w:rsidR="000E75D1" w:rsidRPr="0098660A">
        <w:rPr>
          <w:rFonts w:eastAsia="Calibri"/>
          <w:iCs/>
        </w:rPr>
        <w:t>The ESC also a</w:t>
      </w:r>
      <w:r w:rsidR="00764F51" w:rsidRPr="0098660A">
        <w:rPr>
          <w:rFonts w:eastAsia="Calibri"/>
          <w:iCs/>
        </w:rPr>
        <w:t>cknowledge</w:t>
      </w:r>
      <w:r w:rsidR="00157F24" w:rsidRPr="0098660A">
        <w:rPr>
          <w:rFonts w:eastAsia="Calibri"/>
          <w:iCs/>
        </w:rPr>
        <w:t>d</w:t>
      </w:r>
      <w:r w:rsidR="00764F51" w:rsidRPr="0098660A">
        <w:rPr>
          <w:rFonts w:eastAsia="Calibri"/>
          <w:iCs/>
        </w:rPr>
        <w:t xml:space="preserve"> </w:t>
      </w:r>
      <w:r w:rsidR="000E75D1" w:rsidRPr="0098660A">
        <w:rPr>
          <w:rFonts w:eastAsia="Calibri"/>
          <w:iCs/>
        </w:rPr>
        <w:t xml:space="preserve">the </w:t>
      </w:r>
      <w:r w:rsidR="00764F51" w:rsidRPr="0098660A">
        <w:rPr>
          <w:rFonts w:eastAsia="Calibri"/>
          <w:iCs/>
        </w:rPr>
        <w:t>difference</w:t>
      </w:r>
      <w:r w:rsidR="00E30C83" w:rsidRPr="0098660A">
        <w:rPr>
          <w:rFonts w:eastAsia="Calibri"/>
          <w:iCs/>
        </w:rPr>
        <w:t>s</w:t>
      </w:r>
      <w:r w:rsidR="00764F51" w:rsidRPr="0098660A">
        <w:rPr>
          <w:rFonts w:eastAsia="Calibri"/>
          <w:iCs/>
        </w:rPr>
        <w:t xml:space="preserve"> in study design, population and outcome measures increase</w:t>
      </w:r>
      <w:r w:rsidR="00157F24" w:rsidRPr="0098660A">
        <w:rPr>
          <w:rFonts w:eastAsia="Calibri"/>
          <w:iCs/>
        </w:rPr>
        <w:t>d</w:t>
      </w:r>
      <w:r w:rsidR="00764F51" w:rsidRPr="0098660A">
        <w:rPr>
          <w:rFonts w:eastAsia="Calibri"/>
          <w:iCs/>
        </w:rPr>
        <w:t xml:space="preserve"> uncertainty in </w:t>
      </w:r>
      <w:r w:rsidR="00157F24" w:rsidRPr="0098660A">
        <w:rPr>
          <w:rFonts w:eastAsia="Calibri"/>
          <w:iCs/>
        </w:rPr>
        <w:t xml:space="preserve">the </w:t>
      </w:r>
      <w:r w:rsidR="00764F51" w:rsidRPr="0098660A">
        <w:rPr>
          <w:rFonts w:eastAsia="Calibri"/>
          <w:iCs/>
        </w:rPr>
        <w:t>comparative eff</w:t>
      </w:r>
      <w:r w:rsidR="00FE718A" w:rsidRPr="0098660A">
        <w:rPr>
          <w:rFonts w:eastAsia="Calibri"/>
          <w:iCs/>
        </w:rPr>
        <w:t>ectiveness</w:t>
      </w:r>
      <w:r w:rsidR="000E75D1" w:rsidRPr="0098660A">
        <w:rPr>
          <w:rFonts w:eastAsia="Calibri"/>
          <w:iCs/>
        </w:rPr>
        <w:t>, noting l</w:t>
      </w:r>
      <w:r w:rsidR="00764F51" w:rsidRPr="0098660A">
        <w:rPr>
          <w:rFonts w:eastAsia="Calibri"/>
          <w:iCs/>
        </w:rPr>
        <w:t>ong</w:t>
      </w:r>
      <w:r w:rsidR="000E75D1" w:rsidRPr="0098660A">
        <w:rPr>
          <w:rFonts w:eastAsia="Calibri"/>
          <w:iCs/>
        </w:rPr>
        <w:t>-</w:t>
      </w:r>
      <w:r w:rsidR="00764F51" w:rsidRPr="0098660A">
        <w:rPr>
          <w:rFonts w:eastAsia="Calibri"/>
          <w:iCs/>
        </w:rPr>
        <w:t xml:space="preserve">term outcomes </w:t>
      </w:r>
      <w:r w:rsidR="000E75D1" w:rsidRPr="0098660A">
        <w:rPr>
          <w:rFonts w:eastAsia="Calibri"/>
          <w:iCs/>
        </w:rPr>
        <w:t>have not</w:t>
      </w:r>
      <w:r w:rsidR="001208FE" w:rsidRPr="0098660A">
        <w:rPr>
          <w:rFonts w:eastAsia="Calibri"/>
          <w:iCs/>
        </w:rPr>
        <w:t xml:space="preserve"> been</w:t>
      </w:r>
      <w:r w:rsidR="00764F51" w:rsidRPr="0098660A">
        <w:rPr>
          <w:rFonts w:eastAsia="Calibri"/>
          <w:iCs/>
        </w:rPr>
        <w:t xml:space="preserve"> measured with pegcetacoplan</w:t>
      </w:r>
      <w:r w:rsidR="001208FE" w:rsidRPr="0098660A">
        <w:rPr>
          <w:rFonts w:eastAsia="Calibri"/>
          <w:iCs/>
        </w:rPr>
        <w:t>. However, l</w:t>
      </w:r>
      <w:r w:rsidR="00764F51" w:rsidRPr="0098660A">
        <w:rPr>
          <w:rFonts w:eastAsia="Calibri"/>
          <w:iCs/>
        </w:rPr>
        <w:t xml:space="preserve">onger term data </w:t>
      </w:r>
      <w:r w:rsidR="001208FE" w:rsidRPr="0098660A">
        <w:rPr>
          <w:rFonts w:eastAsia="Calibri"/>
          <w:iCs/>
        </w:rPr>
        <w:t xml:space="preserve">was </w:t>
      </w:r>
      <w:r w:rsidR="00764F51" w:rsidRPr="0098660A">
        <w:rPr>
          <w:rFonts w:eastAsia="Calibri"/>
          <w:iCs/>
        </w:rPr>
        <w:t xml:space="preserve">available for eculizumab and ravulizumab as they </w:t>
      </w:r>
      <w:r w:rsidR="001208FE" w:rsidRPr="0098660A">
        <w:rPr>
          <w:rFonts w:eastAsia="Calibri"/>
          <w:iCs/>
        </w:rPr>
        <w:t>we</w:t>
      </w:r>
      <w:r w:rsidR="00764F51" w:rsidRPr="0098660A">
        <w:rPr>
          <w:rFonts w:eastAsia="Calibri"/>
          <w:iCs/>
        </w:rPr>
        <w:t>re historical treatments</w:t>
      </w:r>
      <w:r w:rsidR="00D8188C" w:rsidRPr="0098660A">
        <w:rPr>
          <w:rFonts w:eastAsia="Calibri"/>
          <w:iCs/>
        </w:rPr>
        <w:t>.</w:t>
      </w:r>
      <w:r w:rsidR="00960029" w:rsidRPr="0098660A">
        <w:rPr>
          <w:rFonts w:eastAsia="Calibri"/>
          <w:iCs/>
        </w:rPr>
        <w:t xml:space="preserve"> </w:t>
      </w:r>
      <w:r w:rsidR="009A660B" w:rsidRPr="0098660A">
        <w:rPr>
          <w:rFonts w:eastAsia="Calibri"/>
          <w:iCs/>
        </w:rPr>
        <w:t>L</w:t>
      </w:r>
      <w:r w:rsidR="00764F51" w:rsidRPr="0098660A">
        <w:rPr>
          <w:rFonts w:eastAsia="Calibri"/>
          <w:iCs/>
        </w:rPr>
        <w:t>ong</w:t>
      </w:r>
      <w:r w:rsidR="009A660B" w:rsidRPr="0098660A">
        <w:rPr>
          <w:rFonts w:eastAsia="Calibri"/>
          <w:iCs/>
        </w:rPr>
        <w:t>-</w:t>
      </w:r>
      <w:r w:rsidR="00764F51" w:rsidRPr="0098660A">
        <w:rPr>
          <w:rFonts w:eastAsia="Calibri"/>
          <w:iCs/>
        </w:rPr>
        <w:t>term efficacy</w:t>
      </w:r>
      <w:r w:rsidR="009A660B" w:rsidRPr="0098660A">
        <w:rPr>
          <w:rFonts w:eastAsia="Calibri"/>
          <w:iCs/>
        </w:rPr>
        <w:t xml:space="preserve"> with these </w:t>
      </w:r>
      <w:r w:rsidR="00622FA0" w:rsidRPr="0098660A">
        <w:rPr>
          <w:rFonts w:eastAsia="Calibri"/>
          <w:iCs/>
        </w:rPr>
        <w:t xml:space="preserve">treatments </w:t>
      </w:r>
      <w:r w:rsidR="009C7791" w:rsidRPr="0098660A">
        <w:rPr>
          <w:rFonts w:eastAsia="Calibri"/>
          <w:iCs/>
        </w:rPr>
        <w:t>had</w:t>
      </w:r>
      <w:r w:rsidR="009A660B" w:rsidRPr="0098660A">
        <w:rPr>
          <w:rFonts w:eastAsia="Calibri"/>
          <w:iCs/>
        </w:rPr>
        <w:t xml:space="preserve"> </w:t>
      </w:r>
      <w:r w:rsidR="00764F51" w:rsidRPr="0098660A">
        <w:rPr>
          <w:rFonts w:eastAsia="Calibri"/>
          <w:iCs/>
        </w:rPr>
        <w:t xml:space="preserve">established </w:t>
      </w:r>
      <w:r w:rsidR="009C7791" w:rsidRPr="0098660A">
        <w:rPr>
          <w:rFonts w:eastAsia="Calibri"/>
          <w:iCs/>
        </w:rPr>
        <w:t>c</w:t>
      </w:r>
      <w:r w:rsidR="00764F51" w:rsidRPr="0098660A">
        <w:rPr>
          <w:rFonts w:eastAsia="Calibri"/>
          <w:iCs/>
        </w:rPr>
        <w:t>omplement inhibition as beneficial in PNH</w:t>
      </w:r>
      <w:r w:rsidR="009C7791" w:rsidRPr="0098660A">
        <w:rPr>
          <w:rFonts w:eastAsia="Calibri"/>
          <w:iCs/>
        </w:rPr>
        <w:t xml:space="preserve">, as previously accepted by PBAC </w:t>
      </w:r>
      <w:r w:rsidR="006B67BE" w:rsidRPr="0098660A">
        <w:rPr>
          <w:rFonts w:eastAsia="Calibri"/>
          <w:iCs/>
        </w:rPr>
        <w:t xml:space="preserve">when it </w:t>
      </w:r>
      <w:r w:rsidR="00FE718A" w:rsidRPr="0098660A">
        <w:rPr>
          <w:rFonts w:eastAsia="Calibri"/>
          <w:iCs/>
        </w:rPr>
        <w:t>recommended</w:t>
      </w:r>
      <w:r w:rsidR="006B67BE" w:rsidRPr="0098660A">
        <w:rPr>
          <w:rFonts w:eastAsia="Calibri"/>
          <w:iCs/>
        </w:rPr>
        <w:t xml:space="preserve"> pegcetacoplan in second-line</w:t>
      </w:r>
      <w:r w:rsidR="00157F24" w:rsidRPr="0098660A">
        <w:rPr>
          <w:rFonts w:eastAsia="Calibri"/>
          <w:iCs/>
        </w:rPr>
        <w:t xml:space="preserve"> treatment for PNH.</w:t>
      </w:r>
      <w:bookmarkEnd w:id="60"/>
      <w:r w:rsidR="00764F51" w:rsidRPr="0098660A">
        <w:rPr>
          <w:rFonts w:eastAsia="Calibri"/>
          <w:iCs/>
        </w:rPr>
        <w:t xml:space="preserve"> </w:t>
      </w:r>
    </w:p>
    <w:p w14:paraId="7F613CD1" w14:textId="43369F39" w:rsidR="005F7588" w:rsidRPr="0098660A" w:rsidRDefault="004C2F8C" w:rsidP="00901FEB">
      <w:pPr>
        <w:pStyle w:val="3-BodyText"/>
        <w:rPr>
          <w:rFonts w:eastAsia="Calibri"/>
        </w:rPr>
      </w:pPr>
      <w:r w:rsidRPr="0098660A">
        <w:t xml:space="preserve">The submission described pegcetacoplan as non-inferior in terms of safety compared to ravulizumab. </w:t>
      </w:r>
      <w:r w:rsidR="00A21C91" w:rsidRPr="0098660A">
        <w:rPr>
          <w:iCs/>
        </w:rPr>
        <w:t>The evaluation considered</w:t>
      </w:r>
      <w:r w:rsidR="00A21C91" w:rsidRPr="0098660A">
        <w:t xml:space="preserve"> t</w:t>
      </w:r>
      <w:r w:rsidRPr="0098660A">
        <w:t>his claim was uncertain and may not be supported by the evidence.</w:t>
      </w:r>
      <w:r w:rsidRPr="0098660A">
        <w:rPr>
          <w:rFonts w:ascii="Calibri" w:eastAsia="Times New Roman" w:hAnsi="Calibri" w:cs="Arial"/>
          <w:szCs w:val="24"/>
        </w:rPr>
        <w:t xml:space="preserve"> Although the </w:t>
      </w:r>
      <w:r w:rsidRPr="0098660A">
        <w:t xml:space="preserve">safety results from the PRINCE study reflect the known safety profile of pegcetacoplan, it is difficult to interpret due to the small size of the trial, and the limited duration of treatment and follow-up. The two drugs being indirectly compared </w:t>
      </w:r>
      <w:r w:rsidRPr="0098660A">
        <w:rPr>
          <w:rFonts w:eastAsia="Calibri"/>
        </w:rPr>
        <w:t>were administered via different routes and were dosed with different frequencies</w:t>
      </w:r>
      <w:r w:rsidR="00D30225" w:rsidRPr="0098660A">
        <w:rPr>
          <w:rFonts w:eastAsia="Calibri"/>
        </w:rPr>
        <w:t>,</w:t>
      </w:r>
      <w:r w:rsidR="00F54F1D" w:rsidRPr="0098660A">
        <w:rPr>
          <w:rFonts w:eastAsia="Calibri"/>
        </w:rPr>
        <w:t xml:space="preserve"> </w:t>
      </w:r>
      <w:r w:rsidR="00D30225" w:rsidRPr="0098660A">
        <w:t>and the safety profiles of the two drugs reported in the two trials were different</w:t>
      </w:r>
      <w:r w:rsidR="00F54F1D" w:rsidRPr="0098660A">
        <w:rPr>
          <w:rFonts w:eastAsia="Calibri"/>
        </w:rPr>
        <w:t>.</w:t>
      </w:r>
      <w:r w:rsidRPr="0098660A">
        <w:rPr>
          <w:rFonts w:eastAsia="Calibri"/>
        </w:rPr>
        <w:t xml:space="preserve"> Therefore, the comparative safety profiles may be unreliable. Furthermore, due to the small numbers of patients included in the comparison, it was unlikely to be powered to detect a clinically important difference in safety profiles</w:t>
      </w:r>
      <w:r w:rsidR="00011F59" w:rsidRPr="0098660A">
        <w:rPr>
          <w:rFonts w:eastAsia="Calibri"/>
        </w:rPr>
        <w:t>.</w:t>
      </w:r>
      <w:bookmarkEnd w:id="61"/>
    </w:p>
    <w:p w14:paraId="6A0B9ED4" w14:textId="12FE3EED" w:rsidR="00F13693" w:rsidRPr="0098660A" w:rsidRDefault="00F13693" w:rsidP="00901FEB">
      <w:pPr>
        <w:pStyle w:val="3-BodyText"/>
        <w:rPr>
          <w:rFonts w:eastAsia="Calibri"/>
          <w:iCs/>
        </w:rPr>
      </w:pPr>
      <w:r w:rsidRPr="0098660A">
        <w:rPr>
          <w:rFonts w:eastAsia="Calibri"/>
          <w:iCs/>
        </w:rPr>
        <w:t xml:space="preserve">The ESC noted the PBAC previously considered that the claim of non-inferior comparative safety was uncertain but reasonable </w:t>
      </w:r>
      <w:r w:rsidR="00B16C64" w:rsidRPr="0098660A">
        <w:rPr>
          <w:rFonts w:eastAsia="Calibri"/>
          <w:iCs/>
        </w:rPr>
        <w:t>in the second</w:t>
      </w:r>
      <w:r w:rsidR="005A16CF" w:rsidRPr="0098660A">
        <w:rPr>
          <w:rFonts w:eastAsia="Calibri"/>
          <w:iCs/>
        </w:rPr>
        <w:t>-</w:t>
      </w:r>
      <w:r w:rsidR="00B16C64" w:rsidRPr="0098660A">
        <w:rPr>
          <w:rFonts w:eastAsia="Calibri"/>
          <w:iCs/>
        </w:rPr>
        <w:t>line setting (para 6.54, pegcetacoplan PSD, March 2022 PBAC meeting</w:t>
      </w:r>
      <w:r w:rsidR="00782F30" w:rsidRPr="0098660A">
        <w:rPr>
          <w:rFonts w:eastAsia="Calibri"/>
          <w:iCs/>
        </w:rPr>
        <w:t>)</w:t>
      </w:r>
      <w:r w:rsidRPr="0098660A">
        <w:rPr>
          <w:rFonts w:eastAsia="Calibri"/>
          <w:iCs/>
        </w:rPr>
        <w:t>.</w:t>
      </w:r>
    </w:p>
    <w:p w14:paraId="2EEA5A73" w14:textId="6A189612" w:rsidR="00DB55F1" w:rsidRPr="0098660A" w:rsidRDefault="00DB55F1" w:rsidP="00DB55F1">
      <w:pPr>
        <w:pStyle w:val="3-BodyText"/>
        <w:rPr>
          <w:snapToGrid w:val="0"/>
        </w:rPr>
      </w:pPr>
      <w:bookmarkStart w:id="62" w:name="_Hlk76376200"/>
      <w:r w:rsidRPr="0098660A">
        <w:rPr>
          <w:iCs/>
          <w:snapToGrid w:val="0"/>
        </w:rPr>
        <w:t>The</w:t>
      </w:r>
      <w:r w:rsidRPr="0098660A">
        <w:rPr>
          <w:snapToGrid w:val="0"/>
        </w:rPr>
        <w:t xml:space="preserve"> PBAC considered that the claim of non-inferior comparative effectiveness was reasonable</w:t>
      </w:r>
      <w:r w:rsidR="00BA3382" w:rsidRPr="0098660A">
        <w:rPr>
          <w:snapToGrid w:val="0"/>
        </w:rPr>
        <w:t xml:space="preserve"> despite</w:t>
      </w:r>
      <w:r w:rsidR="00BA3382" w:rsidRPr="0098660A">
        <w:rPr>
          <w:rFonts w:eastAsia="Times New Roman" w:cs="Arial"/>
          <w:snapToGrid w:val="0"/>
          <w:szCs w:val="24"/>
        </w:rPr>
        <w:t xml:space="preserve"> some</w:t>
      </w:r>
      <w:r w:rsidR="00BA3382" w:rsidRPr="0098660A">
        <w:rPr>
          <w:snapToGrid w:val="0"/>
        </w:rPr>
        <w:t xml:space="preserve"> moderate</w:t>
      </w:r>
      <w:r w:rsidR="00BA3382" w:rsidRPr="0098660A">
        <w:rPr>
          <w:rFonts w:eastAsia="Times New Roman" w:cs="Arial"/>
          <w:snapToGrid w:val="0"/>
          <w:szCs w:val="24"/>
        </w:rPr>
        <w:t xml:space="preserve"> uncertainty</w:t>
      </w:r>
      <w:r w:rsidRPr="0098660A">
        <w:rPr>
          <w:snapToGrid w:val="0"/>
        </w:rPr>
        <w:t>.</w:t>
      </w:r>
    </w:p>
    <w:p w14:paraId="3C2CC50D" w14:textId="53E24BCA" w:rsidR="00DB55F1" w:rsidRPr="0098660A" w:rsidRDefault="00DB55F1" w:rsidP="00301C75">
      <w:pPr>
        <w:pStyle w:val="3-BodyText"/>
        <w:rPr>
          <w:snapToGrid w:val="0"/>
        </w:rPr>
      </w:pPr>
      <w:r w:rsidRPr="0098660A">
        <w:rPr>
          <w:snapToGrid w:val="0"/>
        </w:rPr>
        <w:t>The PBAC considered that the claim of non-inferior comparative safety was</w:t>
      </w:r>
      <w:r w:rsidR="00BA3382" w:rsidRPr="0098660A">
        <w:rPr>
          <w:snapToGrid w:val="0"/>
        </w:rPr>
        <w:t xml:space="preserve"> uncertain but reasonable</w:t>
      </w:r>
      <w:r w:rsidRPr="0098660A">
        <w:rPr>
          <w:snapToGrid w:val="0"/>
        </w:rPr>
        <w:t>.</w:t>
      </w:r>
      <w:bookmarkEnd w:id="62"/>
    </w:p>
    <w:p w14:paraId="1684C330" w14:textId="77777777" w:rsidR="00E54685" w:rsidRPr="0098660A" w:rsidRDefault="00E54685" w:rsidP="00E54685">
      <w:pPr>
        <w:pStyle w:val="4-SubsectionHeading"/>
      </w:pPr>
      <w:bookmarkStart w:id="63" w:name="_Toc22897645"/>
      <w:bookmarkStart w:id="64" w:name="_Toc187925091"/>
      <w:bookmarkStart w:id="65" w:name="_Toc193368025"/>
      <w:bookmarkStart w:id="66" w:name="_Toc22897650"/>
      <w:bookmarkEnd w:id="59"/>
      <w:r w:rsidRPr="0098660A">
        <w:t>Economic analysis</w:t>
      </w:r>
      <w:bookmarkEnd w:id="63"/>
      <w:bookmarkEnd w:id="64"/>
      <w:bookmarkEnd w:id="65"/>
      <w:r w:rsidRPr="0098660A">
        <w:t xml:space="preserve"> </w:t>
      </w:r>
    </w:p>
    <w:p w14:paraId="36301CC3" w14:textId="79D9B236" w:rsidR="00433F31" w:rsidRPr="0098660A" w:rsidRDefault="00433F31" w:rsidP="00433F31">
      <w:pPr>
        <w:pStyle w:val="3-BodyText"/>
      </w:pPr>
      <w:bookmarkStart w:id="67" w:name="_Toc22897646"/>
      <w:bookmarkStart w:id="68" w:name="_Toc187925092"/>
      <w:r w:rsidRPr="0098660A">
        <w:t xml:space="preserve">The submission presented a CMA comparing pegcetacoplan with ravulizumab for the treatment of </w:t>
      </w:r>
      <w:r w:rsidR="00C678F3" w:rsidRPr="0098660A">
        <w:t>Ci-</w:t>
      </w:r>
      <w:r w:rsidRPr="0098660A">
        <w:t xml:space="preserve">naïve patients with PNH, based on the non-inferiority claim. </w:t>
      </w:r>
    </w:p>
    <w:p w14:paraId="6ECC3EAD" w14:textId="38B96EFB" w:rsidR="00433F31" w:rsidRPr="0098660A" w:rsidRDefault="00433F31" w:rsidP="00433F31">
      <w:pPr>
        <w:pStyle w:val="3-BodyText"/>
      </w:pPr>
      <w:r w:rsidRPr="0098660A">
        <w:t xml:space="preserve">The submission’s estimate of </w:t>
      </w:r>
      <w:proofErr w:type="spellStart"/>
      <w:r w:rsidRPr="0098660A">
        <w:t>equi</w:t>
      </w:r>
      <w:proofErr w:type="spellEnd"/>
      <w:r w:rsidRPr="0098660A">
        <w:t xml:space="preserve">-effective doses over a </w:t>
      </w:r>
      <w:r w:rsidR="008C541E" w:rsidRPr="0098660A">
        <w:t>one</w:t>
      </w:r>
      <w:r w:rsidRPr="0098660A">
        <w:t xml:space="preserve">-year maintenance treatment period were: </w:t>
      </w:r>
    </w:p>
    <w:p w14:paraId="2C8D6AE2" w14:textId="77777777" w:rsidR="00433F31" w:rsidRPr="0098660A" w:rsidRDefault="00433F31" w:rsidP="00301C75">
      <w:pPr>
        <w:pStyle w:val="3-BodyText"/>
        <w:numPr>
          <w:ilvl w:val="0"/>
          <w:numId w:val="16"/>
        </w:numPr>
        <w:ind w:left="1134"/>
      </w:pPr>
      <w:bookmarkStart w:id="69" w:name="_Hlk195104494"/>
      <w:r w:rsidRPr="0098660A">
        <w:t xml:space="preserve">Pegcetacoplan 1,080 mg x 105.5 injections; and </w:t>
      </w:r>
    </w:p>
    <w:p w14:paraId="484A39A4" w14:textId="77777777" w:rsidR="00433F31" w:rsidRPr="0098660A" w:rsidRDefault="00433F31" w:rsidP="00301C75">
      <w:pPr>
        <w:pStyle w:val="3-BodyText"/>
        <w:numPr>
          <w:ilvl w:val="0"/>
          <w:numId w:val="16"/>
        </w:numPr>
        <w:ind w:left="1134"/>
      </w:pPr>
      <w:r w:rsidRPr="0098660A">
        <w:t xml:space="preserve">Ravulizumab 3,288 mg x 6.5 infusions. </w:t>
      </w:r>
    </w:p>
    <w:bookmarkEnd w:id="69"/>
    <w:p w14:paraId="2DF87A1B" w14:textId="3EC0BEEC" w:rsidR="00751852" w:rsidRPr="0098660A" w:rsidRDefault="00433F31" w:rsidP="00433F31">
      <w:pPr>
        <w:pStyle w:val="3-BodyText"/>
      </w:pPr>
      <w:r w:rsidRPr="0098660A">
        <w:t xml:space="preserve">The </w:t>
      </w:r>
      <w:proofErr w:type="spellStart"/>
      <w:r w:rsidRPr="0098660A">
        <w:t>equi</w:t>
      </w:r>
      <w:proofErr w:type="spellEnd"/>
      <w:r w:rsidRPr="0098660A">
        <w:t xml:space="preserve">-effective dose of </w:t>
      </w:r>
      <w:proofErr w:type="spellStart"/>
      <w:r w:rsidRPr="0098660A">
        <w:t>pegcetacoplan</w:t>
      </w:r>
      <w:proofErr w:type="spellEnd"/>
      <w:r w:rsidRPr="0098660A">
        <w:t xml:space="preserve"> was derived from the PRINCE trial, where at the end of the post-RCP, 93.5% (43 out of 46) patients received the dose regimen of </w:t>
      </w:r>
      <w:r w:rsidRPr="0098660A">
        <w:lastRenderedPageBreak/>
        <w:t>1,</w:t>
      </w:r>
      <w:r w:rsidR="0015365F" w:rsidRPr="0098660A">
        <w:t>080 </w:t>
      </w:r>
      <w:r w:rsidRPr="0098660A">
        <w:t>mg pegcetacoplan twice weekly, and the remaining 6.5% received an escalated dose of 1,080 mg pegcetacoplan once every 3 days. The weighted number of doses per week was therefore estimated to be 2.02</w:t>
      </w:r>
      <w:r w:rsidR="001C4F4A" w:rsidRPr="0098660A">
        <w:t>,</w:t>
      </w:r>
      <w:r w:rsidRPr="0098660A">
        <w:rPr>
          <w:rStyle w:val="FootnoteReference"/>
        </w:rPr>
        <w:footnoteReference w:id="16"/>
      </w:r>
      <w:r w:rsidRPr="0098660A">
        <w:t xml:space="preserve"> equalling to 105.5</w:t>
      </w:r>
      <w:r w:rsidRPr="0098660A">
        <w:rPr>
          <w:rStyle w:val="FootnoteReference"/>
        </w:rPr>
        <w:footnoteReference w:id="17"/>
      </w:r>
      <w:r w:rsidRPr="0098660A">
        <w:t xml:space="preserve"> doses per year. </w:t>
      </w:r>
    </w:p>
    <w:p w14:paraId="629224BD" w14:textId="69A304B5" w:rsidR="00433F31" w:rsidRPr="0098660A" w:rsidRDefault="00433F31" w:rsidP="00433F31">
      <w:pPr>
        <w:pStyle w:val="3-BodyText"/>
      </w:pPr>
      <w:bookmarkStart w:id="70" w:name="_Ref198047631"/>
      <w:r w:rsidRPr="0098660A">
        <w:t xml:space="preserve">The duration of pegcetacoplan </w:t>
      </w:r>
      <w:r w:rsidR="001C4F4A" w:rsidRPr="0098660A">
        <w:t>treatment in</w:t>
      </w:r>
      <w:r w:rsidRPr="0098660A">
        <w:t xml:space="preserve"> the whole PRINCE study (RCP + post-RCP) was shorter than the time frame of the CMA (median duration of 0.36-0.50 years and mean duration of 0.46-0.67 years in the trial vs. 1 year in the CMA). When the submission of second-line pegcetacoplan was reviewed, the PBAC noted that the proportion of patients in whom the pegcetacoplan dose was escalated increased beyond 16-week study period of the PEGASUS trial. The PBAC considered dosing of pegcetacoplan over the </w:t>
      </w:r>
      <w:r w:rsidR="001C4F4A" w:rsidRPr="0098660A">
        <w:t xml:space="preserve">open-label </w:t>
      </w:r>
      <w:r w:rsidRPr="0098660A">
        <w:t xml:space="preserve">period was more likely to reflect clinical practice (para 7.9, pegcetacoplan PSD, March 2022 PBAC meeting). This is also the case for pegcetacoplan use in the first-line </w:t>
      </w:r>
      <w:r w:rsidR="001C4F4A" w:rsidRPr="0098660A">
        <w:t xml:space="preserve">maintenance </w:t>
      </w:r>
      <w:r w:rsidRPr="0098660A">
        <w:t xml:space="preserve">setting. Among 50 patients enrolled in the PRINCE trial who entered the open-label, long-term extension study (APL2-307), 74% (37/50) patients received pegcetacoplan 1,080 mg twice weekly and 26% (13/50) with an escalated dose of 1,080 mg once every 3 days, based on the assumption that all patients eligible for dose intensification for acute breakthrough haemolysis would </w:t>
      </w:r>
      <w:r w:rsidR="00A80048" w:rsidRPr="0098660A">
        <w:t xml:space="preserve">instead </w:t>
      </w:r>
      <w:r w:rsidRPr="0098660A">
        <w:t xml:space="preserve">receive a dose escalation to once every 3 days. </w:t>
      </w:r>
      <w:r w:rsidR="00A80048" w:rsidRPr="0098660A">
        <w:t>The d</w:t>
      </w:r>
      <w:r w:rsidRPr="0098660A">
        <w:t>osing frequency from the extension study is more likely to reflect the circumstance of use of pegcetacoplan as a chronic therapy.</w:t>
      </w:r>
      <w:bookmarkEnd w:id="70"/>
      <w:r w:rsidRPr="0098660A">
        <w:t xml:space="preserve"> </w:t>
      </w:r>
    </w:p>
    <w:p w14:paraId="1B985089" w14:textId="62A9D4D4" w:rsidR="00433F31" w:rsidRPr="0098660A" w:rsidRDefault="00433F31" w:rsidP="00433F31">
      <w:pPr>
        <w:pStyle w:val="3-BodyText"/>
      </w:pPr>
      <w:r w:rsidRPr="0098660A">
        <w:t xml:space="preserve">The </w:t>
      </w:r>
      <w:proofErr w:type="spellStart"/>
      <w:r w:rsidRPr="0098660A">
        <w:t>equi</w:t>
      </w:r>
      <w:proofErr w:type="spellEnd"/>
      <w:r w:rsidRPr="0098660A">
        <w:t xml:space="preserve">-effective dose of </w:t>
      </w:r>
      <w:proofErr w:type="spellStart"/>
      <w:r w:rsidRPr="0098660A">
        <w:t>ravulizumab</w:t>
      </w:r>
      <w:proofErr w:type="spellEnd"/>
      <w:r w:rsidRPr="0098660A">
        <w:t xml:space="preserve"> maintenance therapy was sourced from the previous CMA of ravulizumab versus eculizumab and the CMA of second-line pegcetacoplan versus </w:t>
      </w:r>
      <w:proofErr w:type="spellStart"/>
      <w:r w:rsidRPr="0098660A">
        <w:t>ravulizumab</w:t>
      </w:r>
      <w:proofErr w:type="spellEnd"/>
      <w:r w:rsidRPr="0098660A">
        <w:t xml:space="preserve">, where the </w:t>
      </w:r>
      <w:proofErr w:type="spellStart"/>
      <w:r w:rsidRPr="0098660A">
        <w:t>equi</w:t>
      </w:r>
      <w:proofErr w:type="spellEnd"/>
      <w:r w:rsidRPr="0098660A">
        <w:t xml:space="preserve">-effective dose for </w:t>
      </w:r>
      <w:proofErr w:type="spellStart"/>
      <w:r w:rsidRPr="0098660A">
        <w:t>ravulizumab</w:t>
      </w:r>
      <w:proofErr w:type="spellEnd"/>
      <w:r w:rsidRPr="0098660A">
        <w:t xml:space="preserve"> w</w:t>
      </w:r>
      <w:r w:rsidR="00A80048" w:rsidRPr="0098660A">
        <w:t>as</w:t>
      </w:r>
      <w:r w:rsidRPr="0098660A">
        <w:t xml:space="preserve"> calculated based on weight distributions from the subgroup of Australians in the International PNH registry (ravulizumab PSD, July 2021 PBAC meeting; pegcetacoplan PSD, July 2022 PBAC meeting). </w:t>
      </w:r>
      <w:r w:rsidR="003E631C" w:rsidRPr="0098660A">
        <w:rPr>
          <w:iCs/>
        </w:rPr>
        <w:t xml:space="preserve">The ESC considered </w:t>
      </w:r>
      <w:r w:rsidR="003E631C" w:rsidRPr="0098660A">
        <w:t>t</w:t>
      </w:r>
      <w:r w:rsidRPr="0098660A">
        <w:t xml:space="preserve">his </w:t>
      </w:r>
      <w:r w:rsidR="007E1222" w:rsidRPr="0098660A">
        <w:t>wa</w:t>
      </w:r>
      <w:r w:rsidRPr="0098660A">
        <w:t xml:space="preserve">s appropriate. </w:t>
      </w:r>
    </w:p>
    <w:p w14:paraId="4FFD7ED2" w14:textId="4FE3FC92" w:rsidR="00223203" w:rsidRPr="0098660A" w:rsidRDefault="00223203" w:rsidP="00223203">
      <w:pPr>
        <w:pStyle w:val="3-BodyText"/>
        <w:rPr>
          <w:iCs/>
        </w:rPr>
      </w:pPr>
      <w:r w:rsidRPr="0098660A">
        <w:rPr>
          <w:iCs/>
        </w:rPr>
        <w:t xml:space="preserve">The ESC considered </w:t>
      </w:r>
      <w:proofErr w:type="spellStart"/>
      <w:r w:rsidRPr="0098660A">
        <w:rPr>
          <w:iCs/>
        </w:rPr>
        <w:t>equi</w:t>
      </w:r>
      <w:proofErr w:type="spellEnd"/>
      <w:r w:rsidRPr="0098660A">
        <w:rPr>
          <w:iCs/>
        </w:rPr>
        <w:t xml:space="preserve">-effective doses over a </w:t>
      </w:r>
      <w:r w:rsidR="008C541E" w:rsidRPr="0098660A">
        <w:rPr>
          <w:iCs/>
        </w:rPr>
        <w:t>one</w:t>
      </w:r>
      <w:r w:rsidRPr="0098660A">
        <w:rPr>
          <w:iCs/>
        </w:rPr>
        <w:t xml:space="preserve">-year maintenance treatment period should include the pegcetacoplan OLE study (APL2-307) to capture the higher proportion of patients requiring dose escalation. The revised </w:t>
      </w:r>
      <w:proofErr w:type="spellStart"/>
      <w:r w:rsidRPr="0098660A">
        <w:rPr>
          <w:iCs/>
        </w:rPr>
        <w:t>equi</w:t>
      </w:r>
      <w:proofErr w:type="spellEnd"/>
      <w:r w:rsidRPr="0098660A">
        <w:rPr>
          <w:iCs/>
        </w:rPr>
        <w:t xml:space="preserve">-effective doses were: </w:t>
      </w:r>
    </w:p>
    <w:p w14:paraId="4AF72E75" w14:textId="77777777" w:rsidR="00223203" w:rsidRPr="0098660A" w:rsidRDefault="00223203" w:rsidP="00301C75">
      <w:pPr>
        <w:pStyle w:val="3-BodyText"/>
        <w:numPr>
          <w:ilvl w:val="0"/>
          <w:numId w:val="16"/>
        </w:numPr>
        <w:ind w:left="1134"/>
        <w:rPr>
          <w:iCs/>
        </w:rPr>
      </w:pPr>
      <w:r w:rsidRPr="0098660A">
        <w:rPr>
          <w:iCs/>
        </w:rPr>
        <w:t xml:space="preserve">Pegcetacoplan 1,080 mg x 108.88 injections; and </w:t>
      </w:r>
    </w:p>
    <w:p w14:paraId="07BE1520" w14:textId="77777777" w:rsidR="00223203" w:rsidRPr="0098660A" w:rsidRDefault="00223203" w:rsidP="00301C75">
      <w:pPr>
        <w:pStyle w:val="3-BodyText"/>
        <w:numPr>
          <w:ilvl w:val="0"/>
          <w:numId w:val="16"/>
        </w:numPr>
        <w:ind w:left="1134"/>
        <w:rPr>
          <w:iCs/>
        </w:rPr>
      </w:pPr>
      <w:r w:rsidRPr="0098660A">
        <w:rPr>
          <w:iCs/>
        </w:rPr>
        <w:t xml:space="preserve">Ravulizumab 3,288 mg x 6.5 infusions. </w:t>
      </w:r>
    </w:p>
    <w:p w14:paraId="3D56647F" w14:textId="76C3F3B7" w:rsidR="00433F31" w:rsidRPr="0098660A" w:rsidRDefault="00433F31" w:rsidP="00433F31">
      <w:pPr>
        <w:pStyle w:val="3-BodyText"/>
      </w:pPr>
      <w:r w:rsidRPr="0098660A">
        <w:t xml:space="preserve">Pegcetacoplan is administered via SC infusion with a commercially available syringe system infusion pump. The submission assumed </w:t>
      </w:r>
      <w:r w:rsidR="00A80048" w:rsidRPr="0098660A">
        <w:t xml:space="preserve">that there would be </w:t>
      </w:r>
      <w:r w:rsidRPr="0098660A">
        <w:t xml:space="preserve">no administration costs associated with pegcetacoplan therapy as all patients would be self-administering treatment at home. Training for self-administration </w:t>
      </w:r>
      <w:r w:rsidR="000D705B" w:rsidRPr="0098660A">
        <w:t>wa</w:t>
      </w:r>
      <w:r w:rsidRPr="0098660A">
        <w:t xml:space="preserve">s costed in </w:t>
      </w:r>
      <w:r w:rsidRPr="0098660A">
        <w:lastRenderedPageBreak/>
        <w:t>other economic evaluations of pegcetacoplan</w:t>
      </w:r>
      <w:r w:rsidR="004D5C07" w:rsidRPr="0098660A">
        <w:t>.</w:t>
      </w:r>
      <w:r w:rsidRPr="0098660A">
        <w:rPr>
          <w:rStyle w:val="FootnoteReference"/>
        </w:rPr>
        <w:footnoteReference w:id="18"/>
      </w:r>
      <w:r w:rsidRPr="0098660A">
        <w:t xml:space="preserve"> In addition, there are likely to be some increased MBS costs associated with the administration of some pegcetacoplan provided in healthcare settings, particularly given the frequency of administration (twice weekly or every 3 days), however the extent of this </w:t>
      </w:r>
      <w:r w:rsidR="00EC6EFA" w:rsidRPr="0098660A">
        <w:t>wa</w:t>
      </w:r>
      <w:r w:rsidRPr="0098660A">
        <w:t>s unknown.</w:t>
      </w:r>
    </w:p>
    <w:p w14:paraId="365A35FA" w14:textId="666CDE69" w:rsidR="00433F31" w:rsidRPr="0098660A" w:rsidRDefault="00433F31" w:rsidP="00433F31">
      <w:pPr>
        <w:pStyle w:val="3-BodyText"/>
      </w:pPr>
      <w:bookmarkStart w:id="71" w:name="_Ref196210274"/>
      <w:r w:rsidRPr="0098660A">
        <w:t xml:space="preserve">Ravulizumab is administered by IV infusion. The submission estimated the administration costs based on the MBS schedule fee for </w:t>
      </w:r>
      <w:r w:rsidR="00C678F3" w:rsidRPr="0098660A">
        <w:t>i</w:t>
      </w:r>
      <w:r w:rsidRPr="0098660A">
        <w:t xml:space="preserve">tem 14245 (administration of immunomodulating agent via intravenous infusion for at least 2 hours duration), and the National Efficient Price (NEP) for 2024-2025 period adjusted with the price weight associated with Tier 2 non-admitted hospital services (haematology and immunology). The administration cost </w:t>
      </w:r>
      <w:r w:rsidR="00C678F3" w:rsidRPr="0098660A">
        <w:t xml:space="preserve">assumed in the </w:t>
      </w:r>
      <w:r w:rsidRPr="0098660A">
        <w:t>submission ($317.64) was higher than that in the CMA of ravulizumab versus eculizumab (MBS item 105 schedule fee: $49.75) (ravulizumab PSD, July 2021 PBAC meeting).</w:t>
      </w:r>
      <w:bookmarkEnd w:id="71"/>
      <w:r w:rsidRPr="0098660A">
        <w:t xml:space="preserve"> </w:t>
      </w:r>
    </w:p>
    <w:p w14:paraId="3DD5897E" w14:textId="03693FC0" w:rsidR="00433F31" w:rsidRPr="0098660A" w:rsidRDefault="00433F31" w:rsidP="00433F31">
      <w:pPr>
        <w:pStyle w:val="3-BodyText"/>
      </w:pPr>
      <w:r w:rsidRPr="0098660A">
        <w:t>Of note, the CMA which formed the basis of PBAC’s positive recommendation for second-line treatment with pegcetacoplan did not include cost offsets associated with the difference in administration route between pegcetacoplan and ravulizumab (Table</w:t>
      </w:r>
      <w:r w:rsidR="00594D73" w:rsidRPr="0098660A">
        <w:t> </w:t>
      </w:r>
      <w:r w:rsidRPr="0098660A">
        <w:t>1, pegcetacoplan PSD, July 2022 PBAC meeting).</w:t>
      </w:r>
    </w:p>
    <w:p w14:paraId="4408802A" w14:textId="77777777" w:rsidR="00433F31" w:rsidRPr="0098660A" w:rsidRDefault="00433F31" w:rsidP="00433F31">
      <w:pPr>
        <w:pStyle w:val="3-BodyText"/>
      </w:pPr>
      <w:bookmarkStart w:id="72" w:name="_Ref189146835"/>
      <w:r w:rsidRPr="0098660A">
        <w:t>The CMA included the costs of vaccinations against pneumococcal disease and haemophilus influenzae type B infection in patients receiving pegcetacoplan therapy. The resource use and costs associated with vaccinations assumed in the submission were consistent with the CMA in the July 2022 pegcetacoplan (second-line) submission, with MBS fees updated where relevant.</w:t>
      </w:r>
      <w:bookmarkEnd w:id="72"/>
    </w:p>
    <w:p w14:paraId="1529997C" w14:textId="428552B2" w:rsidR="00433F31" w:rsidRPr="0098660A" w:rsidRDefault="00433F31" w:rsidP="00433F31">
      <w:pPr>
        <w:pStyle w:val="3-BodyText"/>
      </w:pPr>
      <w:r w:rsidRPr="0098660A">
        <w:t xml:space="preserve">Results of the CMA are presented in </w:t>
      </w:r>
      <w:r w:rsidRPr="0098660A">
        <w:fldChar w:fldCharType="begin"/>
      </w:r>
      <w:r w:rsidRPr="0098660A">
        <w:instrText xml:space="preserve"> REF _Ref188978925 \h </w:instrText>
      </w:r>
      <w:r w:rsidR="00995090" w:rsidRPr="0098660A">
        <w:instrText xml:space="preserve"> \* MERGEFORMAT </w:instrText>
      </w:r>
      <w:r w:rsidRPr="0098660A">
        <w:fldChar w:fldCharType="separate"/>
      </w:r>
      <w:r w:rsidR="00134128" w:rsidRPr="0098660A">
        <w:t xml:space="preserve">Table </w:t>
      </w:r>
      <w:r w:rsidR="00134128">
        <w:t>10</w:t>
      </w:r>
      <w:r w:rsidRPr="0098660A">
        <w:fldChar w:fldCharType="end"/>
      </w:r>
      <w:r w:rsidRPr="0098660A">
        <w:t>. The CMA was based on the published price for ravulizumab.</w:t>
      </w:r>
    </w:p>
    <w:p w14:paraId="77F1F5CC" w14:textId="4110AEC6" w:rsidR="00433F31" w:rsidRPr="0098660A" w:rsidRDefault="00433F31" w:rsidP="00433F31">
      <w:pPr>
        <w:pStyle w:val="Caption"/>
      </w:pPr>
      <w:bookmarkStart w:id="73" w:name="_Ref188978925"/>
      <w:r w:rsidRPr="0098660A">
        <w:lastRenderedPageBreak/>
        <w:t xml:space="preserve">Table </w:t>
      </w:r>
      <w:r w:rsidR="00ED489E" w:rsidRPr="0098660A">
        <w:fldChar w:fldCharType="begin"/>
      </w:r>
      <w:r w:rsidR="00ED489E" w:rsidRPr="0098660A">
        <w:instrText xml:space="preserve"> SEQ Table \* ARABIC </w:instrText>
      </w:r>
      <w:r w:rsidR="00ED489E" w:rsidRPr="0098660A">
        <w:fldChar w:fldCharType="separate"/>
      </w:r>
      <w:r w:rsidR="00134128">
        <w:rPr>
          <w:noProof/>
        </w:rPr>
        <w:t>10</w:t>
      </w:r>
      <w:r w:rsidR="00ED489E" w:rsidRPr="0098660A">
        <w:fldChar w:fldCharType="end"/>
      </w:r>
      <w:bookmarkEnd w:id="73"/>
      <w:r w:rsidRPr="0098660A">
        <w:t>: Results of cost-minimisation analysis</w:t>
      </w:r>
    </w:p>
    <w:tbl>
      <w:tblPr>
        <w:tblStyle w:val="TableGrid"/>
        <w:tblW w:w="5000" w:type="pct"/>
        <w:tblLook w:val="04A0" w:firstRow="1" w:lastRow="0" w:firstColumn="1" w:lastColumn="0" w:noHBand="0" w:noVBand="1"/>
      </w:tblPr>
      <w:tblGrid>
        <w:gridCol w:w="3116"/>
        <w:gridCol w:w="1572"/>
        <w:gridCol w:w="1646"/>
        <w:gridCol w:w="2683"/>
      </w:tblGrid>
      <w:tr w:rsidR="00433F31" w:rsidRPr="0098660A" w14:paraId="460DC027" w14:textId="77777777" w:rsidTr="00C678F3">
        <w:tc>
          <w:tcPr>
            <w:tcW w:w="3116" w:type="dxa"/>
            <w:vAlign w:val="center"/>
          </w:tcPr>
          <w:p w14:paraId="186F8574" w14:textId="77777777" w:rsidR="00433F31" w:rsidRPr="0098660A" w:rsidRDefault="00433F31" w:rsidP="00DE6F46">
            <w:pPr>
              <w:pStyle w:val="TableText0"/>
            </w:pPr>
          </w:p>
        </w:tc>
        <w:tc>
          <w:tcPr>
            <w:tcW w:w="1572" w:type="dxa"/>
            <w:vAlign w:val="center"/>
          </w:tcPr>
          <w:p w14:paraId="095F6DD0" w14:textId="77777777" w:rsidR="00433F31" w:rsidRPr="0098660A" w:rsidRDefault="00433F31" w:rsidP="00DE6F46">
            <w:pPr>
              <w:pStyle w:val="TableText0"/>
            </w:pPr>
            <w:r w:rsidRPr="0098660A">
              <w:t>Pegcetacoplan</w:t>
            </w:r>
          </w:p>
        </w:tc>
        <w:tc>
          <w:tcPr>
            <w:tcW w:w="1646" w:type="dxa"/>
          </w:tcPr>
          <w:p w14:paraId="2D0480A8" w14:textId="77777777" w:rsidR="00433F31" w:rsidRPr="0098660A" w:rsidRDefault="00433F31" w:rsidP="00DE6F46">
            <w:pPr>
              <w:pStyle w:val="TableText0"/>
            </w:pPr>
            <w:r w:rsidRPr="0098660A">
              <w:t>Ravulizumab</w:t>
            </w:r>
          </w:p>
        </w:tc>
        <w:tc>
          <w:tcPr>
            <w:tcW w:w="2683" w:type="dxa"/>
          </w:tcPr>
          <w:p w14:paraId="20C87A6F" w14:textId="77777777" w:rsidR="00433F31" w:rsidRPr="0098660A" w:rsidRDefault="00433F31" w:rsidP="00DE6F46">
            <w:pPr>
              <w:pStyle w:val="TableText0"/>
            </w:pPr>
            <w:r w:rsidRPr="0098660A">
              <w:t>Calculation/explanation</w:t>
            </w:r>
          </w:p>
        </w:tc>
      </w:tr>
      <w:tr w:rsidR="00433F31" w:rsidRPr="0098660A" w14:paraId="39049248" w14:textId="77777777" w:rsidTr="00C678F3">
        <w:tc>
          <w:tcPr>
            <w:tcW w:w="3116" w:type="dxa"/>
            <w:vAlign w:val="center"/>
          </w:tcPr>
          <w:p w14:paraId="4363CA62" w14:textId="77777777" w:rsidR="00433F31" w:rsidRPr="0098660A" w:rsidRDefault="00433F31" w:rsidP="00DE6F46">
            <w:pPr>
              <w:pStyle w:val="TableText0"/>
            </w:pPr>
            <w:r w:rsidRPr="0098660A">
              <w:t>Ex-manufacturer price per vial (A)</w:t>
            </w:r>
          </w:p>
        </w:tc>
        <w:tc>
          <w:tcPr>
            <w:tcW w:w="1572" w:type="dxa"/>
            <w:vAlign w:val="center"/>
          </w:tcPr>
          <w:p w14:paraId="6657ED76" w14:textId="77777777" w:rsidR="00433F31" w:rsidRPr="0098660A" w:rsidRDefault="00433F31" w:rsidP="00DE6F46">
            <w:pPr>
              <w:pStyle w:val="TableText0"/>
            </w:pPr>
            <w:r w:rsidRPr="0098660A">
              <w:t>$4,456.13</w:t>
            </w:r>
          </w:p>
        </w:tc>
        <w:tc>
          <w:tcPr>
            <w:tcW w:w="1646" w:type="dxa"/>
            <w:vAlign w:val="center"/>
          </w:tcPr>
          <w:p w14:paraId="563DBC3B" w14:textId="77777777" w:rsidR="00433F31" w:rsidRPr="0098660A" w:rsidRDefault="00433F31" w:rsidP="00DE6F46">
            <w:pPr>
              <w:pStyle w:val="TableText0"/>
            </w:pPr>
            <w:r w:rsidRPr="0098660A">
              <w:t>$6,574.12</w:t>
            </w:r>
          </w:p>
        </w:tc>
        <w:tc>
          <w:tcPr>
            <w:tcW w:w="2683" w:type="dxa"/>
            <w:vAlign w:val="center"/>
          </w:tcPr>
          <w:p w14:paraId="196B00A6" w14:textId="02C28565" w:rsidR="00433F31" w:rsidRPr="0098660A" w:rsidRDefault="00433F31" w:rsidP="00DE6F46">
            <w:pPr>
              <w:pStyle w:val="TableText0"/>
            </w:pPr>
            <w:r w:rsidRPr="0098660A">
              <w:t xml:space="preserve">PBS listed price for ravulizumab; </w:t>
            </w:r>
            <w:r w:rsidR="00C678F3" w:rsidRPr="0098660A">
              <w:t>b</w:t>
            </w:r>
            <w:r w:rsidRPr="0098660A">
              <w:t>ack-calculated cost-minimised price for pegcetacoplan</w:t>
            </w:r>
          </w:p>
        </w:tc>
      </w:tr>
      <w:tr w:rsidR="00433F31" w:rsidRPr="0098660A" w14:paraId="0358D4ED" w14:textId="77777777" w:rsidTr="00C678F3">
        <w:tc>
          <w:tcPr>
            <w:tcW w:w="3116" w:type="dxa"/>
            <w:vAlign w:val="center"/>
          </w:tcPr>
          <w:p w14:paraId="7F6CB3E9" w14:textId="77777777" w:rsidR="00433F31" w:rsidRPr="0098660A" w:rsidRDefault="00433F31" w:rsidP="00DE6F46">
            <w:pPr>
              <w:pStyle w:val="TableText0"/>
            </w:pPr>
            <w:r w:rsidRPr="0098660A">
              <w:t>Vial strength (B)</w:t>
            </w:r>
          </w:p>
        </w:tc>
        <w:tc>
          <w:tcPr>
            <w:tcW w:w="1572" w:type="dxa"/>
            <w:vAlign w:val="center"/>
          </w:tcPr>
          <w:p w14:paraId="083EF718" w14:textId="77777777" w:rsidR="00433F31" w:rsidRPr="0098660A" w:rsidRDefault="00433F31" w:rsidP="00DE6F46">
            <w:pPr>
              <w:pStyle w:val="TableText0"/>
            </w:pPr>
            <w:r w:rsidRPr="0098660A">
              <w:t>1,080 mg</w:t>
            </w:r>
          </w:p>
        </w:tc>
        <w:tc>
          <w:tcPr>
            <w:tcW w:w="1646" w:type="dxa"/>
            <w:vAlign w:val="center"/>
          </w:tcPr>
          <w:p w14:paraId="729A1A86" w14:textId="77777777" w:rsidR="00433F31" w:rsidRPr="0098660A" w:rsidRDefault="00433F31" w:rsidP="00DE6F46">
            <w:pPr>
              <w:pStyle w:val="TableText0"/>
            </w:pPr>
            <w:r w:rsidRPr="0098660A">
              <w:t>300 mg</w:t>
            </w:r>
          </w:p>
        </w:tc>
        <w:tc>
          <w:tcPr>
            <w:tcW w:w="2683" w:type="dxa"/>
            <w:vAlign w:val="center"/>
          </w:tcPr>
          <w:p w14:paraId="1CF87979" w14:textId="77777777" w:rsidR="00433F31" w:rsidRPr="0098660A" w:rsidRDefault="00433F31" w:rsidP="00DE6F46">
            <w:pPr>
              <w:pStyle w:val="TableText0"/>
            </w:pPr>
            <w:r w:rsidRPr="0098660A">
              <w:t>PBS listing</w:t>
            </w:r>
          </w:p>
        </w:tc>
      </w:tr>
      <w:tr w:rsidR="00433F31" w:rsidRPr="0098660A" w14:paraId="0D0994FE" w14:textId="77777777" w:rsidTr="00C678F3">
        <w:tc>
          <w:tcPr>
            <w:tcW w:w="3116" w:type="dxa"/>
            <w:vAlign w:val="center"/>
          </w:tcPr>
          <w:p w14:paraId="01ED43E5" w14:textId="77777777" w:rsidR="00433F31" w:rsidRPr="0098660A" w:rsidRDefault="00433F31" w:rsidP="00DE6F46">
            <w:pPr>
              <w:pStyle w:val="TableText0"/>
            </w:pPr>
            <w:r w:rsidRPr="0098660A">
              <w:t>Dose per administration (C)</w:t>
            </w:r>
          </w:p>
        </w:tc>
        <w:tc>
          <w:tcPr>
            <w:tcW w:w="1572" w:type="dxa"/>
            <w:vAlign w:val="center"/>
          </w:tcPr>
          <w:p w14:paraId="065259B9" w14:textId="77777777" w:rsidR="00433F31" w:rsidRPr="0098660A" w:rsidRDefault="00433F31" w:rsidP="00DE6F46">
            <w:pPr>
              <w:pStyle w:val="TableText0"/>
            </w:pPr>
            <w:r w:rsidRPr="0098660A">
              <w:t>1,080 mg</w:t>
            </w:r>
          </w:p>
        </w:tc>
        <w:tc>
          <w:tcPr>
            <w:tcW w:w="1646" w:type="dxa"/>
            <w:vAlign w:val="center"/>
          </w:tcPr>
          <w:p w14:paraId="2048C429" w14:textId="77777777" w:rsidR="00433F31" w:rsidRPr="0098660A" w:rsidRDefault="00433F31" w:rsidP="00DE6F46">
            <w:pPr>
              <w:pStyle w:val="TableText0"/>
            </w:pPr>
            <w:r w:rsidRPr="0098660A">
              <w:t>3,288 mg</w:t>
            </w:r>
          </w:p>
        </w:tc>
        <w:tc>
          <w:tcPr>
            <w:tcW w:w="2683" w:type="dxa"/>
            <w:vAlign w:val="center"/>
          </w:tcPr>
          <w:p w14:paraId="229A1AF9" w14:textId="77777777" w:rsidR="00433F31" w:rsidRPr="0098660A" w:rsidRDefault="00433F31" w:rsidP="00DE6F46">
            <w:pPr>
              <w:pStyle w:val="TableText0"/>
            </w:pPr>
            <w:r w:rsidRPr="0098660A">
              <w:t>Equi-effective doses</w:t>
            </w:r>
          </w:p>
        </w:tc>
      </w:tr>
      <w:tr w:rsidR="00433F31" w:rsidRPr="0098660A" w14:paraId="3B9BC71E" w14:textId="77777777" w:rsidTr="00C678F3">
        <w:tc>
          <w:tcPr>
            <w:tcW w:w="3116" w:type="dxa"/>
            <w:vAlign w:val="center"/>
          </w:tcPr>
          <w:p w14:paraId="43A59DE4" w14:textId="77777777" w:rsidR="00433F31" w:rsidRPr="0098660A" w:rsidRDefault="00433F31" w:rsidP="00DE6F46">
            <w:pPr>
              <w:pStyle w:val="TableText0"/>
            </w:pPr>
            <w:r w:rsidRPr="0098660A">
              <w:t>Number of vials required per administration (D)</w:t>
            </w:r>
          </w:p>
        </w:tc>
        <w:tc>
          <w:tcPr>
            <w:tcW w:w="1572" w:type="dxa"/>
            <w:vAlign w:val="center"/>
          </w:tcPr>
          <w:p w14:paraId="43A70C35" w14:textId="77777777" w:rsidR="00433F31" w:rsidRPr="0098660A" w:rsidRDefault="00433F31" w:rsidP="00DE6F46">
            <w:pPr>
              <w:pStyle w:val="TableText0"/>
            </w:pPr>
            <w:r w:rsidRPr="0098660A">
              <w:t>1</w:t>
            </w:r>
          </w:p>
        </w:tc>
        <w:tc>
          <w:tcPr>
            <w:tcW w:w="1646" w:type="dxa"/>
            <w:vAlign w:val="center"/>
          </w:tcPr>
          <w:p w14:paraId="7A8C1D46" w14:textId="77777777" w:rsidR="00433F31" w:rsidRPr="0098660A" w:rsidRDefault="00433F31" w:rsidP="00DE6F46">
            <w:pPr>
              <w:pStyle w:val="TableText0"/>
            </w:pPr>
            <w:r w:rsidRPr="0098660A">
              <w:t>10.96</w:t>
            </w:r>
          </w:p>
        </w:tc>
        <w:tc>
          <w:tcPr>
            <w:tcW w:w="2683" w:type="dxa"/>
            <w:vAlign w:val="center"/>
          </w:tcPr>
          <w:p w14:paraId="6C4C0654" w14:textId="77777777" w:rsidR="00433F31" w:rsidRPr="0098660A" w:rsidRDefault="00433F31" w:rsidP="00DE6F46">
            <w:pPr>
              <w:pStyle w:val="TableText0"/>
            </w:pPr>
            <w:r w:rsidRPr="0098660A">
              <w:t>= C / B</w:t>
            </w:r>
          </w:p>
        </w:tc>
      </w:tr>
      <w:tr w:rsidR="00433F31" w:rsidRPr="0098660A" w14:paraId="718167B9" w14:textId="77777777" w:rsidTr="00C678F3">
        <w:tc>
          <w:tcPr>
            <w:tcW w:w="3116" w:type="dxa"/>
            <w:vAlign w:val="center"/>
          </w:tcPr>
          <w:p w14:paraId="62329473" w14:textId="77777777" w:rsidR="00433F31" w:rsidRPr="0098660A" w:rsidRDefault="00433F31" w:rsidP="00DE6F46">
            <w:pPr>
              <w:pStyle w:val="TableText0"/>
            </w:pPr>
            <w:r w:rsidRPr="0098660A">
              <w:t>Drug cost per administration (E)</w:t>
            </w:r>
          </w:p>
        </w:tc>
        <w:tc>
          <w:tcPr>
            <w:tcW w:w="1572" w:type="dxa"/>
            <w:vAlign w:val="center"/>
          </w:tcPr>
          <w:p w14:paraId="4975F5B7" w14:textId="77777777" w:rsidR="00433F31" w:rsidRPr="0098660A" w:rsidRDefault="00433F31" w:rsidP="00DE6F46">
            <w:pPr>
              <w:pStyle w:val="TableText0"/>
            </w:pPr>
            <w:r w:rsidRPr="0098660A">
              <w:t>$4,456.13</w:t>
            </w:r>
          </w:p>
        </w:tc>
        <w:tc>
          <w:tcPr>
            <w:tcW w:w="1646" w:type="dxa"/>
            <w:vAlign w:val="center"/>
          </w:tcPr>
          <w:p w14:paraId="4D604393" w14:textId="77777777" w:rsidR="00433F31" w:rsidRPr="0098660A" w:rsidRDefault="00433F31" w:rsidP="00DE6F46">
            <w:pPr>
              <w:pStyle w:val="TableText0"/>
            </w:pPr>
            <w:r w:rsidRPr="0098660A">
              <w:t>$72,052.36</w:t>
            </w:r>
          </w:p>
        </w:tc>
        <w:tc>
          <w:tcPr>
            <w:tcW w:w="2683" w:type="dxa"/>
            <w:vAlign w:val="center"/>
          </w:tcPr>
          <w:p w14:paraId="010D2CEE" w14:textId="77777777" w:rsidR="00433F31" w:rsidRPr="0098660A" w:rsidRDefault="00433F31" w:rsidP="00DE6F46">
            <w:pPr>
              <w:pStyle w:val="TableText0"/>
            </w:pPr>
            <w:r w:rsidRPr="0098660A">
              <w:t>= A x D</w:t>
            </w:r>
          </w:p>
        </w:tc>
      </w:tr>
      <w:tr w:rsidR="00433F31" w:rsidRPr="0098660A" w14:paraId="06B0D9AC" w14:textId="77777777" w:rsidTr="00C678F3">
        <w:tc>
          <w:tcPr>
            <w:tcW w:w="3116" w:type="dxa"/>
            <w:vAlign w:val="center"/>
          </w:tcPr>
          <w:p w14:paraId="0C750611" w14:textId="77777777" w:rsidR="00433F31" w:rsidRPr="0098660A" w:rsidRDefault="00433F31" w:rsidP="00DE6F46">
            <w:pPr>
              <w:pStyle w:val="TableText0"/>
            </w:pPr>
            <w:r w:rsidRPr="0098660A">
              <w:t>Number of administrations per year (F)</w:t>
            </w:r>
          </w:p>
        </w:tc>
        <w:tc>
          <w:tcPr>
            <w:tcW w:w="1572" w:type="dxa"/>
            <w:vAlign w:val="center"/>
          </w:tcPr>
          <w:p w14:paraId="007681BD" w14:textId="77777777" w:rsidR="00433F31" w:rsidRPr="0098660A" w:rsidRDefault="00433F31" w:rsidP="00DE6F46">
            <w:pPr>
              <w:pStyle w:val="TableText0"/>
            </w:pPr>
            <w:r w:rsidRPr="0098660A">
              <w:t>105.49</w:t>
            </w:r>
          </w:p>
        </w:tc>
        <w:tc>
          <w:tcPr>
            <w:tcW w:w="1646" w:type="dxa"/>
            <w:vAlign w:val="center"/>
          </w:tcPr>
          <w:p w14:paraId="5D5BCEAE" w14:textId="77777777" w:rsidR="00433F31" w:rsidRPr="0098660A" w:rsidRDefault="00433F31" w:rsidP="00DE6F46">
            <w:pPr>
              <w:pStyle w:val="TableText0"/>
            </w:pPr>
            <w:r w:rsidRPr="0098660A">
              <w:t>6.50</w:t>
            </w:r>
          </w:p>
        </w:tc>
        <w:tc>
          <w:tcPr>
            <w:tcW w:w="2683" w:type="dxa"/>
            <w:vAlign w:val="center"/>
          </w:tcPr>
          <w:p w14:paraId="2614CAB2" w14:textId="77777777" w:rsidR="00433F31" w:rsidRPr="0098660A" w:rsidRDefault="00433F31" w:rsidP="00DE6F46">
            <w:pPr>
              <w:pStyle w:val="TableText0"/>
            </w:pPr>
            <w:r w:rsidRPr="0098660A">
              <w:t>Equi-effective doses</w:t>
            </w:r>
          </w:p>
        </w:tc>
      </w:tr>
      <w:tr w:rsidR="00433F31" w:rsidRPr="0098660A" w14:paraId="437830F5" w14:textId="77777777" w:rsidTr="00C678F3">
        <w:tc>
          <w:tcPr>
            <w:tcW w:w="3116" w:type="dxa"/>
            <w:vAlign w:val="center"/>
          </w:tcPr>
          <w:p w14:paraId="499B4824" w14:textId="77777777" w:rsidR="00433F31" w:rsidRPr="0098660A" w:rsidRDefault="00433F31" w:rsidP="00DE6F46">
            <w:pPr>
              <w:pStyle w:val="TableText0"/>
            </w:pPr>
            <w:r w:rsidRPr="0098660A">
              <w:t>Drug cost per year (G)</w:t>
            </w:r>
          </w:p>
        </w:tc>
        <w:tc>
          <w:tcPr>
            <w:tcW w:w="1572" w:type="dxa"/>
            <w:vAlign w:val="center"/>
          </w:tcPr>
          <w:p w14:paraId="652B70CE" w14:textId="77777777" w:rsidR="00433F31" w:rsidRPr="0098660A" w:rsidRDefault="00433F31" w:rsidP="00DE6F46">
            <w:pPr>
              <w:pStyle w:val="TableText0"/>
            </w:pPr>
            <w:r w:rsidRPr="0098660A">
              <w:t>$470,084.12</w:t>
            </w:r>
          </w:p>
        </w:tc>
        <w:tc>
          <w:tcPr>
            <w:tcW w:w="1646" w:type="dxa"/>
            <w:vAlign w:val="center"/>
          </w:tcPr>
          <w:p w14:paraId="4E9385F9" w14:textId="77777777" w:rsidR="00433F31" w:rsidRPr="0098660A" w:rsidRDefault="00433F31" w:rsidP="00DE6F46">
            <w:pPr>
              <w:pStyle w:val="TableText0"/>
            </w:pPr>
            <w:r w:rsidRPr="0098660A">
              <w:t>$468,340.31</w:t>
            </w:r>
          </w:p>
        </w:tc>
        <w:tc>
          <w:tcPr>
            <w:tcW w:w="2683" w:type="dxa"/>
            <w:vAlign w:val="center"/>
          </w:tcPr>
          <w:p w14:paraId="0C8773F5" w14:textId="77777777" w:rsidR="00433F31" w:rsidRPr="0098660A" w:rsidRDefault="00433F31" w:rsidP="00DE6F46">
            <w:pPr>
              <w:pStyle w:val="TableText0"/>
            </w:pPr>
            <w:r w:rsidRPr="0098660A">
              <w:t>= E x F</w:t>
            </w:r>
          </w:p>
        </w:tc>
      </w:tr>
      <w:tr w:rsidR="00433F31" w:rsidRPr="0098660A" w14:paraId="56531750" w14:textId="77777777" w:rsidTr="00C678F3">
        <w:tc>
          <w:tcPr>
            <w:tcW w:w="3116" w:type="dxa"/>
            <w:vAlign w:val="center"/>
          </w:tcPr>
          <w:p w14:paraId="74FAEE42" w14:textId="77777777" w:rsidR="00433F31" w:rsidRPr="0098660A" w:rsidRDefault="00433F31" w:rsidP="00DE6F46">
            <w:pPr>
              <w:pStyle w:val="TableText0"/>
            </w:pPr>
            <w:r w:rsidRPr="0098660A">
              <w:t>Administration cost per IV infusion (H)</w:t>
            </w:r>
          </w:p>
        </w:tc>
        <w:tc>
          <w:tcPr>
            <w:tcW w:w="1572" w:type="dxa"/>
            <w:vAlign w:val="center"/>
          </w:tcPr>
          <w:p w14:paraId="59935036" w14:textId="77777777" w:rsidR="00433F31" w:rsidRPr="0098660A" w:rsidRDefault="00433F31" w:rsidP="00DE6F46">
            <w:pPr>
              <w:pStyle w:val="TableText0"/>
            </w:pPr>
            <w:r w:rsidRPr="0098660A">
              <w:t>–</w:t>
            </w:r>
          </w:p>
        </w:tc>
        <w:tc>
          <w:tcPr>
            <w:tcW w:w="1646" w:type="dxa"/>
            <w:vAlign w:val="center"/>
          </w:tcPr>
          <w:p w14:paraId="037919BD" w14:textId="77777777" w:rsidR="00433F31" w:rsidRPr="0098660A" w:rsidRDefault="00433F31" w:rsidP="00DE6F46">
            <w:pPr>
              <w:pStyle w:val="TableText0"/>
            </w:pPr>
            <w:r w:rsidRPr="0098660A">
              <w:t>$317.64</w:t>
            </w:r>
          </w:p>
        </w:tc>
        <w:tc>
          <w:tcPr>
            <w:tcW w:w="2683" w:type="dxa"/>
            <w:vAlign w:val="center"/>
          </w:tcPr>
          <w:p w14:paraId="57DD0D46" w14:textId="40F56F89" w:rsidR="00433F31" w:rsidRPr="0098660A" w:rsidRDefault="00433F31" w:rsidP="00DE6F46">
            <w:pPr>
              <w:pStyle w:val="TableText0"/>
            </w:pPr>
            <w:r w:rsidRPr="0098660A">
              <w:t>Weighted administration price based on MBS item 14245</w:t>
            </w:r>
            <w:r w:rsidRPr="0098660A">
              <w:rPr>
                <w:vertAlign w:val="superscript"/>
              </w:rPr>
              <w:t>a</w:t>
            </w:r>
            <w:r w:rsidRPr="0098660A">
              <w:t xml:space="preserve"> and cost for non-admitted hospital care </w:t>
            </w:r>
            <w:proofErr w:type="spellStart"/>
            <w:r w:rsidRPr="0098660A">
              <w:t>services</w:t>
            </w:r>
            <w:r w:rsidRPr="0098660A">
              <w:rPr>
                <w:vertAlign w:val="superscript"/>
              </w:rPr>
              <w:t>b</w:t>
            </w:r>
            <w:proofErr w:type="spellEnd"/>
          </w:p>
        </w:tc>
      </w:tr>
      <w:tr w:rsidR="00433F31" w:rsidRPr="0098660A" w14:paraId="71A74216" w14:textId="77777777" w:rsidTr="00C678F3">
        <w:tc>
          <w:tcPr>
            <w:tcW w:w="3116" w:type="dxa"/>
            <w:vAlign w:val="center"/>
          </w:tcPr>
          <w:p w14:paraId="4CB22C95" w14:textId="77777777" w:rsidR="00433F31" w:rsidRPr="0098660A" w:rsidRDefault="00433F31" w:rsidP="00DE6F46">
            <w:pPr>
              <w:pStyle w:val="TableText0"/>
            </w:pPr>
            <w:r w:rsidRPr="0098660A">
              <w:t>Administration cost per year (I)</w:t>
            </w:r>
          </w:p>
        </w:tc>
        <w:tc>
          <w:tcPr>
            <w:tcW w:w="1572" w:type="dxa"/>
            <w:vAlign w:val="center"/>
          </w:tcPr>
          <w:p w14:paraId="6A6525C5" w14:textId="77777777" w:rsidR="00433F31" w:rsidRPr="0098660A" w:rsidRDefault="00433F31" w:rsidP="00DE6F46">
            <w:pPr>
              <w:pStyle w:val="TableText0"/>
            </w:pPr>
            <w:r w:rsidRPr="0098660A">
              <w:t>–</w:t>
            </w:r>
          </w:p>
        </w:tc>
        <w:tc>
          <w:tcPr>
            <w:tcW w:w="1646" w:type="dxa"/>
            <w:vAlign w:val="center"/>
          </w:tcPr>
          <w:p w14:paraId="4566E802" w14:textId="77777777" w:rsidR="00433F31" w:rsidRPr="0098660A" w:rsidRDefault="00433F31" w:rsidP="00DE6F46">
            <w:pPr>
              <w:pStyle w:val="TableText0"/>
            </w:pPr>
            <w:r w:rsidRPr="0098660A">
              <w:t>$2,064.66</w:t>
            </w:r>
          </w:p>
        </w:tc>
        <w:tc>
          <w:tcPr>
            <w:tcW w:w="2683" w:type="dxa"/>
            <w:vAlign w:val="center"/>
          </w:tcPr>
          <w:p w14:paraId="17DF6EB8" w14:textId="77777777" w:rsidR="00433F31" w:rsidRPr="0098660A" w:rsidRDefault="00433F31" w:rsidP="00DE6F46">
            <w:pPr>
              <w:pStyle w:val="TableText0"/>
            </w:pPr>
            <w:r w:rsidRPr="0098660A">
              <w:t>= H x F</w:t>
            </w:r>
          </w:p>
        </w:tc>
      </w:tr>
      <w:tr w:rsidR="00433F31" w:rsidRPr="0098660A" w14:paraId="014574EC" w14:textId="77777777" w:rsidTr="00C678F3">
        <w:tc>
          <w:tcPr>
            <w:tcW w:w="3116" w:type="dxa"/>
            <w:vAlign w:val="center"/>
          </w:tcPr>
          <w:p w14:paraId="389F3D81" w14:textId="77777777" w:rsidR="00433F31" w:rsidRPr="0098660A" w:rsidRDefault="00433F31" w:rsidP="00DE6F46">
            <w:pPr>
              <w:pStyle w:val="TableText0"/>
            </w:pPr>
            <w:r w:rsidRPr="0098660A">
              <w:t>Vaccine cost per patient (J)</w:t>
            </w:r>
          </w:p>
        </w:tc>
        <w:tc>
          <w:tcPr>
            <w:tcW w:w="1572" w:type="dxa"/>
            <w:vAlign w:val="center"/>
          </w:tcPr>
          <w:p w14:paraId="50074CE9" w14:textId="77777777" w:rsidR="00433F31" w:rsidRPr="0098660A" w:rsidRDefault="00433F31" w:rsidP="00DE6F46">
            <w:pPr>
              <w:pStyle w:val="TableText0"/>
            </w:pPr>
            <w:r w:rsidRPr="0098660A">
              <w:t>$320.85</w:t>
            </w:r>
          </w:p>
        </w:tc>
        <w:tc>
          <w:tcPr>
            <w:tcW w:w="1646" w:type="dxa"/>
            <w:vAlign w:val="center"/>
          </w:tcPr>
          <w:p w14:paraId="431E78AF" w14:textId="77777777" w:rsidR="00433F31" w:rsidRPr="0098660A" w:rsidRDefault="00433F31" w:rsidP="00DE6F46">
            <w:pPr>
              <w:pStyle w:val="TableText0"/>
            </w:pPr>
            <w:r w:rsidRPr="0098660A">
              <w:t>–</w:t>
            </w:r>
          </w:p>
        </w:tc>
        <w:tc>
          <w:tcPr>
            <w:tcW w:w="2683" w:type="dxa"/>
            <w:vAlign w:val="center"/>
          </w:tcPr>
          <w:p w14:paraId="0308BCF3" w14:textId="77777777" w:rsidR="00433F31" w:rsidRPr="0098660A" w:rsidRDefault="00433F31" w:rsidP="00DE6F46">
            <w:pPr>
              <w:pStyle w:val="TableText0"/>
            </w:pPr>
            <w:r w:rsidRPr="0098660A">
              <w:t xml:space="preserve">Vaccinations against pneumococcal disease and HIB </w:t>
            </w:r>
            <w:proofErr w:type="spellStart"/>
            <w:r w:rsidRPr="0098660A">
              <w:t>infection</w:t>
            </w:r>
            <w:r w:rsidRPr="0098660A">
              <w:rPr>
                <w:vertAlign w:val="superscript"/>
              </w:rPr>
              <w:t>c</w:t>
            </w:r>
            <w:proofErr w:type="spellEnd"/>
          </w:p>
        </w:tc>
      </w:tr>
      <w:tr w:rsidR="00433F31" w:rsidRPr="0098660A" w14:paraId="198B55B9" w14:textId="77777777" w:rsidTr="00C678F3">
        <w:tc>
          <w:tcPr>
            <w:tcW w:w="3116" w:type="dxa"/>
            <w:vAlign w:val="center"/>
          </w:tcPr>
          <w:p w14:paraId="60A32F84" w14:textId="77777777" w:rsidR="00433F31" w:rsidRPr="0098660A" w:rsidRDefault="00433F31" w:rsidP="00DE6F46">
            <w:pPr>
              <w:pStyle w:val="TableText0"/>
            </w:pPr>
            <w:r w:rsidRPr="0098660A">
              <w:t>Total cost per year (K)</w:t>
            </w:r>
          </w:p>
        </w:tc>
        <w:tc>
          <w:tcPr>
            <w:tcW w:w="1572" w:type="dxa"/>
            <w:vAlign w:val="center"/>
          </w:tcPr>
          <w:p w14:paraId="6F62CB1D" w14:textId="77777777" w:rsidR="00433F31" w:rsidRPr="0098660A" w:rsidRDefault="00433F31" w:rsidP="00DE6F46">
            <w:pPr>
              <w:pStyle w:val="TableText0"/>
            </w:pPr>
            <w:r w:rsidRPr="0098660A">
              <w:t>$470,404.97</w:t>
            </w:r>
          </w:p>
        </w:tc>
        <w:tc>
          <w:tcPr>
            <w:tcW w:w="1646" w:type="dxa"/>
            <w:vAlign w:val="center"/>
          </w:tcPr>
          <w:p w14:paraId="3C170169" w14:textId="77777777" w:rsidR="00433F31" w:rsidRPr="0098660A" w:rsidRDefault="00433F31" w:rsidP="00DE6F46">
            <w:pPr>
              <w:pStyle w:val="TableText0"/>
            </w:pPr>
            <w:r w:rsidRPr="0098660A">
              <w:t>$470,404.97</w:t>
            </w:r>
          </w:p>
        </w:tc>
        <w:tc>
          <w:tcPr>
            <w:tcW w:w="2683" w:type="dxa"/>
            <w:vAlign w:val="center"/>
          </w:tcPr>
          <w:p w14:paraId="599DE5F2" w14:textId="77777777" w:rsidR="00433F31" w:rsidRPr="0098660A" w:rsidRDefault="00433F31" w:rsidP="00DE6F46">
            <w:pPr>
              <w:pStyle w:val="TableText0"/>
            </w:pPr>
            <w:r w:rsidRPr="0098660A">
              <w:t>= G + I + J</w:t>
            </w:r>
          </w:p>
        </w:tc>
      </w:tr>
    </w:tbl>
    <w:p w14:paraId="116467C3" w14:textId="77777777" w:rsidR="00433F31" w:rsidRPr="0098660A" w:rsidRDefault="00433F31" w:rsidP="00400A4E">
      <w:pPr>
        <w:pStyle w:val="TableFigureFooter"/>
      </w:pPr>
      <w:r w:rsidRPr="0098660A">
        <w:t>Source: Table compiled during the evaluation, based on Table 3-4 and Table 3-5, p93 of the submission; “Attachment 3.1 Pegcetacoplan 1L CMA” Excel workbook</w:t>
      </w:r>
    </w:p>
    <w:p w14:paraId="53ED573D" w14:textId="409DF5A2" w:rsidR="00433F31" w:rsidRPr="0098660A" w:rsidRDefault="00433F31" w:rsidP="00400A4E">
      <w:pPr>
        <w:pStyle w:val="TableFigureFooter"/>
      </w:pPr>
      <w:r w:rsidRPr="0098660A">
        <w:t xml:space="preserve">HIB = </w:t>
      </w:r>
      <w:r w:rsidR="00400A4E" w:rsidRPr="0098660A">
        <w:t>h</w:t>
      </w:r>
      <w:r w:rsidRPr="0098660A">
        <w:t xml:space="preserve">aemophilus influenzae </w:t>
      </w:r>
      <w:r w:rsidR="00400A4E" w:rsidRPr="0098660A">
        <w:t>t</w:t>
      </w:r>
      <w:r w:rsidRPr="0098660A">
        <w:t xml:space="preserve">ype B; IV = intravenous; </w:t>
      </w:r>
      <w:r w:rsidR="00400A4E" w:rsidRPr="0098660A">
        <w:t xml:space="preserve">MBS = Medicare Benefits Schedule; </w:t>
      </w:r>
      <w:r w:rsidRPr="0098660A">
        <w:t>NEP = National Efficient Price; PBS = Pharmaceutical Benefits Scheme</w:t>
      </w:r>
    </w:p>
    <w:p w14:paraId="5338B03A" w14:textId="77777777" w:rsidR="00433F31" w:rsidRPr="0098660A" w:rsidRDefault="00433F31" w:rsidP="00400A4E">
      <w:pPr>
        <w:pStyle w:val="TableFigureFooter"/>
      </w:pPr>
      <w:proofErr w:type="gramStart"/>
      <w:r w:rsidRPr="0098660A">
        <w:rPr>
          <w:vertAlign w:val="superscript"/>
        </w:rPr>
        <w:t>a</w:t>
      </w:r>
      <w:proofErr w:type="gramEnd"/>
      <w:r w:rsidRPr="0098660A">
        <w:rPr>
          <w:vertAlign w:val="superscript"/>
        </w:rPr>
        <w:t xml:space="preserve"> </w:t>
      </w:r>
      <w:r w:rsidRPr="0098660A">
        <w:t>MBS item 14245 (schedule fee 111.60): Immunomodulating agent, administration of, by intravenous infusion for at least 2 hours duration - payable once only on the same day and where the agent is provided under section 100 of the Pharmaceutical Benefits Scheme.</w:t>
      </w:r>
    </w:p>
    <w:p w14:paraId="40CD7E95" w14:textId="77777777" w:rsidR="00433F31" w:rsidRPr="0098660A" w:rsidRDefault="00433F31" w:rsidP="00400A4E">
      <w:pPr>
        <w:pStyle w:val="TableFigureFooter"/>
      </w:pPr>
      <w:r w:rsidRPr="0098660A">
        <w:rPr>
          <w:vertAlign w:val="superscript"/>
        </w:rPr>
        <w:t>b</w:t>
      </w:r>
      <w:r w:rsidRPr="0098660A">
        <w:t xml:space="preserve"> NEP of $6,464, adjusted with price weight for Tier 2 non-admitted hospital code 40.48 – Haematology and immunology (0.0541).</w:t>
      </w:r>
    </w:p>
    <w:p w14:paraId="267DE7FB" w14:textId="6FECCF5C" w:rsidR="00433F31" w:rsidRPr="0098660A" w:rsidRDefault="00433F31" w:rsidP="005650CE">
      <w:pPr>
        <w:pStyle w:val="TableFigureFooter"/>
        <w:spacing w:after="120"/>
      </w:pPr>
      <w:r w:rsidRPr="0098660A">
        <w:rPr>
          <w:vertAlign w:val="superscript"/>
        </w:rPr>
        <w:t>c</w:t>
      </w:r>
      <w:r w:rsidRPr="0098660A">
        <w:t xml:space="preserve"> </w:t>
      </w:r>
      <w:proofErr w:type="spellStart"/>
      <w:r w:rsidRPr="0098660A">
        <w:rPr>
          <w:i/>
          <w:iCs/>
        </w:rPr>
        <w:t>S.pneumoniae</w:t>
      </w:r>
      <w:proofErr w:type="spellEnd"/>
      <w:r w:rsidRPr="0098660A">
        <w:rPr>
          <w:i/>
          <w:iCs/>
        </w:rPr>
        <w:t xml:space="preserve"> 13vPCV</w:t>
      </w:r>
      <w:r w:rsidRPr="0098660A">
        <w:t xml:space="preserve"> administered once over patient lifetime (unit price $85.46 + administration cost $42.85 = $128.31) plus </w:t>
      </w:r>
      <w:proofErr w:type="spellStart"/>
      <w:r w:rsidRPr="0098660A">
        <w:rPr>
          <w:i/>
          <w:iCs/>
        </w:rPr>
        <w:t>S.pneumoniae</w:t>
      </w:r>
      <w:proofErr w:type="spellEnd"/>
      <w:r w:rsidRPr="0098660A">
        <w:rPr>
          <w:i/>
          <w:iCs/>
        </w:rPr>
        <w:t xml:space="preserve"> 23PPV</w:t>
      </w:r>
      <w:r w:rsidRPr="0098660A">
        <w:t xml:space="preserve"> administered twice over patient lifetime ([$38.93 + 42.85] x 2 = $163.56) plus </w:t>
      </w:r>
      <w:r w:rsidRPr="0098660A">
        <w:rPr>
          <w:i/>
          <w:iCs/>
        </w:rPr>
        <w:t xml:space="preserve">H. influenzae Type B </w:t>
      </w:r>
      <w:r w:rsidRPr="0098660A">
        <w:t>administered once over patient</w:t>
      </w:r>
      <w:r w:rsidR="004706B1" w:rsidRPr="0098660A">
        <w:t>’</w:t>
      </w:r>
      <w:r w:rsidRPr="0098660A">
        <w:t>s lifetime ($28.98 + $0.00 = $28.98).</w:t>
      </w:r>
    </w:p>
    <w:p w14:paraId="47395775" w14:textId="2ED5DF98" w:rsidR="00433F31" w:rsidRPr="0098660A" w:rsidRDefault="00433F31" w:rsidP="00433F31">
      <w:pPr>
        <w:pStyle w:val="3-BodyText"/>
      </w:pPr>
      <w:bookmarkStart w:id="74" w:name="_Ref190335343"/>
      <w:r w:rsidRPr="0098660A">
        <w:t xml:space="preserve">Of note, the cost-minimised price for pegcetacoplan from the submission’s base case analysis </w:t>
      </w:r>
      <w:r w:rsidR="00720D37" w:rsidRPr="0098660A">
        <w:t>wa</w:t>
      </w:r>
      <w:r w:rsidRPr="0098660A">
        <w:t>s higher than the proposed published price for pegcetacoplan ($4,456.13 vs. $4,343.86 per 1,080 mg vial).</w:t>
      </w:r>
      <w:bookmarkEnd w:id="74"/>
      <w:r w:rsidR="00675710" w:rsidRPr="0098660A">
        <w:t xml:space="preserve"> However, this </w:t>
      </w:r>
      <w:r w:rsidR="00165C83" w:rsidRPr="0098660A">
        <w:t xml:space="preserve">does </w:t>
      </w:r>
      <w:r w:rsidR="00675710" w:rsidRPr="0098660A">
        <w:t>not reflect the price using the CIC</w:t>
      </w:r>
      <w:r w:rsidR="00AD4119" w:rsidRPr="0098660A">
        <w:t xml:space="preserve"> effective ravulizumab price.</w:t>
      </w:r>
    </w:p>
    <w:p w14:paraId="7DDD0415" w14:textId="7565288A" w:rsidR="00433F31" w:rsidRPr="0098660A" w:rsidRDefault="00433F31" w:rsidP="00433F31">
      <w:pPr>
        <w:pStyle w:val="3-BodyText"/>
      </w:pPr>
      <w:r w:rsidRPr="0098660A">
        <w:fldChar w:fldCharType="begin"/>
      </w:r>
      <w:r w:rsidRPr="0098660A">
        <w:instrText xml:space="preserve"> REF _Ref188979674 \h </w:instrText>
      </w:r>
      <w:r w:rsidR="00284BE4" w:rsidRPr="0098660A">
        <w:instrText xml:space="preserve"> \* MERGEFORMAT </w:instrText>
      </w:r>
      <w:r w:rsidRPr="0098660A">
        <w:fldChar w:fldCharType="separate"/>
      </w:r>
      <w:r w:rsidR="00134128" w:rsidRPr="0098660A">
        <w:t xml:space="preserve">Table </w:t>
      </w:r>
      <w:r w:rsidR="00134128">
        <w:t>11</w:t>
      </w:r>
      <w:r w:rsidRPr="0098660A">
        <w:fldChar w:fldCharType="end"/>
      </w:r>
      <w:r w:rsidRPr="0098660A">
        <w:t xml:space="preserve"> summarises the sensitivity analyses presented in the submission by changing the proportion of patients receiving more frequent dose of 1,080 mg every 3 days. Additional analyses were performed during the evaluation surrounding the administration cost</w:t>
      </w:r>
      <w:r w:rsidR="00400A4E" w:rsidRPr="0098660A">
        <w:t>s</w:t>
      </w:r>
      <w:r w:rsidRPr="0098660A">
        <w:t>.</w:t>
      </w:r>
    </w:p>
    <w:p w14:paraId="22F29F01" w14:textId="776A68B2" w:rsidR="00433F31" w:rsidRPr="0098660A" w:rsidRDefault="00433F31" w:rsidP="00433F31">
      <w:pPr>
        <w:pStyle w:val="Caption"/>
      </w:pPr>
      <w:bookmarkStart w:id="75" w:name="_Ref188979674"/>
      <w:r w:rsidRPr="0098660A">
        <w:lastRenderedPageBreak/>
        <w:t xml:space="preserve">Table </w:t>
      </w:r>
      <w:r w:rsidR="00ED489E" w:rsidRPr="0098660A">
        <w:fldChar w:fldCharType="begin"/>
      </w:r>
      <w:r w:rsidR="00ED489E" w:rsidRPr="0098660A">
        <w:instrText xml:space="preserve"> SEQ Table \* ARABIC </w:instrText>
      </w:r>
      <w:r w:rsidR="00ED489E" w:rsidRPr="0098660A">
        <w:fldChar w:fldCharType="separate"/>
      </w:r>
      <w:r w:rsidR="00134128">
        <w:rPr>
          <w:noProof/>
        </w:rPr>
        <w:t>11</w:t>
      </w:r>
      <w:r w:rsidR="00ED489E" w:rsidRPr="0098660A">
        <w:fldChar w:fldCharType="end"/>
      </w:r>
      <w:bookmarkEnd w:id="75"/>
      <w:r w:rsidRPr="0098660A">
        <w:t>: Results of sensitivity analyses</w:t>
      </w:r>
    </w:p>
    <w:tbl>
      <w:tblPr>
        <w:tblStyle w:val="TableGrid"/>
        <w:tblW w:w="5000" w:type="pct"/>
        <w:tblLook w:val="04A0" w:firstRow="1" w:lastRow="0" w:firstColumn="1" w:lastColumn="0" w:noHBand="0" w:noVBand="1"/>
      </w:tblPr>
      <w:tblGrid>
        <w:gridCol w:w="4716"/>
        <w:gridCol w:w="2498"/>
        <w:gridCol w:w="1803"/>
      </w:tblGrid>
      <w:tr w:rsidR="00433F31" w:rsidRPr="0098660A" w14:paraId="2AC2A50E" w14:textId="77777777">
        <w:tc>
          <w:tcPr>
            <w:tcW w:w="2615" w:type="pct"/>
            <w:vAlign w:val="center"/>
          </w:tcPr>
          <w:p w14:paraId="50CAA920" w14:textId="77777777" w:rsidR="00433F31" w:rsidRPr="0098660A" w:rsidRDefault="00433F31" w:rsidP="00DE6F46">
            <w:pPr>
              <w:pStyle w:val="TableText0"/>
            </w:pPr>
            <w:r w:rsidRPr="0098660A">
              <w:t>Analyses</w:t>
            </w:r>
          </w:p>
        </w:tc>
        <w:tc>
          <w:tcPr>
            <w:tcW w:w="1385" w:type="pct"/>
            <w:vAlign w:val="center"/>
          </w:tcPr>
          <w:p w14:paraId="09C72092" w14:textId="77777777" w:rsidR="00433F31" w:rsidRPr="0098660A" w:rsidRDefault="00433F31" w:rsidP="00DE6F46">
            <w:pPr>
              <w:pStyle w:val="TableText0"/>
            </w:pPr>
            <w:r w:rsidRPr="0098660A">
              <w:t>Cost-minimised price for pegcetacoplan per vial</w:t>
            </w:r>
          </w:p>
        </w:tc>
        <w:tc>
          <w:tcPr>
            <w:tcW w:w="1000" w:type="pct"/>
            <w:vAlign w:val="center"/>
          </w:tcPr>
          <w:p w14:paraId="373942C1" w14:textId="77777777" w:rsidR="00433F31" w:rsidRPr="0098660A" w:rsidRDefault="00433F31" w:rsidP="00DE6F46">
            <w:pPr>
              <w:pStyle w:val="TableText0"/>
            </w:pPr>
            <w:r w:rsidRPr="0098660A">
              <w:t>% change from base case</w:t>
            </w:r>
          </w:p>
        </w:tc>
      </w:tr>
      <w:tr w:rsidR="00433F31" w:rsidRPr="0098660A" w14:paraId="71802B6E" w14:textId="77777777">
        <w:tc>
          <w:tcPr>
            <w:tcW w:w="2615" w:type="pct"/>
            <w:tcBorders>
              <w:bottom w:val="single" w:sz="4" w:space="0" w:color="auto"/>
            </w:tcBorders>
            <w:vAlign w:val="center"/>
          </w:tcPr>
          <w:p w14:paraId="0842D3BF" w14:textId="77777777" w:rsidR="00433F31" w:rsidRPr="0098660A" w:rsidRDefault="00433F31" w:rsidP="00DE6F46">
            <w:pPr>
              <w:pStyle w:val="TableText0"/>
            </w:pPr>
            <w:r w:rsidRPr="0098660A">
              <w:t>Base case</w:t>
            </w:r>
          </w:p>
        </w:tc>
        <w:tc>
          <w:tcPr>
            <w:tcW w:w="1385" w:type="pct"/>
            <w:tcBorders>
              <w:bottom w:val="single" w:sz="4" w:space="0" w:color="auto"/>
            </w:tcBorders>
            <w:vAlign w:val="center"/>
          </w:tcPr>
          <w:p w14:paraId="06C1E8B5" w14:textId="77777777" w:rsidR="00433F31" w:rsidRPr="0098660A" w:rsidRDefault="00433F31" w:rsidP="00DE6F46">
            <w:pPr>
              <w:pStyle w:val="TableText0"/>
            </w:pPr>
            <w:r w:rsidRPr="0098660A">
              <w:t>$4,456.13</w:t>
            </w:r>
          </w:p>
        </w:tc>
        <w:tc>
          <w:tcPr>
            <w:tcW w:w="1000" w:type="pct"/>
            <w:tcBorders>
              <w:bottom w:val="single" w:sz="4" w:space="0" w:color="auto"/>
            </w:tcBorders>
            <w:vAlign w:val="center"/>
          </w:tcPr>
          <w:p w14:paraId="58092292" w14:textId="77777777" w:rsidR="00433F31" w:rsidRPr="0098660A" w:rsidRDefault="00433F31" w:rsidP="00DE6F46">
            <w:pPr>
              <w:pStyle w:val="TableText0"/>
            </w:pPr>
            <w:r w:rsidRPr="0098660A">
              <w:t>–</w:t>
            </w:r>
          </w:p>
        </w:tc>
      </w:tr>
      <w:tr w:rsidR="00433F31" w:rsidRPr="0098660A" w14:paraId="304F8559" w14:textId="77777777">
        <w:tc>
          <w:tcPr>
            <w:tcW w:w="2615" w:type="pct"/>
            <w:tcBorders>
              <w:right w:val="nil"/>
            </w:tcBorders>
            <w:vAlign w:val="center"/>
          </w:tcPr>
          <w:p w14:paraId="5D0F067B" w14:textId="77777777" w:rsidR="00433F31" w:rsidRPr="0098660A" w:rsidRDefault="00433F31" w:rsidP="00DE6F46">
            <w:pPr>
              <w:pStyle w:val="TableText0"/>
            </w:pPr>
            <w:r w:rsidRPr="0098660A">
              <w:t>Univariate sensitivity analyses</w:t>
            </w:r>
          </w:p>
        </w:tc>
        <w:tc>
          <w:tcPr>
            <w:tcW w:w="1385" w:type="pct"/>
            <w:tcBorders>
              <w:left w:val="nil"/>
              <w:right w:val="nil"/>
            </w:tcBorders>
            <w:vAlign w:val="center"/>
          </w:tcPr>
          <w:p w14:paraId="24788FB3" w14:textId="77777777" w:rsidR="00433F31" w:rsidRPr="0098660A" w:rsidRDefault="00433F31" w:rsidP="00DE6F46">
            <w:pPr>
              <w:pStyle w:val="TableText0"/>
            </w:pPr>
          </w:p>
        </w:tc>
        <w:tc>
          <w:tcPr>
            <w:tcW w:w="1000" w:type="pct"/>
            <w:tcBorders>
              <w:left w:val="nil"/>
            </w:tcBorders>
            <w:vAlign w:val="center"/>
          </w:tcPr>
          <w:p w14:paraId="402D98E6" w14:textId="77777777" w:rsidR="00433F31" w:rsidRPr="0098660A" w:rsidRDefault="00433F31" w:rsidP="00DE6F46">
            <w:pPr>
              <w:pStyle w:val="TableText0"/>
            </w:pPr>
          </w:p>
        </w:tc>
      </w:tr>
      <w:tr w:rsidR="00433F31" w:rsidRPr="0098660A" w14:paraId="3537A814" w14:textId="77777777">
        <w:tc>
          <w:tcPr>
            <w:tcW w:w="5000" w:type="pct"/>
            <w:gridSpan w:val="3"/>
            <w:vAlign w:val="center"/>
          </w:tcPr>
          <w:p w14:paraId="75BB8058" w14:textId="77777777" w:rsidR="00433F31" w:rsidRPr="0098660A" w:rsidRDefault="00433F31" w:rsidP="00DE6F46">
            <w:pPr>
              <w:pStyle w:val="TableText0"/>
              <w:rPr>
                <w:b/>
              </w:rPr>
            </w:pPr>
            <w:r w:rsidRPr="0098660A">
              <w:t>% receiving pegcetacoplan 1,080 mg once every 3 days (base case: 6.5%, PRINCE trial data)</w:t>
            </w:r>
          </w:p>
        </w:tc>
      </w:tr>
      <w:tr w:rsidR="00433F31" w:rsidRPr="0098660A" w14:paraId="6D9E4AF9" w14:textId="77777777">
        <w:tc>
          <w:tcPr>
            <w:tcW w:w="2615" w:type="pct"/>
            <w:vAlign w:val="center"/>
          </w:tcPr>
          <w:p w14:paraId="3337E7B3" w14:textId="2C2EC3C7" w:rsidR="00433F31" w:rsidRPr="0098660A" w:rsidRDefault="00433F31" w:rsidP="00DE6F46">
            <w:pPr>
              <w:pStyle w:val="TableText0"/>
            </w:pPr>
            <w:r w:rsidRPr="0098660A">
              <w:t>26%</w:t>
            </w:r>
            <w:r w:rsidR="004D5C07" w:rsidRPr="0098660A">
              <w:rPr>
                <w:vertAlign w:val="superscript"/>
              </w:rPr>
              <w:t>a</w:t>
            </w:r>
            <w:r w:rsidRPr="0098660A">
              <w:t xml:space="preserve"> (extension study data) #1</w:t>
            </w:r>
          </w:p>
        </w:tc>
        <w:tc>
          <w:tcPr>
            <w:tcW w:w="1385" w:type="pct"/>
          </w:tcPr>
          <w:p w14:paraId="02C08F1B" w14:textId="77777777" w:rsidR="00433F31" w:rsidRPr="0098660A" w:rsidRDefault="00433F31" w:rsidP="00DE6F46">
            <w:pPr>
              <w:pStyle w:val="TableText0"/>
              <w:rPr>
                <w:iCs/>
              </w:rPr>
            </w:pPr>
            <w:r w:rsidRPr="0098660A">
              <w:t>$4,317.48</w:t>
            </w:r>
          </w:p>
        </w:tc>
        <w:tc>
          <w:tcPr>
            <w:tcW w:w="1000" w:type="pct"/>
          </w:tcPr>
          <w:p w14:paraId="303EA074" w14:textId="77777777" w:rsidR="00433F31" w:rsidRPr="0098660A" w:rsidRDefault="00433F31" w:rsidP="00DE6F46">
            <w:pPr>
              <w:pStyle w:val="TableText0"/>
              <w:rPr>
                <w:iCs/>
              </w:rPr>
            </w:pPr>
            <w:r w:rsidRPr="0098660A">
              <w:t>-3.1%</w:t>
            </w:r>
          </w:p>
        </w:tc>
      </w:tr>
      <w:tr w:rsidR="00433F31" w:rsidRPr="0098660A" w14:paraId="4AF44CC1" w14:textId="77777777">
        <w:tc>
          <w:tcPr>
            <w:tcW w:w="2615" w:type="pct"/>
            <w:vAlign w:val="center"/>
          </w:tcPr>
          <w:p w14:paraId="6CAF1237" w14:textId="38FB2219" w:rsidR="00433F31" w:rsidRPr="0098660A" w:rsidRDefault="00433F31" w:rsidP="00DE6F46">
            <w:pPr>
              <w:pStyle w:val="TableText0"/>
            </w:pPr>
            <w:r w:rsidRPr="0098660A">
              <w:t>19.5%</w:t>
            </w:r>
            <w:r w:rsidR="00CF771F" w:rsidRPr="0098660A">
              <w:rPr>
                <w:vertAlign w:val="superscript"/>
              </w:rPr>
              <w:t>b</w:t>
            </w:r>
            <w:r w:rsidRPr="0098660A">
              <w:t xml:space="preserve"> (previous pegcetacoplan second-line submission) #2</w:t>
            </w:r>
          </w:p>
        </w:tc>
        <w:tc>
          <w:tcPr>
            <w:tcW w:w="1385" w:type="pct"/>
            <w:vAlign w:val="center"/>
          </w:tcPr>
          <w:p w14:paraId="135AA738" w14:textId="77777777" w:rsidR="00433F31" w:rsidRPr="0098660A" w:rsidRDefault="00433F31" w:rsidP="00DE6F46">
            <w:pPr>
              <w:pStyle w:val="TableText0"/>
              <w:rPr>
                <w:i/>
              </w:rPr>
            </w:pPr>
            <w:r w:rsidRPr="0098660A">
              <w:t>$4,362.92</w:t>
            </w:r>
          </w:p>
        </w:tc>
        <w:tc>
          <w:tcPr>
            <w:tcW w:w="1000" w:type="pct"/>
            <w:vAlign w:val="center"/>
          </w:tcPr>
          <w:p w14:paraId="17CDBDBA" w14:textId="77777777" w:rsidR="00433F31" w:rsidRPr="0098660A" w:rsidRDefault="00433F31" w:rsidP="00DE6F46">
            <w:pPr>
              <w:pStyle w:val="TableText0"/>
              <w:rPr>
                <w:i/>
              </w:rPr>
            </w:pPr>
            <w:r w:rsidRPr="0098660A">
              <w:t>-2.1%</w:t>
            </w:r>
          </w:p>
        </w:tc>
      </w:tr>
      <w:tr w:rsidR="00433F31" w:rsidRPr="0098660A" w14:paraId="3166D4E3" w14:textId="77777777">
        <w:tc>
          <w:tcPr>
            <w:tcW w:w="5000" w:type="pct"/>
            <w:gridSpan w:val="3"/>
            <w:vAlign w:val="center"/>
          </w:tcPr>
          <w:p w14:paraId="3328703E" w14:textId="77777777" w:rsidR="00433F31" w:rsidRPr="0098660A" w:rsidRDefault="00433F31" w:rsidP="00DE6F46">
            <w:pPr>
              <w:pStyle w:val="TableText0"/>
              <w:rPr>
                <w:b/>
              </w:rPr>
            </w:pPr>
            <w:r w:rsidRPr="0098660A">
              <w:t>Administration cost for ravulizumab therapy (base case: $317.64, based on MBS item 14245 and NEP adjusted with price weight for Tier 2 non-admitted hospital code 40.48)</w:t>
            </w:r>
          </w:p>
        </w:tc>
      </w:tr>
      <w:tr w:rsidR="00433F31" w:rsidRPr="0098660A" w14:paraId="753EFD34" w14:textId="77777777">
        <w:tc>
          <w:tcPr>
            <w:tcW w:w="2615" w:type="pct"/>
            <w:vAlign w:val="center"/>
          </w:tcPr>
          <w:p w14:paraId="5101E48D" w14:textId="77777777" w:rsidR="00433F31" w:rsidRPr="0098660A" w:rsidRDefault="00433F31" w:rsidP="00DE6F46">
            <w:pPr>
              <w:pStyle w:val="TableText0"/>
            </w:pPr>
            <w:r w:rsidRPr="0098660A">
              <w:t>$49.75 (MBS item 105) #3</w:t>
            </w:r>
          </w:p>
        </w:tc>
        <w:tc>
          <w:tcPr>
            <w:tcW w:w="1385" w:type="pct"/>
            <w:vAlign w:val="center"/>
          </w:tcPr>
          <w:p w14:paraId="50A9D821" w14:textId="77777777" w:rsidR="00433F31" w:rsidRPr="0098660A" w:rsidRDefault="00433F31" w:rsidP="00DE6F46">
            <w:pPr>
              <w:pStyle w:val="TableText0"/>
            </w:pPr>
            <w:r w:rsidRPr="0098660A">
              <w:t>$4,439.63</w:t>
            </w:r>
          </w:p>
        </w:tc>
        <w:tc>
          <w:tcPr>
            <w:tcW w:w="1000" w:type="pct"/>
            <w:vAlign w:val="center"/>
          </w:tcPr>
          <w:p w14:paraId="1ED53AD7" w14:textId="77777777" w:rsidR="00433F31" w:rsidRPr="0098660A" w:rsidRDefault="00433F31" w:rsidP="00DE6F46">
            <w:pPr>
              <w:pStyle w:val="TableText0"/>
            </w:pPr>
            <w:r w:rsidRPr="0098660A">
              <w:t>-0.4%</w:t>
            </w:r>
          </w:p>
        </w:tc>
      </w:tr>
      <w:tr w:rsidR="00433F31" w:rsidRPr="0098660A" w14:paraId="730A7D63" w14:textId="77777777">
        <w:tc>
          <w:tcPr>
            <w:tcW w:w="2615" w:type="pct"/>
            <w:tcBorders>
              <w:bottom w:val="single" w:sz="4" w:space="0" w:color="auto"/>
            </w:tcBorders>
            <w:vAlign w:val="center"/>
          </w:tcPr>
          <w:p w14:paraId="0C84AF73" w14:textId="77777777" w:rsidR="00433F31" w:rsidRPr="0098660A" w:rsidRDefault="00433F31" w:rsidP="00DE6F46">
            <w:pPr>
              <w:pStyle w:val="TableText0"/>
            </w:pPr>
            <w:r w:rsidRPr="0098660A">
              <w:t>$0 #4</w:t>
            </w:r>
          </w:p>
        </w:tc>
        <w:tc>
          <w:tcPr>
            <w:tcW w:w="1385" w:type="pct"/>
            <w:tcBorders>
              <w:bottom w:val="single" w:sz="4" w:space="0" w:color="auto"/>
            </w:tcBorders>
            <w:vAlign w:val="center"/>
          </w:tcPr>
          <w:p w14:paraId="594B967C" w14:textId="77777777" w:rsidR="00433F31" w:rsidRPr="0098660A" w:rsidRDefault="00433F31" w:rsidP="00DE6F46">
            <w:pPr>
              <w:pStyle w:val="TableText0"/>
            </w:pPr>
            <w:r w:rsidRPr="0098660A">
              <w:t>$4,436.56</w:t>
            </w:r>
          </w:p>
        </w:tc>
        <w:tc>
          <w:tcPr>
            <w:tcW w:w="1000" w:type="pct"/>
            <w:tcBorders>
              <w:bottom w:val="single" w:sz="4" w:space="0" w:color="auto"/>
            </w:tcBorders>
            <w:vAlign w:val="center"/>
          </w:tcPr>
          <w:p w14:paraId="43D8E65E" w14:textId="77777777" w:rsidR="00433F31" w:rsidRPr="0098660A" w:rsidRDefault="00433F31" w:rsidP="00DE6F46">
            <w:pPr>
              <w:pStyle w:val="TableText0"/>
            </w:pPr>
            <w:r w:rsidRPr="0098660A">
              <w:t>-0.4%</w:t>
            </w:r>
          </w:p>
        </w:tc>
      </w:tr>
      <w:tr w:rsidR="008B0A22" w:rsidRPr="0098660A" w14:paraId="3826CFDB" w14:textId="77777777">
        <w:tc>
          <w:tcPr>
            <w:tcW w:w="5000" w:type="pct"/>
            <w:gridSpan w:val="3"/>
            <w:vAlign w:val="center"/>
          </w:tcPr>
          <w:p w14:paraId="1D2BE617" w14:textId="77777777" w:rsidR="008B0A22" w:rsidRPr="0098660A" w:rsidRDefault="008B0A22" w:rsidP="00DE6F46">
            <w:pPr>
              <w:pStyle w:val="TableText0"/>
            </w:pPr>
            <w:r w:rsidRPr="0098660A">
              <w:t>Administration cost for pegcetacoplan therapy (base case: $0)</w:t>
            </w:r>
          </w:p>
        </w:tc>
      </w:tr>
      <w:tr w:rsidR="008B0A22" w:rsidRPr="0098660A" w14:paraId="166276C0" w14:textId="77777777">
        <w:tc>
          <w:tcPr>
            <w:tcW w:w="2615" w:type="pct"/>
            <w:vAlign w:val="center"/>
          </w:tcPr>
          <w:p w14:paraId="4400D3AF" w14:textId="703E3598" w:rsidR="008B0A22" w:rsidRPr="0098660A" w:rsidRDefault="008B0A22" w:rsidP="00DE6F46">
            <w:pPr>
              <w:pStyle w:val="TableText0"/>
            </w:pPr>
            <w:r w:rsidRPr="0098660A">
              <w:t>Inclusion of a clinic appointment with nurse training on use of SC syringe for self-administration (MBS item 82210: $58.85) #5</w:t>
            </w:r>
          </w:p>
        </w:tc>
        <w:tc>
          <w:tcPr>
            <w:tcW w:w="1385" w:type="pct"/>
            <w:vAlign w:val="center"/>
          </w:tcPr>
          <w:p w14:paraId="6EC5B338" w14:textId="77777777" w:rsidR="008B0A22" w:rsidRPr="0098660A" w:rsidRDefault="008B0A22" w:rsidP="00DE6F46">
            <w:pPr>
              <w:pStyle w:val="TableText0"/>
            </w:pPr>
            <w:r w:rsidRPr="0098660A">
              <w:t>$4,455.58</w:t>
            </w:r>
          </w:p>
        </w:tc>
        <w:tc>
          <w:tcPr>
            <w:tcW w:w="1000" w:type="pct"/>
            <w:vAlign w:val="center"/>
          </w:tcPr>
          <w:p w14:paraId="31795299" w14:textId="77777777" w:rsidR="008B0A22" w:rsidRPr="0098660A" w:rsidRDefault="008B0A22" w:rsidP="00DE6F46">
            <w:pPr>
              <w:pStyle w:val="TableText0"/>
            </w:pPr>
            <w:r w:rsidRPr="0098660A">
              <w:t>-0.0%</w:t>
            </w:r>
          </w:p>
        </w:tc>
      </w:tr>
      <w:tr w:rsidR="00433F31" w:rsidRPr="0098660A" w14:paraId="623EEDF2" w14:textId="77777777">
        <w:tc>
          <w:tcPr>
            <w:tcW w:w="2615" w:type="pct"/>
            <w:tcBorders>
              <w:right w:val="nil"/>
            </w:tcBorders>
          </w:tcPr>
          <w:p w14:paraId="7479259D" w14:textId="77777777" w:rsidR="00433F31" w:rsidRPr="0098660A" w:rsidRDefault="00433F31" w:rsidP="00DE6F46">
            <w:pPr>
              <w:pStyle w:val="TableText0"/>
            </w:pPr>
            <w:r w:rsidRPr="0098660A">
              <w:t>Multivariate sensitivity analyses</w:t>
            </w:r>
          </w:p>
        </w:tc>
        <w:tc>
          <w:tcPr>
            <w:tcW w:w="1385" w:type="pct"/>
            <w:tcBorders>
              <w:left w:val="nil"/>
              <w:right w:val="nil"/>
            </w:tcBorders>
          </w:tcPr>
          <w:p w14:paraId="66A4F28A" w14:textId="77777777" w:rsidR="00433F31" w:rsidRPr="0098660A" w:rsidRDefault="00433F31" w:rsidP="00DE6F46">
            <w:pPr>
              <w:pStyle w:val="TableText0"/>
            </w:pPr>
          </w:p>
        </w:tc>
        <w:tc>
          <w:tcPr>
            <w:tcW w:w="1000" w:type="pct"/>
            <w:tcBorders>
              <w:left w:val="nil"/>
            </w:tcBorders>
          </w:tcPr>
          <w:p w14:paraId="60F997BC" w14:textId="77777777" w:rsidR="00433F31" w:rsidRPr="0098660A" w:rsidRDefault="00433F31" w:rsidP="00DE6F46">
            <w:pPr>
              <w:pStyle w:val="TableText0"/>
            </w:pPr>
          </w:p>
        </w:tc>
      </w:tr>
      <w:tr w:rsidR="00433F31" w:rsidRPr="0098660A" w14:paraId="0D8F0D60" w14:textId="77777777">
        <w:tc>
          <w:tcPr>
            <w:tcW w:w="2615" w:type="pct"/>
          </w:tcPr>
          <w:p w14:paraId="233B5746" w14:textId="77777777" w:rsidR="00433F31" w:rsidRPr="0098660A" w:rsidRDefault="00433F31" w:rsidP="00DE6F46">
            <w:pPr>
              <w:pStyle w:val="TableText0"/>
            </w:pPr>
            <w:r w:rsidRPr="0098660A">
              <w:t>#1 AND #4</w:t>
            </w:r>
          </w:p>
        </w:tc>
        <w:tc>
          <w:tcPr>
            <w:tcW w:w="1385" w:type="pct"/>
          </w:tcPr>
          <w:p w14:paraId="368FE3A9" w14:textId="77777777" w:rsidR="00433F31" w:rsidRPr="0098660A" w:rsidRDefault="00433F31" w:rsidP="00DE6F46">
            <w:pPr>
              <w:pStyle w:val="TableText0"/>
            </w:pPr>
            <w:r w:rsidRPr="0098660A">
              <w:t>$4,298.52</w:t>
            </w:r>
          </w:p>
        </w:tc>
        <w:tc>
          <w:tcPr>
            <w:tcW w:w="1000" w:type="pct"/>
          </w:tcPr>
          <w:p w14:paraId="491D8BF5" w14:textId="77777777" w:rsidR="00433F31" w:rsidRPr="0098660A" w:rsidRDefault="00433F31" w:rsidP="00DE6F46">
            <w:pPr>
              <w:pStyle w:val="TableText0"/>
            </w:pPr>
            <w:r w:rsidRPr="0098660A">
              <w:t>-3.5%</w:t>
            </w:r>
          </w:p>
        </w:tc>
      </w:tr>
    </w:tbl>
    <w:p w14:paraId="6CEECF13" w14:textId="77777777" w:rsidR="00433F31" w:rsidRPr="0098660A" w:rsidRDefault="00433F31" w:rsidP="00433F31">
      <w:pPr>
        <w:pStyle w:val="TableFigureFooter"/>
      </w:pPr>
      <w:r w:rsidRPr="0098660A">
        <w:t xml:space="preserve">Source: Table 3-7, p94 and Table 3-8, p95 of the submission. </w:t>
      </w:r>
      <w:r w:rsidRPr="0098660A">
        <w:rPr>
          <w:i/>
          <w:iCs/>
        </w:rPr>
        <w:t>Additional analyses performed during the evaluation are presented in italics.</w:t>
      </w:r>
    </w:p>
    <w:p w14:paraId="208AF421" w14:textId="77777777" w:rsidR="00433F31" w:rsidRPr="0098660A" w:rsidRDefault="00433F31" w:rsidP="00433F31">
      <w:pPr>
        <w:pStyle w:val="TableFigureFooter"/>
      </w:pPr>
      <w:r w:rsidRPr="0098660A">
        <w:t>SC = subcutaneous; MBS = Medicare Benefits Schedule; NEP = National Efficient Price</w:t>
      </w:r>
    </w:p>
    <w:p w14:paraId="0DC462F1" w14:textId="77777777" w:rsidR="00433F31" w:rsidRPr="0098660A" w:rsidRDefault="00433F31" w:rsidP="00433F31">
      <w:pPr>
        <w:pStyle w:val="TableFigureFooter"/>
      </w:pPr>
      <w:proofErr w:type="spellStart"/>
      <w:r w:rsidRPr="0098660A">
        <w:rPr>
          <w:vertAlign w:val="superscript"/>
        </w:rPr>
        <w:t>a</w:t>
      </w:r>
      <w:proofErr w:type="spellEnd"/>
      <w:r w:rsidRPr="0098660A">
        <w:rPr>
          <w:vertAlign w:val="superscript"/>
        </w:rPr>
        <w:t xml:space="preserve"> </w:t>
      </w:r>
      <w:r w:rsidRPr="0098660A">
        <w:t>The number of doses per year was calculated as (2 x (1 – 26%) + 7 / 3 x 26%) / 7 x 365.25 = 108.88</w:t>
      </w:r>
    </w:p>
    <w:p w14:paraId="42147FEF" w14:textId="66158730" w:rsidR="00433F31" w:rsidRPr="0098660A" w:rsidRDefault="00CF771F" w:rsidP="00433F31">
      <w:pPr>
        <w:pStyle w:val="TableFigureFooter"/>
      </w:pPr>
      <w:r w:rsidRPr="0098660A">
        <w:rPr>
          <w:vertAlign w:val="superscript"/>
        </w:rPr>
        <w:t>b</w:t>
      </w:r>
      <w:r w:rsidR="00433F31" w:rsidRPr="0098660A">
        <w:rPr>
          <w:vertAlign w:val="superscript"/>
        </w:rPr>
        <w:t xml:space="preserve"> </w:t>
      </w:r>
      <w:r w:rsidR="00433F31" w:rsidRPr="0098660A">
        <w:t>The number of doses per year was calculated as (2 x (1 – 19.5%) + 7 / 3 x 19.5%) / 7 x 365.25</w:t>
      </w:r>
      <w:r w:rsidR="00433F31" w:rsidRPr="0098660A">
        <w:rPr>
          <w:vertAlign w:val="superscript"/>
        </w:rPr>
        <w:t xml:space="preserve"> </w:t>
      </w:r>
      <w:r w:rsidR="00433F31" w:rsidRPr="0098660A">
        <w:t>= 107.75</w:t>
      </w:r>
    </w:p>
    <w:p w14:paraId="277CB922" w14:textId="4523DE27" w:rsidR="00433F31" w:rsidRPr="0098660A" w:rsidRDefault="00433F31" w:rsidP="00433F31">
      <w:pPr>
        <w:pStyle w:val="3-BodyText"/>
      </w:pPr>
      <w:r w:rsidRPr="0098660A">
        <w:t xml:space="preserve">The proportion of patients receiving various pegcetacoplan dose regimens had a larger impact on the result than the administration cost. Use of longer-term extension trial data on dosing of pegcetacoplan reduced the cost-minimised price for pegcetacoplan from $4,456.13 per vial to $4,317.48 per vial (-3.1% change). This, in addition to removing cost offsets associated with ravulizumab administration, decreased the pegcetacoplan price further to $4,298.52 per vial (-3.5% change). </w:t>
      </w:r>
    </w:p>
    <w:p w14:paraId="663A580C" w14:textId="7E1ADCF8" w:rsidR="00F2261B" w:rsidRPr="0098660A" w:rsidRDefault="00F2261B" w:rsidP="00F2261B">
      <w:pPr>
        <w:pStyle w:val="3-BodyText"/>
        <w:rPr>
          <w:iCs/>
        </w:rPr>
      </w:pPr>
      <w:bookmarkStart w:id="76" w:name="_Ref198196749"/>
      <w:r w:rsidRPr="0098660A">
        <w:rPr>
          <w:iCs/>
        </w:rPr>
        <w:t xml:space="preserve">If the non-inferiority clam was accepted, </w:t>
      </w:r>
      <w:r w:rsidR="008D0D38" w:rsidRPr="0098660A">
        <w:rPr>
          <w:iCs/>
        </w:rPr>
        <w:t xml:space="preserve">the </w:t>
      </w:r>
      <w:r w:rsidRPr="0098660A">
        <w:rPr>
          <w:iCs/>
        </w:rPr>
        <w:t xml:space="preserve">ESC advised the CMA should be consistent with principles previously set when second-line pegcetacoplan was recommended </w:t>
      </w:r>
      <w:r w:rsidR="00BC07E4" w:rsidRPr="0098660A">
        <w:rPr>
          <w:rFonts w:cstheme="minorHAnsi"/>
          <w:iCs/>
        </w:rPr>
        <w:t>i.e.</w:t>
      </w:r>
      <w:r w:rsidRPr="0098660A">
        <w:rPr>
          <w:iCs/>
        </w:rPr>
        <w:t xml:space="preserve"> using the data from the extension period (26% of patients received an escalated dose of pegcetacoplan once every 3 days), additional vaccine costs and removing cost offsets associated with ravulizumab administration. </w:t>
      </w:r>
      <w:bookmarkEnd w:id="76"/>
    </w:p>
    <w:p w14:paraId="7EE86A05" w14:textId="13A33273" w:rsidR="00290BAB" w:rsidRPr="0098660A" w:rsidRDefault="00290BAB" w:rsidP="00F2261B">
      <w:pPr>
        <w:pStyle w:val="3-BodyText"/>
        <w:rPr>
          <w:iCs/>
        </w:rPr>
      </w:pPr>
      <w:r w:rsidRPr="0098660A">
        <w:rPr>
          <w:iCs/>
        </w:rPr>
        <w:t xml:space="preserve">The pre-PBAC response </w:t>
      </w:r>
      <w:r w:rsidR="00707E82" w:rsidRPr="0098660A">
        <w:rPr>
          <w:iCs/>
        </w:rPr>
        <w:t xml:space="preserve">noted the </w:t>
      </w:r>
      <w:r w:rsidR="005B3DAF" w:rsidRPr="0098660A">
        <w:rPr>
          <w:iCs/>
        </w:rPr>
        <w:t xml:space="preserve">proposed </w:t>
      </w:r>
      <w:proofErr w:type="spellStart"/>
      <w:r w:rsidR="00707E82" w:rsidRPr="0098660A">
        <w:rPr>
          <w:iCs/>
        </w:rPr>
        <w:t>equ</w:t>
      </w:r>
      <w:r w:rsidR="00877715" w:rsidRPr="0098660A">
        <w:rPr>
          <w:iCs/>
        </w:rPr>
        <w:t>i</w:t>
      </w:r>
      <w:proofErr w:type="spellEnd"/>
      <w:r w:rsidR="00707E82" w:rsidRPr="0098660A">
        <w:rPr>
          <w:iCs/>
        </w:rPr>
        <w:t>-</w:t>
      </w:r>
      <w:r w:rsidR="005B3DAF" w:rsidRPr="0098660A">
        <w:rPr>
          <w:iCs/>
        </w:rPr>
        <w:t>effective</w:t>
      </w:r>
      <w:r w:rsidR="00707E82" w:rsidRPr="0098660A">
        <w:rPr>
          <w:iCs/>
        </w:rPr>
        <w:t xml:space="preserve"> dose</w:t>
      </w:r>
      <w:r w:rsidR="00877715" w:rsidRPr="0098660A">
        <w:rPr>
          <w:iCs/>
        </w:rPr>
        <w:t xml:space="preserve"> for C5i-naïve pegcetacoplan (1,080 mg x 108.9 doses) represented less than a 1% difference compared to the C5i-experienced </w:t>
      </w:r>
      <w:proofErr w:type="spellStart"/>
      <w:r w:rsidR="00877715" w:rsidRPr="0098660A">
        <w:rPr>
          <w:iCs/>
        </w:rPr>
        <w:t>equi</w:t>
      </w:r>
      <w:proofErr w:type="spellEnd"/>
      <w:r w:rsidR="00877715" w:rsidRPr="0098660A">
        <w:rPr>
          <w:iCs/>
        </w:rPr>
        <w:t>-effective dose (1,080 mg x 107.7 doses).</w:t>
      </w:r>
      <w:r w:rsidR="00986BAC" w:rsidRPr="0098660A">
        <w:rPr>
          <w:iCs/>
        </w:rPr>
        <w:t xml:space="preserve"> The pre-PBAC response also suggested </w:t>
      </w:r>
      <w:r w:rsidR="00986BAC" w:rsidRPr="0098660A">
        <w:rPr>
          <w:snapToGrid w:val="0"/>
        </w:rPr>
        <w:t xml:space="preserve">no change to the current price might be pragmatic given majority of pegcetacoplan use was anticipated to remain among patients switching from C5i therapy, given the established use of ravulizumab and eculizumab in clinical practice, and that dose escalation </w:t>
      </w:r>
      <w:r w:rsidR="00384EEB" w:rsidRPr="0098660A">
        <w:rPr>
          <w:snapToGrid w:val="0"/>
        </w:rPr>
        <w:t>wa</w:t>
      </w:r>
      <w:r w:rsidR="00986BAC" w:rsidRPr="0098660A">
        <w:rPr>
          <w:snapToGrid w:val="0"/>
        </w:rPr>
        <w:t>s unlikely to differ between first and second-line in clinical practice.</w:t>
      </w:r>
    </w:p>
    <w:p w14:paraId="0B940145" w14:textId="77777777" w:rsidR="00E54685" w:rsidRPr="0098660A" w:rsidRDefault="00E54685" w:rsidP="00E54685">
      <w:pPr>
        <w:pStyle w:val="4-SubsectionHeading"/>
      </w:pPr>
      <w:bookmarkStart w:id="77" w:name="_Toc193368026"/>
      <w:r w:rsidRPr="0098660A">
        <w:t>Drug cost/patient/year</w:t>
      </w:r>
      <w:bookmarkEnd w:id="67"/>
      <w:bookmarkEnd w:id="68"/>
      <w:bookmarkEnd w:id="77"/>
    </w:p>
    <w:p w14:paraId="48015A6E" w14:textId="2B8939B1" w:rsidR="00E54685" w:rsidRPr="0098660A" w:rsidRDefault="00E54685" w:rsidP="00E54685">
      <w:pPr>
        <w:pStyle w:val="3-BodyText"/>
      </w:pPr>
      <w:bookmarkStart w:id="78" w:name="_Ref196209452"/>
      <w:bookmarkStart w:id="79" w:name="_Ref104805102"/>
      <w:r w:rsidRPr="0098660A">
        <w:t xml:space="preserve">The drug cost per patient for pegcetacoplan and ravulizumab are presented in </w:t>
      </w:r>
      <w:r w:rsidRPr="0098660A">
        <w:fldChar w:fldCharType="begin"/>
      </w:r>
      <w:r w:rsidRPr="0098660A">
        <w:instrText xml:space="preserve"> REF _Ref189146750 \h </w:instrText>
      </w:r>
      <w:r w:rsidR="00284BE4" w:rsidRPr="0098660A">
        <w:instrText xml:space="preserve"> \* MERGEFORMAT </w:instrText>
      </w:r>
      <w:r w:rsidRPr="0098660A">
        <w:fldChar w:fldCharType="separate"/>
      </w:r>
      <w:r w:rsidR="00134128" w:rsidRPr="0098660A">
        <w:t xml:space="preserve">Table </w:t>
      </w:r>
      <w:r w:rsidR="00134128">
        <w:t>12</w:t>
      </w:r>
      <w:r w:rsidRPr="0098660A">
        <w:fldChar w:fldCharType="end"/>
      </w:r>
      <w:r w:rsidRPr="0098660A">
        <w:t>. Pegcetacoplan drug cost from the CMA was based on the cost-minimised price</w:t>
      </w:r>
      <w:r w:rsidR="00F7237E" w:rsidRPr="0098660A">
        <w:t xml:space="preserve">, </w:t>
      </w:r>
      <w:r w:rsidRPr="0098660A">
        <w:t>which was higher than the proposed public price.</w:t>
      </w:r>
      <w:bookmarkEnd w:id="78"/>
      <w:r w:rsidR="005269BC" w:rsidRPr="0098660A">
        <w:t xml:space="preserve"> </w:t>
      </w:r>
    </w:p>
    <w:p w14:paraId="76F707CC" w14:textId="334DCE32" w:rsidR="00E54685" w:rsidRPr="0098660A" w:rsidRDefault="00E54685" w:rsidP="00A6484B">
      <w:pPr>
        <w:pStyle w:val="TableFigureHeading"/>
        <w:rPr>
          <w:rStyle w:val="CommentReference"/>
          <w:b/>
          <w:szCs w:val="24"/>
        </w:rPr>
      </w:pPr>
      <w:bookmarkStart w:id="80" w:name="_Ref189146750"/>
      <w:r w:rsidRPr="0098660A">
        <w:lastRenderedPageBreak/>
        <w:t xml:space="preserve">Table </w:t>
      </w:r>
      <w:r w:rsidR="00ED489E" w:rsidRPr="0098660A">
        <w:fldChar w:fldCharType="begin"/>
      </w:r>
      <w:r w:rsidR="00ED489E" w:rsidRPr="0098660A">
        <w:instrText xml:space="preserve"> SEQ Table \* ARABIC </w:instrText>
      </w:r>
      <w:r w:rsidR="00ED489E" w:rsidRPr="0098660A">
        <w:fldChar w:fldCharType="separate"/>
      </w:r>
      <w:r w:rsidR="00134128">
        <w:rPr>
          <w:noProof/>
        </w:rPr>
        <w:t>12</w:t>
      </w:r>
      <w:r w:rsidR="00ED489E" w:rsidRPr="0098660A">
        <w:fldChar w:fldCharType="end"/>
      </w:r>
      <w:bookmarkEnd w:id="79"/>
      <w:bookmarkEnd w:id="80"/>
      <w:r w:rsidRPr="0098660A">
        <w:t>:</w:t>
      </w:r>
      <w:r w:rsidRPr="0098660A">
        <w:rPr>
          <w:rStyle w:val="CommentReference"/>
          <w:b/>
          <w:szCs w:val="24"/>
        </w:rPr>
        <w:t xml:space="preserve"> Drug cost per patient for pegcetacoplan and ravulizumab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5"/>
        <w:gridCol w:w="1131"/>
        <w:gridCol w:w="1277"/>
        <w:gridCol w:w="1277"/>
        <w:gridCol w:w="1277"/>
        <w:gridCol w:w="1336"/>
        <w:gridCol w:w="1304"/>
      </w:tblGrid>
      <w:tr w:rsidR="00E54685" w:rsidRPr="0098660A" w14:paraId="18D4DBCA" w14:textId="77777777">
        <w:trPr>
          <w:cantSplit/>
          <w:tblHeader/>
          <w:jc w:val="center"/>
        </w:trPr>
        <w:tc>
          <w:tcPr>
            <w:tcW w:w="785" w:type="pct"/>
            <w:vMerge w:val="restart"/>
            <w:shd w:val="clear" w:color="auto" w:fill="auto"/>
            <w:vAlign w:val="center"/>
          </w:tcPr>
          <w:p w14:paraId="7DF31524" w14:textId="77777777" w:rsidR="00E54685" w:rsidRPr="0098660A" w:rsidRDefault="00E54685" w:rsidP="00A6484B">
            <w:pPr>
              <w:pStyle w:val="In-tableHeading"/>
              <w:jc w:val="center"/>
              <w:rPr>
                <w:lang w:val="en-AU"/>
              </w:rPr>
            </w:pPr>
          </w:p>
        </w:tc>
        <w:tc>
          <w:tcPr>
            <w:tcW w:w="2043" w:type="pct"/>
            <w:gridSpan w:val="3"/>
            <w:shd w:val="clear" w:color="auto" w:fill="auto"/>
            <w:vAlign w:val="center"/>
          </w:tcPr>
          <w:p w14:paraId="717F05FA" w14:textId="77777777" w:rsidR="00E54685" w:rsidRPr="0098660A" w:rsidRDefault="00E54685" w:rsidP="00A6484B">
            <w:pPr>
              <w:pStyle w:val="In-tableHeading"/>
              <w:jc w:val="center"/>
              <w:rPr>
                <w:lang w:val="en-AU"/>
              </w:rPr>
            </w:pPr>
            <w:r w:rsidRPr="0098660A">
              <w:rPr>
                <w:lang w:val="en-AU"/>
              </w:rPr>
              <w:t>Pegcetacoplan</w:t>
            </w:r>
          </w:p>
        </w:tc>
        <w:tc>
          <w:tcPr>
            <w:tcW w:w="2172" w:type="pct"/>
            <w:gridSpan w:val="3"/>
            <w:shd w:val="clear" w:color="auto" w:fill="auto"/>
            <w:vAlign w:val="center"/>
          </w:tcPr>
          <w:p w14:paraId="31154A6C" w14:textId="77777777" w:rsidR="00E54685" w:rsidRPr="0098660A" w:rsidRDefault="00E54685" w:rsidP="00A6484B">
            <w:pPr>
              <w:pStyle w:val="In-tableHeading"/>
              <w:jc w:val="center"/>
              <w:rPr>
                <w:lang w:val="en-AU"/>
              </w:rPr>
            </w:pPr>
            <w:r w:rsidRPr="0098660A">
              <w:rPr>
                <w:lang w:val="en-AU"/>
              </w:rPr>
              <w:t>Ravulizumab</w:t>
            </w:r>
          </w:p>
        </w:tc>
      </w:tr>
      <w:tr w:rsidR="00E54685" w:rsidRPr="0098660A" w14:paraId="2B6B5866" w14:textId="77777777">
        <w:trPr>
          <w:cantSplit/>
          <w:tblHeader/>
          <w:jc w:val="center"/>
        </w:trPr>
        <w:tc>
          <w:tcPr>
            <w:tcW w:w="785" w:type="pct"/>
            <w:vMerge/>
            <w:shd w:val="clear" w:color="auto" w:fill="auto"/>
            <w:vAlign w:val="center"/>
          </w:tcPr>
          <w:p w14:paraId="3900A3F5" w14:textId="77777777" w:rsidR="00E54685" w:rsidRPr="0098660A" w:rsidRDefault="00E54685" w:rsidP="00A6484B">
            <w:pPr>
              <w:pStyle w:val="In-tableHeading"/>
              <w:jc w:val="center"/>
              <w:rPr>
                <w:lang w:val="en-AU"/>
              </w:rPr>
            </w:pPr>
          </w:p>
        </w:tc>
        <w:tc>
          <w:tcPr>
            <w:tcW w:w="627" w:type="pct"/>
            <w:shd w:val="clear" w:color="auto" w:fill="auto"/>
            <w:vAlign w:val="center"/>
          </w:tcPr>
          <w:p w14:paraId="689EC418" w14:textId="77777777" w:rsidR="00E54685" w:rsidRPr="0098660A" w:rsidRDefault="00E54685" w:rsidP="00A6484B">
            <w:pPr>
              <w:pStyle w:val="In-tableHeading"/>
              <w:jc w:val="center"/>
              <w:rPr>
                <w:lang w:val="en-AU"/>
              </w:rPr>
            </w:pPr>
            <w:r w:rsidRPr="0098660A">
              <w:rPr>
                <w:lang w:val="en-AU"/>
              </w:rPr>
              <w:t>PRINCE trial</w:t>
            </w:r>
          </w:p>
        </w:tc>
        <w:tc>
          <w:tcPr>
            <w:tcW w:w="708" w:type="pct"/>
            <w:shd w:val="clear" w:color="auto" w:fill="auto"/>
            <w:vAlign w:val="center"/>
          </w:tcPr>
          <w:p w14:paraId="2DD5C19C" w14:textId="77777777" w:rsidR="00E54685" w:rsidRPr="0098660A" w:rsidRDefault="00E54685" w:rsidP="00A6484B">
            <w:pPr>
              <w:pStyle w:val="In-tableHeading"/>
              <w:jc w:val="center"/>
              <w:rPr>
                <w:vertAlign w:val="superscript"/>
                <w:lang w:val="en-AU"/>
              </w:rPr>
            </w:pPr>
            <w:r w:rsidRPr="0098660A">
              <w:rPr>
                <w:lang w:val="en-AU"/>
              </w:rPr>
              <w:t>CMA</w:t>
            </w:r>
          </w:p>
        </w:tc>
        <w:tc>
          <w:tcPr>
            <w:tcW w:w="708" w:type="pct"/>
            <w:shd w:val="clear" w:color="auto" w:fill="auto"/>
            <w:vAlign w:val="center"/>
          </w:tcPr>
          <w:p w14:paraId="7C713EEE" w14:textId="77777777" w:rsidR="00E54685" w:rsidRPr="0098660A" w:rsidRDefault="00E54685" w:rsidP="00A6484B">
            <w:pPr>
              <w:pStyle w:val="In-tableHeading"/>
              <w:jc w:val="center"/>
              <w:rPr>
                <w:lang w:val="en-AU"/>
              </w:rPr>
            </w:pPr>
            <w:r w:rsidRPr="0098660A">
              <w:rPr>
                <w:lang w:val="en-AU"/>
              </w:rPr>
              <w:t>Financial estimates</w:t>
            </w:r>
          </w:p>
        </w:tc>
        <w:tc>
          <w:tcPr>
            <w:tcW w:w="708" w:type="pct"/>
            <w:shd w:val="clear" w:color="auto" w:fill="auto"/>
            <w:vAlign w:val="center"/>
          </w:tcPr>
          <w:p w14:paraId="1F8838AF" w14:textId="77777777" w:rsidR="00E54685" w:rsidRPr="0098660A" w:rsidRDefault="00E54685" w:rsidP="00A6484B">
            <w:pPr>
              <w:pStyle w:val="In-tableHeading"/>
              <w:jc w:val="center"/>
              <w:rPr>
                <w:lang w:val="en-AU"/>
              </w:rPr>
            </w:pPr>
            <w:r w:rsidRPr="0098660A">
              <w:rPr>
                <w:lang w:val="en-AU"/>
              </w:rPr>
              <w:t>July 2021 PSD</w:t>
            </w:r>
          </w:p>
        </w:tc>
        <w:tc>
          <w:tcPr>
            <w:tcW w:w="741" w:type="pct"/>
            <w:shd w:val="clear" w:color="auto" w:fill="auto"/>
            <w:vAlign w:val="center"/>
          </w:tcPr>
          <w:p w14:paraId="47F34DBE" w14:textId="77777777" w:rsidR="00E54685" w:rsidRPr="0098660A" w:rsidRDefault="00E54685" w:rsidP="00A6484B">
            <w:pPr>
              <w:pStyle w:val="In-tableHeading"/>
              <w:jc w:val="center"/>
              <w:rPr>
                <w:lang w:val="en-AU"/>
              </w:rPr>
            </w:pPr>
            <w:r w:rsidRPr="0098660A">
              <w:rPr>
                <w:lang w:val="en-AU"/>
              </w:rPr>
              <w:t>CMA</w:t>
            </w:r>
          </w:p>
        </w:tc>
        <w:tc>
          <w:tcPr>
            <w:tcW w:w="723" w:type="pct"/>
            <w:vAlign w:val="center"/>
          </w:tcPr>
          <w:p w14:paraId="5BFA4664" w14:textId="77777777" w:rsidR="00E54685" w:rsidRPr="0098660A" w:rsidRDefault="00E54685" w:rsidP="00A6484B">
            <w:pPr>
              <w:pStyle w:val="In-tableHeading"/>
              <w:jc w:val="center"/>
              <w:rPr>
                <w:lang w:val="en-AU"/>
              </w:rPr>
            </w:pPr>
            <w:r w:rsidRPr="0098660A">
              <w:rPr>
                <w:lang w:val="en-AU"/>
              </w:rPr>
              <w:t>Financial estimates</w:t>
            </w:r>
          </w:p>
        </w:tc>
      </w:tr>
      <w:tr w:rsidR="00E54685" w:rsidRPr="0098660A" w14:paraId="5BD7686E" w14:textId="77777777" w:rsidTr="00280102">
        <w:trPr>
          <w:cantSplit/>
          <w:jc w:val="center"/>
        </w:trPr>
        <w:tc>
          <w:tcPr>
            <w:tcW w:w="785" w:type="pct"/>
            <w:shd w:val="clear" w:color="auto" w:fill="auto"/>
            <w:vAlign w:val="center"/>
          </w:tcPr>
          <w:p w14:paraId="502B1460" w14:textId="77777777" w:rsidR="00E54685" w:rsidRPr="0098660A" w:rsidRDefault="00E54685" w:rsidP="00DE6F46">
            <w:pPr>
              <w:pStyle w:val="TableText0"/>
            </w:pPr>
            <w:r w:rsidRPr="0098660A">
              <w:t>Mean dose/ administration</w:t>
            </w:r>
          </w:p>
        </w:tc>
        <w:tc>
          <w:tcPr>
            <w:tcW w:w="2043" w:type="pct"/>
            <w:gridSpan w:val="3"/>
            <w:shd w:val="clear" w:color="auto" w:fill="auto"/>
            <w:vAlign w:val="center"/>
          </w:tcPr>
          <w:p w14:paraId="1FB9801E" w14:textId="77777777" w:rsidR="00E54685" w:rsidRPr="0098660A" w:rsidRDefault="00E54685" w:rsidP="00280102">
            <w:pPr>
              <w:pStyle w:val="TableText0"/>
              <w:jc w:val="center"/>
            </w:pPr>
            <w:r w:rsidRPr="0098660A">
              <w:t>1,080 mg</w:t>
            </w:r>
          </w:p>
        </w:tc>
        <w:tc>
          <w:tcPr>
            <w:tcW w:w="2172" w:type="pct"/>
            <w:gridSpan w:val="3"/>
            <w:shd w:val="clear" w:color="auto" w:fill="auto"/>
            <w:vAlign w:val="center"/>
          </w:tcPr>
          <w:p w14:paraId="2A74BF30" w14:textId="77777777" w:rsidR="00E54685" w:rsidRPr="0098660A" w:rsidRDefault="00E54685" w:rsidP="00280102">
            <w:pPr>
              <w:pStyle w:val="TableText0"/>
              <w:jc w:val="center"/>
              <w:rPr>
                <w:vertAlign w:val="superscript"/>
              </w:rPr>
            </w:pPr>
            <w:r w:rsidRPr="0098660A">
              <w:t xml:space="preserve">3,288 </w:t>
            </w:r>
            <w:proofErr w:type="spellStart"/>
            <w:r w:rsidRPr="0098660A">
              <w:t>mg</w:t>
            </w:r>
            <w:r w:rsidRPr="0098660A">
              <w:rPr>
                <w:vertAlign w:val="superscript"/>
              </w:rPr>
              <w:t>a</w:t>
            </w:r>
            <w:proofErr w:type="spellEnd"/>
          </w:p>
        </w:tc>
      </w:tr>
      <w:tr w:rsidR="00E54685" w:rsidRPr="0098660A" w14:paraId="57F528C0" w14:textId="77777777" w:rsidTr="00280102">
        <w:trPr>
          <w:cantSplit/>
          <w:jc w:val="center"/>
        </w:trPr>
        <w:tc>
          <w:tcPr>
            <w:tcW w:w="785" w:type="pct"/>
            <w:shd w:val="clear" w:color="auto" w:fill="auto"/>
            <w:vAlign w:val="center"/>
          </w:tcPr>
          <w:p w14:paraId="71CE358D" w14:textId="77777777" w:rsidR="00E54685" w:rsidRPr="0098660A" w:rsidRDefault="00E54685" w:rsidP="00DE6F46">
            <w:pPr>
              <w:pStyle w:val="TableText0"/>
            </w:pPr>
            <w:r w:rsidRPr="0098660A">
              <w:t>Administrations per week</w:t>
            </w:r>
          </w:p>
        </w:tc>
        <w:tc>
          <w:tcPr>
            <w:tcW w:w="2043" w:type="pct"/>
            <w:gridSpan w:val="3"/>
            <w:shd w:val="clear" w:color="auto" w:fill="auto"/>
            <w:vAlign w:val="center"/>
          </w:tcPr>
          <w:p w14:paraId="0EE94A27" w14:textId="77777777" w:rsidR="00E54685" w:rsidRPr="0098660A" w:rsidRDefault="00E54685" w:rsidP="00280102">
            <w:pPr>
              <w:pStyle w:val="TableText0"/>
              <w:jc w:val="center"/>
              <w:rPr>
                <w:vertAlign w:val="superscript"/>
              </w:rPr>
            </w:pPr>
            <w:r w:rsidRPr="0098660A">
              <w:t>2.02</w:t>
            </w:r>
            <w:r w:rsidRPr="0098660A">
              <w:rPr>
                <w:vertAlign w:val="superscript"/>
              </w:rPr>
              <w:t>b</w:t>
            </w:r>
          </w:p>
        </w:tc>
        <w:tc>
          <w:tcPr>
            <w:tcW w:w="2172" w:type="pct"/>
            <w:gridSpan w:val="3"/>
            <w:shd w:val="clear" w:color="auto" w:fill="auto"/>
            <w:vAlign w:val="center"/>
          </w:tcPr>
          <w:p w14:paraId="26CE6B3F" w14:textId="77777777" w:rsidR="00E54685" w:rsidRPr="0098660A" w:rsidRDefault="00E54685" w:rsidP="00280102">
            <w:pPr>
              <w:pStyle w:val="TableText0"/>
              <w:jc w:val="center"/>
            </w:pPr>
            <w:r w:rsidRPr="0098660A">
              <w:t>0.13 (once every eight weeks)</w:t>
            </w:r>
          </w:p>
        </w:tc>
      </w:tr>
      <w:tr w:rsidR="00E54685" w:rsidRPr="0098660A" w14:paraId="5FEEC250" w14:textId="77777777" w:rsidTr="00280102">
        <w:trPr>
          <w:cantSplit/>
          <w:jc w:val="center"/>
        </w:trPr>
        <w:tc>
          <w:tcPr>
            <w:tcW w:w="785" w:type="pct"/>
            <w:shd w:val="clear" w:color="auto" w:fill="auto"/>
            <w:vAlign w:val="center"/>
          </w:tcPr>
          <w:p w14:paraId="732937EC" w14:textId="77777777" w:rsidR="00E54685" w:rsidRPr="0098660A" w:rsidRDefault="00E54685" w:rsidP="00DE6F46">
            <w:pPr>
              <w:pStyle w:val="TableText0"/>
            </w:pPr>
            <w:r w:rsidRPr="0098660A">
              <w:t>Cost/</w:t>
            </w:r>
          </w:p>
          <w:p w14:paraId="0F534156" w14:textId="77777777" w:rsidR="00E54685" w:rsidRPr="0098660A" w:rsidRDefault="00E54685" w:rsidP="00DE6F46">
            <w:pPr>
              <w:pStyle w:val="TableText0"/>
            </w:pPr>
            <w:r w:rsidRPr="0098660A">
              <w:t xml:space="preserve">administration </w:t>
            </w:r>
          </w:p>
        </w:tc>
        <w:tc>
          <w:tcPr>
            <w:tcW w:w="627" w:type="pct"/>
            <w:shd w:val="clear" w:color="auto" w:fill="auto"/>
            <w:vAlign w:val="center"/>
          </w:tcPr>
          <w:p w14:paraId="07FE499A" w14:textId="77777777" w:rsidR="00E54685" w:rsidRPr="0098660A" w:rsidRDefault="00E54685" w:rsidP="00280102">
            <w:pPr>
              <w:pStyle w:val="TableText0"/>
              <w:jc w:val="center"/>
              <w:rPr>
                <w:b/>
                <w:vertAlign w:val="superscript"/>
              </w:rPr>
            </w:pPr>
            <w:r w:rsidRPr="0098660A">
              <w:t>$4,345</w:t>
            </w:r>
            <w:r w:rsidRPr="0098660A">
              <w:rPr>
                <w:vertAlign w:val="superscript"/>
              </w:rPr>
              <w:t>c</w:t>
            </w:r>
          </w:p>
        </w:tc>
        <w:tc>
          <w:tcPr>
            <w:tcW w:w="708" w:type="pct"/>
            <w:shd w:val="clear" w:color="auto" w:fill="auto"/>
            <w:vAlign w:val="center"/>
          </w:tcPr>
          <w:p w14:paraId="415A45C1" w14:textId="77777777" w:rsidR="00E54685" w:rsidRPr="0098660A" w:rsidRDefault="00E54685" w:rsidP="00280102">
            <w:pPr>
              <w:pStyle w:val="TableText0"/>
              <w:jc w:val="center"/>
              <w:rPr>
                <w:vertAlign w:val="superscript"/>
              </w:rPr>
            </w:pPr>
            <w:r w:rsidRPr="0098660A">
              <w:t>$4,456</w:t>
            </w:r>
            <w:r w:rsidRPr="0098660A">
              <w:rPr>
                <w:vertAlign w:val="superscript"/>
              </w:rPr>
              <w:t>d</w:t>
            </w:r>
          </w:p>
        </w:tc>
        <w:tc>
          <w:tcPr>
            <w:tcW w:w="708" w:type="pct"/>
            <w:shd w:val="clear" w:color="auto" w:fill="auto"/>
            <w:vAlign w:val="center"/>
          </w:tcPr>
          <w:p w14:paraId="3F32C86B" w14:textId="77777777" w:rsidR="00E54685" w:rsidRPr="0098660A" w:rsidRDefault="00E54685" w:rsidP="00280102">
            <w:pPr>
              <w:pStyle w:val="TableText0"/>
              <w:jc w:val="center"/>
              <w:rPr>
                <w:vertAlign w:val="superscript"/>
              </w:rPr>
            </w:pPr>
            <w:r w:rsidRPr="0098660A">
              <w:t>$4,345</w:t>
            </w:r>
            <w:r w:rsidRPr="0098660A">
              <w:rPr>
                <w:vertAlign w:val="superscript"/>
              </w:rPr>
              <w:t>c</w:t>
            </w:r>
          </w:p>
        </w:tc>
        <w:tc>
          <w:tcPr>
            <w:tcW w:w="708" w:type="pct"/>
            <w:shd w:val="clear" w:color="auto" w:fill="auto"/>
            <w:vAlign w:val="center"/>
          </w:tcPr>
          <w:p w14:paraId="1A3F7968" w14:textId="77777777" w:rsidR="00E54685" w:rsidRPr="0098660A" w:rsidRDefault="00E54685" w:rsidP="00280102">
            <w:pPr>
              <w:pStyle w:val="TableText0"/>
              <w:jc w:val="center"/>
              <w:rPr>
                <w:vertAlign w:val="superscript"/>
              </w:rPr>
            </w:pPr>
            <w:r w:rsidRPr="0098660A">
              <w:t>$72,059</w:t>
            </w:r>
            <w:r w:rsidRPr="0098660A">
              <w:rPr>
                <w:vertAlign w:val="superscript"/>
              </w:rPr>
              <w:t>e</w:t>
            </w:r>
          </w:p>
        </w:tc>
        <w:tc>
          <w:tcPr>
            <w:tcW w:w="741" w:type="pct"/>
            <w:shd w:val="clear" w:color="auto" w:fill="auto"/>
            <w:vAlign w:val="center"/>
          </w:tcPr>
          <w:p w14:paraId="102137AB" w14:textId="77777777" w:rsidR="00E54685" w:rsidRPr="0098660A" w:rsidRDefault="00E54685" w:rsidP="00280102">
            <w:pPr>
              <w:pStyle w:val="TableText0"/>
              <w:jc w:val="center"/>
              <w:rPr>
                <w:vertAlign w:val="superscript"/>
              </w:rPr>
            </w:pPr>
            <w:r w:rsidRPr="0098660A">
              <w:t>$72,052</w:t>
            </w:r>
            <w:r w:rsidRPr="0098660A">
              <w:rPr>
                <w:vertAlign w:val="superscript"/>
              </w:rPr>
              <w:t>f</w:t>
            </w:r>
          </w:p>
        </w:tc>
        <w:tc>
          <w:tcPr>
            <w:tcW w:w="723" w:type="pct"/>
            <w:vAlign w:val="center"/>
          </w:tcPr>
          <w:p w14:paraId="65614707" w14:textId="77777777" w:rsidR="00E54685" w:rsidRPr="0098660A" w:rsidRDefault="00E54685" w:rsidP="00280102">
            <w:pPr>
              <w:pStyle w:val="TableText0"/>
              <w:jc w:val="center"/>
              <w:rPr>
                <w:vertAlign w:val="superscript"/>
              </w:rPr>
            </w:pPr>
            <w:r w:rsidRPr="0098660A">
              <w:t>$72,059</w:t>
            </w:r>
            <w:r w:rsidRPr="0098660A">
              <w:rPr>
                <w:vertAlign w:val="superscript"/>
              </w:rPr>
              <w:t>e</w:t>
            </w:r>
          </w:p>
        </w:tc>
      </w:tr>
      <w:tr w:rsidR="00E54685" w:rsidRPr="0098660A" w14:paraId="4129901B" w14:textId="77777777" w:rsidTr="00280102">
        <w:trPr>
          <w:cantSplit/>
          <w:jc w:val="center"/>
        </w:trPr>
        <w:tc>
          <w:tcPr>
            <w:tcW w:w="785" w:type="pct"/>
            <w:shd w:val="clear" w:color="auto" w:fill="auto"/>
            <w:vAlign w:val="center"/>
          </w:tcPr>
          <w:p w14:paraId="65A1710B" w14:textId="77777777" w:rsidR="00E54685" w:rsidRPr="0098660A" w:rsidRDefault="00E54685" w:rsidP="00DE6F46">
            <w:pPr>
              <w:pStyle w:val="TableText0"/>
            </w:pPr>
            <w:r w:rsidRPr="0098660A">
              <w:t>Cost/patient/week</w:t>
            </w:r>
          </w:p>
        </w:tc>
        <w:tc>
          <w:tcPr>
            <w:tcW w:w="627" w:type="pct"/>
            <w:shd w:val="clear" w:color="auto" w:fill="auto"/>
            <w:vAlign w:val="center"/>
          </w:tcPr>
          <w:p w14:paraId="7D7AA81B" w14:textId="77777777" w:rsidR="00E54685" w:rsidRPr="0098660A" w:rsidRDefault="00E54685" w:rsidP="00280102">
            <w:pPr>
              <w:pStyle w:val="TableText0"/>
              <w:jc w:val="center"/>
            </w:pPr>
            <w:r w:rsidRPr="0098660A">
              <w:t>$8,783</w:t>
            </w:r>
          </w:p>
        </w:tc>
        <w:tc>
          <w:tcPr>
            <w:tcW w:w="708" w:type="pct"/>
            <w:shd w:val="clear" w:color="auto" w:fill="auto"/>
            <w:vAlign w:val="center"/>
          </w:tcPr>
          <w:p w14:paraId="65901056" w14:textId="77777777" w:rsidR="00E54685" w:rsidRPr="0098660A" w:rsidRDefault="00E54685" w:rsidP="00280102">
            <w:pPr>
              <w:pStyle w:val="TableText0"/>
              <w:jc w:val="center"/>
              <w:rPr>
                <w:vertAlign w:val="superscript"/>
              </w:rPr>
            </w:pPr>
            <w:r w:rsidRPr="0098660A">
              <w:t>$9,009</w:t>
            </w:r>
          </w:p>
        </w:tc>
        <w:tc>
          <w:tcPr>
            <w:tcW w:w="708" w:type="pct"/>
            <w:shd w:val="clear" w:color="auto" w:fill="auto"/>
            <w:vAlign w:val="center"/>
          </w:tcPr>
          <w:p w14:paraId="62CFAF3F" w14:textId="77777777" w:rsidR="00E54685" w:rsidRPr="0098660A" w:rsidRDefault="00E54685" w:rsidP="00280102">
            <w:pPr>
              <w:pStyle w:val="TableText0"/>
              <w:jc w:val="center"/>
              <w:rPr>
                <w:vertAlign w:val="superscript"/>
              </w:rPr>
            </w:pPr>
            <w:r w:rsidRPr="0098660A">
              <w:t>$8,783</w:t>
            </w:r>
          </w:p>
        </w:tc>
        <w:tc>
          <w:tcPr>
            <w:tcW w:w="708" w:type="pct"/>
            <w:shd w:val="clear" w:color="auto" w:fill="auto"/>
            <w:vAlign w:val="center"/>
          </w:tcPr>
          <w:p w14:paraId="5482F554" w14:textId="77777777" w:rsidR="00E54685" w:rsidRPr="0098660A" w:rsidRDefault="00E54685" w:rsidP="00280102">
            <w:pPr>
              <w:pStyle w:val="TableText0"/>
              <w:jc w:val="center"/>
            </w:pPr>
            <w:r w:rsidRPr="0098660A">
              <w:t>$9,007</w:t>
            </w:r>
          </w:p>
        </w:tc>
        <w:tc>
          <w:tcPr>
            <w:tcW w:w="741" w:type="pct"/>
            <w:shd w:val="clear" w:color="auto" w:fill="auto"/>
            <w:vAlign w:val="center"/>
          </w:tcPr>
          <w:p w14:paraId="3F0A7181" w14:textId="77777777" w:rsidR="00E54685" w:rsidRPr="0098660A" w:rsidRDefault="00E54685" w:rsidP="00280102">
            <w:pPr>
              <w:pStyle w:val="TableText0"/>
              <w:jc w:val="center"/>
              <w:rPr>
                <w:vertAlign w:val="superscript"/>
              </w:rPr>
            </w:pPr>
            <w:r w:rsidRPr="0098660A">
              <w:t>$8,976</w:t>
            </w:r>
          </w:p>
        </w:tc>
        <w:tc>
          <w:tcPr>
            <w:tcW w:w="723" w:type="pct"/>
            <w:vAlign w:val="center"/>
          </w:tcPr>
          <w:p w14:paraId="0EB1417A" w14:textId="77777777" w:rsidR="00E54685" w:rsidRPr="0098660A" w:rsidRDefault="00E54685" w:rsidP="00280102">
            <w:pPr>
              <w:pStyle w:val="TableText0"/>
              <w:jc w:val="center"/>
              <w:rPr>
                <w:vertAlign w:val="superscript"/>
              </w:rPr>
            </w:pPr>
            <w:r w:rsidRPr="0098660A">
              <w:t>$9,007</w:t>
            </w:r>
          </w:p>
        </w:tc>
      </w:tr>
      <w:tr w:rsidR="00E54685" w:rsidRPr="0098660A" w14:paraId="135A1F15" w14:textId="77777777" w:rsidTr="00280102">
        <w:trPr>
          <w:cantSplit/>
          <w:jc w:val="center"/>
        </w:trPr>
        <w:tc>
          <w:tcPr>
            <w:tcW w:w="785" w:type="pct"/>
            <w:shd w:val="clear" w:color="auto" w:fill="auto"/>
            <w:vAlign w:val="center"/>
          </w:tcPr>
          <w:p w14:paraId="728A2AC8" w14:textId="77777777" w:rsidR="00E54685" w:rsidRPr="0098660A" w:rsidRDefault="00E54685" w:rsidP="00DE6F46">
            <w:pPr>
              <w:pStyle w:val="TableText0"/>
            </w:pPr>
            <w:r w:rsidRPr="0098660A">
              <w:t>Cost/patient/year</w:t>
            </w:r>
          </w:p>
        </w:tc>
        <w:tc>
          <w:tcPr>
            <w:tcW w:w="627" w:type="pct"/>
            <w:shd w:val="clear" w:color="auto" w:fill="auto"/>
            <w:vAlign w:val="center"/>
          </w:tcPr>
          <w:p w14:paraId="399825BB" w14:textId="77777777" w:rsidR="00E54685" w:rsidRPr="0098660A" w:rsidRDefault="00E54685" w:rsidP="00280102">
            <w:pPr>
              <w:pStyle w:val="TableText0"/>
              <w:jc w:val="center"/>
            </w:pPr>
            <w:r w:rsidRPr="0098660A">
              <w:t>$458,308</w:t>
            </w:r>
          </w:p>
        </w:tc>
        <w:tc>
          <w:tcPr>
            <w:tcW w:w="708" w:type="pct"/>
            <w:shd w:val="clear" w:color="auto" w:fill="auto"/>
            <w:vAlign w:val="center"/>
          </w:tcPr>
          <w:p w14:paraId="1CEC4024" w14:textId="77777777" w:rsidR="00E54685" w:rsidRPr="0098660A" w:rsidRDefault="00E54685" w:rsidP="00280102">
            <w:pPr>
              <w:pStyle w:val="TableText0"/>
              <w:jc w:val="center"/>
              <w:rPr>
                <w:vertAlign w:val="superscript"/>
              </w:rPr>
            </w:pPr>
            <w:r w:rsidRPr="0098660A">
              <w:t>$470,084</w:t>
            </w:r>
          </w:p>
        </w:tc>
        <w:tc>
          <w:tcPr>
            <w:tcW w:w="708" w:type="pct"/>
            <w:shd w:val="clear" w:color="auto" w:fill="auto"/>
            <w:vAlign w:val="center"/>
          </w:tcPr>
          <w:p w14:paraId="2E656A50" w14:textId="77777777" w:rsidR="00E54685" w:rsidRPr="0098660A" w:rsidRDefault="00E54685" w:rsidP="00280102">
            <w:pPr>
              <w:pStyle w:val="TableText0"/>
              <w:jc w:val="center"/>
              <w:rPr>
                <w:vertAlign w:val="superscript"/>
              </w:rPr>
            </w:pPr>
            <w:r w:rsidRPr="0098660A">
              <w:t>$458,308</w:t>
            </w:r>
          </w:p>
        </w:tc>
        <w:tc>
          <w:tcPr>
            <w:tcW w:w="708" w:type="pct"/>
            <w:shd w:val="clear" w:color="auto" w:fill="auto"/>
            <w:vAlign w:val="center"/>
          </w:tcPr>
          <w:p w14:paraId="03AC529D" w14:textId="77777777" w:rsidR="00E54685" w:rsidRPr="0098660A" w:rsidRDefault="00E54685" w:rsidP="00280102">
            <w:pPr>
              <w:pStyle w:val="TableText0"/>
              <w:jc w:val="center"/>
            </w:pPr>
            <w:r w:rsidRPr="0098660A">
              <w:t>$468,383</w:t>
            </w:r>
          </w:p>
        </w:tc>
        <w:tc>
          <w:tcPr>
            <w:tcW w:w="741" w:type="pct"/>
            <w:shd w:val="clear" w:color="auto" w:fill="auto"/>
            <w:vAlign w:val="center"/>
          </w:tcPr>
          <w:p w14:paraId="04E9F275" w14:textId="77777777" w:rsidR="00E54685" w:rsidRPr="0098660A" w:rsidRDefault="00E54685" w:rsidP="00280102">
            <w:pPr>
              <w:pStyle w:val="TableText0"/>
              <w:jc w:val="center"/>
              <w:rPr>
                <w:vertAlign w:val="superscript"/>
              </w:rPr>
            </w:pPr>
            <w:r w:rsidRPr="0098660A">
              <w:t>$468,340</w:t>
            </w:r>
          </w:p>
        </w:tc>
        <w:tc>
          <w:tcPr>
            <w:tcW w:w="723" w:type="pct"/>
            <w:vAlign w:val="center"/>
          </w:tcPr>
          <w:p w14:paraId="1E07266E" w14:textId="77777777" w:rsidR="00E54685" w:rsidRPr="0098660A" w:rsidRDefault="00E54685" w:rsidP="00280102">
            <w:pPr>
              <w:pStyle w:val="TableText0"/>
              <w:jc w:val="center"/>
              <w:rPr>
                <w:vertAlign w:val="superscript"/>
              </w:rPr>
            </w:pPr>
            <w:r w:rsidRPr="0098660A">
              <w:t>$468,383</w:t>
            </w:r>
          </w:p>
        </w:tc>
      </w:tr>
    </w:tbl>
    <w:p w14:paraId="0367294C" w14:textId="4CEC7AD7" w:rsidR="00E54685" w:rsidRPr="0098660A" w:rsidRDefault="00E54685" w:rsidP="00F7237E">
      <w:pPr>
        <w:pStyle w:val="TableFigureFooter"/>
        <w:keepNext/>
      </w:pPr>
      <w:r w:rsidRPr="0098660A">
        <w:t xml:space="preserve">Source: Table 3-1, p90, Table 3-4, p93 of the submission, “Attachment 4.1 Pegcetacoplan 1L BIM” excel spreadsheet provided with the submission and the ravulizumab PSD, July 2021 PBAC </w:t>
      </w:r>
      <w:r w:rsidR="00F7237E" w:rsidRPr="0098660A">
        <w:t>m</w:t>
      </w:r>
      <w:r w:rsidRPr="0098660A">
        <w:t>eeting.</w:t>
      </w:r>
    </w:p>
    <w:p w14:paraId="27A7F2B9" w14:textId="1E778080" w:rsidR="00E54685" w:rsidRPr="0098660A" w:rsidRDefault="00E54685" w:rsidP="00F7237E">
      <w:pPr>
        <w:pStyle w:val="TableFigureFooter"/>
        <w:keepNext/>
      </w:pPr>
      <w:r w:rsidRPr="0098660A">
        <w:t xml:space="preserve">CMA = cost-minimisation </w:t>
      </w:r>
      <w:r w:rsidR="00F7237E" w:rsidRPr="0098660A">
        <w:t>analysis</w:t>
      </w:r>
      <w:r w:rsidRPr="0098660A">
        <w:t>; HSD = highly specialised drugs; PBAC = Pharmaceutical Benefits Advisory Committee; PI = product information; PSD = public summary document.</w:t>
      </w:r>
    </w:p>
    <w:p w14:paraId="711759D4" w14:textId="77777777" w:rsidR="00E54685" w:rsidRPr="0098660A" w:rsidRDefault="00E54685" w:rsidP="00F7237E">
      <w:pPr>
        <w:pStyle w:val="TableFigureFooter"/>
        <w:keepNext/>
      </w:pPr>
      <w:r w:rsidRPr="0098660A">
        <w:t>Note: A small number of eculizumab scripts was also assumed to be offset in the financial analysis.</w:t>
      </w:r>
    </w:p>
    <w:p w14:paraId="27DE03D1" w14:textId="515D6217" w:rsidR="00E54685" w:rsidRPr="0098660A" w:rsidRDefault="00E54685" w:rsidP="00F7237E">
      <w:pPr>
        <w:pStyle w:val="TableFigureFooter"/>
        <w:keepNext/>
      </w:pPr>
      <w:proofErr w:type="spellStart"/>
      <w:r w:rsidRPr="0098660A">
        <w:rPr>
          <w:vertAlign w:val="superscript"/>
        </w:rPr>
        <w:t>a</w:t>
      </w:r>
      <w:proofErr w:type="spellEnd"/>
      <w:r w:rsidRPr="0098660A">
        <w:rPr>
          <w:vertAlign w:val="superscript"/>
        </w:rPr>
        <w:t xml:space="preserve"> </w:t>
      </w:r>
      <w:r w:rsidRPr="0098660A">
        <w:t xml:space="preserve">The average maintenance dose of ravulizumab outlined in the ravulizumab PSD (para 6.64, ravulizumab PSD, July 2021 PBAC </w:t>
      </w:r>
      <w:r w:rsidR="00F7237E" w:rsidRPr="0098660A">
        <w:t>m</w:t>
      </w:r>
      <w:r w:rsidRPr="0098660A">
        <w:t>eeting).</w:t>
      </w:r>
    </w:p>
    <w:p w14:paraId="0B452EB0" w14:textId="5B800012" w:rsidR="00E54685" w:rsidRPr="0098660A" w:rsidRDefault="00E54685" w:rsidP="00F7237E">
      <w:pPr>
        <w:pStyle w:val="TableFigureFooter"/>
        <w:keepNext/>
      </w:pPr>
      <w:r w:rsidRPr="0098660A">
        <w:rPr>
          <w:vertAlign w:val="superscript"/>
        </w:rPr>
        <w:t xml:space="preserve">b </w:t>
      </w:r>
      <w:r w:rsidRPr="0098660A">
        <w:t xml:space="preserve">Based on 94% of patients receiving administrations twice a week and 7% of patients receiving administrations once every </w:t>
      </w:r>
      <w:r w:rsidR="00F7237E" w:rsidRPr="0098660A">
        <w:t>3</w:t>
      </w:r>
      <w:r w:rsidRPr="0098660A">
        <w:t xml:space="preserve"> days as per the PRINCE trial.</w:t>
      </w:r>
    </w:p>
    <w:p w14:paraId="781CCD88" w14:textId="3E5AA19C" w:rsidR="00E54685" w:rsidRPr="0098660A" w:rsidRDefault="00E54685" w:rsidP="00F7237E">
      <w:pPr>
        <w:pStyle w:val="TableFigureFooter"/>
        <w:keepNext/>
      </w:pPr>
      <w:r w:rsidRPr="0098660A">
        <w:rPr>
          <w:vertAlign w:val="superscript"/>
        </w:rPr>
        <w:t xml:space="preserve">c </w:t>
      </w:r>
      <w:r w:rsidRPr="0098660A">
        <w:t>Based on the proposed published price of pegcetacoplan ($4,344 per 1,080 mg vial), weighted 87% public hospital use (no additional fees) and 13% private hospital use (additional $48.37 in HSD dispensing fees).</w:t>
      </w:r>
    </w:p>
    <w:p w14:paraId="0405D212" w14:textId="77777777" w:rsidR="00E54685" w:rsidRPr="0098660A" w:rsidRDefault="00E54685" w:rsidP="00F7237E">
      <w:pPr>
        <w:pStyle w:val="TableFigureFooter"/>
        <w:keepNext/>
      </w:pPr>
      <w:r w:rsidRPr="0098660A">
        <w:rPr>
          <w:vertAlign w:val="superscript"/>
        </w:rPr>
        <w:t xml:space="preserve">d </w:t>
      </w:r>
      <w:r w:rsidRPr="0098660A">
        <w:t>Based on the cost-minimised price (ex-manufacturer price of $4,456 per 1,080 mg vial), not the proposed published price.</w:t>
      </w:r>
    </w:p>
    <w:p w14:paraId="6E58B329" w14:textId="35F6B09E" w:rsidR="00E54685" w:rsidRPr="0098660A" w:rsidRDefault="00E54685" w:rsidP="00F7237E">
      <w:pPr>
        <w:pStyle w:val="TableFigureFooter"/>
        <w:keepNext/>
      </w:pPr>
      <w:r w:rsidRPr="0098660A">
        <w:rPr>
          <w:vertAlign w:val="superscript"/>
        </w:rPr>
        <w:t xml:space="preserve">e </w:t>
      </w:r>
      <w:r w:rsidRPr="0098660A">
        <w:t>Based on dispensing an average of 2.99 × 1,100 mg vials (costing $24,105 each) or 10.96 × 300 mg vials (costing $6,574 each) per administration, weighted 87% public hospital use (no additional fees) and 13% private hospital use (additional $48.37 in HSD dispensing fees). As the cost per mg is the same for both vial sizes, the resulting cost per administration is the same regardless of the vial size used.</w:t>
      </w:r>
    </w:p>
    <w:p w14:paraId="5BDE15B1" w14:textId="12907C5E" w:rsidR="00E54685" w:rsidRPr="0098660A" w:rsidRDefault="00E54685" w:rsidP="00F7237E">
      <w:pPr>
        <w:pStyle w:val="TableFigureFooter"/>
      </w:pPr>
      <w:r w:rsidRPr="0098660A">
        <w:rPr>
          <w:vertAlign w:val="superscript"/>
        </w:rPr>
        <w:t xml:space="preserve">f </w:t>
      </w:r>
      <w:r w:rsidRPr="0098660A">
        <w:t>Based on dispensing an average of 10.96 × 300 mg vials (</w:t>
      </w:r>
      <w:r w:rsidR="00F7237E" w:rsidRPr="0098660A">
        <w:t xml:space="preserve">ex-manufacturer price of </w:t>
      </w:r>
      <w:r w:rsidRPr="0098660A">
        <w:t xml:space="preserve">$6,574 </w:t>
      </w:r>
      <w:r w:rsidR="00F7237E" w:rsidRPr="0098660A">
        <w:t>per vial</w:t>
      </w:r>
      <w:r w:rsidRPr="0098660A">
        <w:t>) per administration.</w:t>
      </w:r>
    </w:p>
    <w:p w14:paraId="71F3136B" w14:textId="77777777" w:rsidR="00E54685" w:rsidRPr="0098660A" w:rsidRDefault="00E54685" w:rsidP="00E54685">
      <w:pPr>
        <w:pStyle w:val="4-SubsectionHeading"/>
      </w:pPr>
      <w:bookmarkStart w:id="81" w:name="_Toc22897647"/>
      <w:bookmarkStart w:id="82" w:name="_Toc187925093"/>
      <w:bookmarkStart w:id="83" w:name="_Toc193368027"/>
      <w:r w:rsidRPr="0098660A">
        <w:t>Estimated PBS usage &amp; financial implications</w:t>
      </w:r>
      <w:bookmarkEnd w:id="81"/>
      <w:bookmarkEnd w:id="82"/>
      <w:bookmarkEnd w:id="83"/>
    </w:p>
    <w:p w14:paraId="153CF433" w14:textId="5A03C518" w:rsidR="00E54685" w:rsidRPr="0098660A" w:rsidRDefault="00E54685" w:rsidP="00E54685">
      <w:pPr>
        <w:pStyle w:val="3-BodyText"/>
      </w:pPr>
      <w:r w:rsidRPr="0098660A">
        <w:t xml:space="preserve">This submission </w:t>
      </w:r>
      <w:r w:rsidR="00FA278B" w:rsidRPr="0098660A">
        <w:t>was not</w:t>
      </w:r>
      <w:r w:rsidRPr="0098660A">
        <w:t xml:space="preserve"> considered by DUSC.</w:t>
      </w:r>
      <w:bookmarkStart w:id="84" w:name="_Ref104805262"/>
      <w:r w:rsidRPr="0098660A">
        <w:t xml:space="preserve"> A market share approach was used to estimate the financial impact of listing pegcetacoplan on the PBS. This was reasonable. The key inputs for the financial analysis are presented in </w:t>
      </w:r>
      <w:r w:rsidR="00EC0820" w:rsidRPr="0098660A">
        <w:fldChar w:fldCharType="begin"/>
      </w:r>
      <w:r w:rsidR="00EC0820" w:rsidRPr="0098660A">
        <w:instrText xml:space="preserve"> REF _Ref203384466 \h </w:instrText>
      </w:r>
      <w:r w:rsidR="00EC0820" w:rsidRPr="0098660A">
        <w:fldChar w:fldCharType="separate"/>
      </w:r>
      <w:r w:rsidR="00134128" w:rsidRPr="0098660A">
        <w:t xml:space="preserve">Table </w:t>
      </w:r>
      <w:r w:rsidR="00134128">
        <w:rPr>
          <w:noProof/>
        </w:rPr>
        <w:t>13</w:t>
      </w:r>
      <w:r w:rsidR="00EC0820" w:rsidRPr="0098660A">
        <w:fldChar w:fldCharType="end"/>
      </w:r>
      <w:r w:rsidR="00EC0820" w:rsidRPr="0098660A">
        <w:t>.</w:t>
      </w:r>
    </w:p>
    <w:p w14:paraId="5E70F39C" w14:textId="16CF887F" w:rsidR="00E54685" w:rsidRPr="0098660A" w:rsidRDefault="00E54685" w:rsidP="00E54685">
      <w:pPr>
        <w:pStyle w:val="In-tableHeading"/>
        <w:rPr>
          <w:rStyle w:val="CommentReference"/>
          <w:b/>
          <w:szCs w:val="24"/>
          <w:lang w:val="en-AU"/>
        </w:rPr>
      </w:pPr>
      <w:bookmarkStart w:id="85" w:name="_Ref203384466"/>
      <w:r w:rsidRPr="0098660A">
        <w:rPr>
          <w:lang w:val="en-AU"/>
        </w:rPr>
        <w:t xml:space="preserve">Table </w:t>
      </w:r>
      <w:r w:rsidRPr="0098660A">
        <w:rPr>
          <w:lang w:val="en-AU"/>
        </w:rPr>
        <w:fldChar w:fldCharType="begin"/>
      </w:r>
      <w:r w:rsidRPr="0098660A">
        <w:rPr>
          <w:lang w:val="en-AU"/>
        </w:rPr>
        <w:instrText xml:space="preserve"> SEQ Table \* ARABIC </w:instrText>
      </w:r>
      <w:r w:rsidRPr="0098660A">
        <w:rPr>
          <w:lang w:val="en-AU"/>
        </w:rPr>
        <w:fldChar w:fldCharType="separate"/>
      </w:r>
      <w:r w:rsidR="00134128">
        <w:rPr>
          <w:noProof/>
          <w:lang w:val="en-AU"/>
        </w:rPr>
        <w:t>13</w:t>
      </w:r>
      <w:r w:rsidRPr="0098660A">
        <w:rPr>
          <w:lang w:val="en-AU"/>
        </w:rPr>
        <w:fldChar w:fldCharType="end"/>
      </w:r>
      <w:bookmarkEnd w:id="84"/>
      <w:bookmarkEnd w:id="85"/>
      <w:r w:rsidRPr="0098660A">
        <w:rPr>
          <w:lang w:val="en-AU"/>
        </w:rPr>
        <w:t>:</w:t>
      </w:r>
      <w:r w:rsidRPr="0098660A">
        <w:rPr>
          <w:rStyle w:val="CommentReference"/>
          <w:b/>
          <w:szCs w:val="24"/>
          <w:lang w:val="en-AU"/>
        </w:rPr>
        <w:t xml:space="preserve"> 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55"/>
        <w:gridCol w:w="3260"/>
        <w:gridCol w:w="4365"/>
      </w:tblGrid>
      <w:tr w:rsidR="00E54685" w:rsidRPr="0098660A" w14:paraId="6238392F" w14:textId="77777777" w:rsidTr="009E5CB3">
        <w:trPr>
          <w:cantSplit/>
          <w:tblHeader/>
        </w:trPr>
        <w:tc>
          <w:tcPr>
            <w:tcW w:w="1555" w:type="dxa"/>
            <w:vAlign w:val="center"/>
          </w:tcPr>
          <w:p w14:paraId="2E3E9285" w14:textId="77777777" w:rsidR="00E54685" w:rsidRPr="0098660A" w:rsidRDefault="00E54685" w:rsidP="00C868A4">
            <w:pPr>
              <w:pStyle w:val="In-tableHeading"/>
              <w:keepNext w:val="0"/>
              <w:jc w:val="center"/>
              <w:rPr>
                <w:lang w:val="en-AU"/>
              </w:rPr>
            </w:pPr>
            <w:r w:rsidRPr="0098660A">
              <w:rPr>
                <w:lang w:val="en-AU"/>
              </w:rPr>
              <w:t>Data</w:t>
            </w:r>
          </w:p>
        </w:tc>
        <w:tc>
          <w:tcPr>
            <w:tcW w:w="3260" w:type="dxa"/>
            <w:vAlign w:val="center"/>
          </w:tcPr>
          <w:p w14:paraId="3187D2E8" w14:textId="77777777" w:rsidR="00E54685" w:rsidRPr="0098660A" w:rsidRDefault="00E54685" w:rsidP="00C868A4">
            <w:pPr>
              <w:pStyle w:val="In-tableHeading"/>
              <w:keepNext w:val="0"/>
              <w:jc w:val="center"/>
              <w:rPr>
                <w:lang w:val="en-AU"/>
              </w:rPr>
            </w:pPr>
            <w:r w:rsidRPr="0098660A">
              <w:rPr>
                <w:lang w:val="en-AU"/>
              </w:rPr>
              <w:t>Value applied and source</w:t>
            </w:r>
          </w:p>
        </w:tc>
        <w:tc>
          <w:tcPr>
            <w:tcW w:w="4365" w:type="dxa"/>
            <w:vAlign w:val="center"/>
          </w:tcPr>
          <w:p w14:paraId="42B2D8E9" w14:textId="77777777" w:rsidR="00E54685" w:rsidRPr="0098660A" w:rsidRDefault="00E54685" w:rsidP="00C868A4">
            <w:pPr>
              <w:pStyle w:val="In-tableHeading"/>
              <w:keepNext w:val="0"/>
              <w:jc w:val="center"/>
              <w:rPr>
                <w:lang w:val="en-AU"/>
              </w:rPr>
            </w:pPr>
            <w:r w:rsidRPr="0098660A">
              <w:rPr>
                <w:lang w:val="en-AU"/>
              </w:rPr>
              <w:t>Comment</w:t>
            </w:r>
          </w:p>
        </w:tc>
      </w:tr>
      <w:tr w:rsidR="00E54685" w:rsidRPr="0098660A" w14:paraId="110D630C" w14:textId="77777777" w:rsidTr="009E5CB3">
        <w:trPr>
          <w:cantSplit/>
        </w:trPr>
        <w:tc>
          <w:tcPr>
            <w:tcW w:w="9180" w:type="dxa"/>
            <w:gridSpan w:val="3"/>
            <w:vAlign w:val="center"/>
          </w:tcPr>
          <w:p w14:paraId="21F6B869" w14:textId="2C86E2F3" w:rsidR="00E54685" w:rsidRPr="0098660A" w:rsidRDefault="00E54685" w:rsidP="00C868A4">
            <w:pPr>
              <w:pStyle w:val="In-tableHeading"/>
              <w:keepNext w:val="0"/>
              <w:rPr>
                <w:lang w:val="en-AU"/>
              </w:rPr>
            </w:pPr>
            <w:r w:rsidRPr="0098660A">
              <w:rPr>
                <w:lang w:val="en-AU"/>
              </w:rPr>
              <w:t>Number of scripts</w:t>
            </w:r>
            <w:r w:rsidR="00235C75" w:rsidRPr="0098660A">
              <w:rPr>
                <w:lang w:val="en-AU"/>
              </w:rPr>
              <w:t xml:space="preserve"> in a shared market</w:t>
            </w:r>
          </w:p>
        </w:tc>
      </w:tr>
      <w:tr w:rsidR="00E54685" w:rsidRPr="0098660A" w14:paraId="0950A990" w14:textId="77777777" w:rsidTr="009E5CB3">
        <w:trPr>
          <w:cantSplit/>
        </w:trPr>
        <w:tc>
          <w:tcPr>
            <w:tcW w:w="1555" w:type="dxa"/>
            <w:vAlign w:val="center"/>
          </w:tcPr>
          <w:p w14:paraId="499D811A" w14:textId="14F77831" w:rsidR="00E54685" w:rsidRPr="0098660A" w:rsidRDefault="00E54685" w:rsidP="00C868A4">
            <w:pPr>
              <w:pStyle w:val="TableText0"/>
              <w:keepNext w:val="0"/>
            </w:pPr>
            <w:r w:rsidRPr="0098660A">
              <w:t>Number of ravulizumab (300</w:t>
            </w:r>
            <w:r w:rsidR="009E5CB3" w:rsidRPr="0098660A">
              <w:t> </w:t>
            </w:r>
            <w:r w:rsidRPr="0098660A">
              <w:t>mg vial and 1,100 mg vial scripts)</w:t>
            </w:r>
          </w:p>
        </w:tc>
        <w:tc>
          <w:tcPr>
            <w:tcW w:w="3260" w:type="dxa"/>
            <w:vMerge w:val="restart"/>
            <w:vAlign w:val="center"/>
          </w:tcPr>
          <w:p w14:paraId="3A6E8FB2" w14:textId="77777777" w:rsidR="00E54685" w:rsidRPr="0098660A" w:rsidRDefault="00E54685" w:rsidP="00C868A4">
            <w:pPr>
              <w:pStyle w:val="TableText0"/>
              <w:keepNext w:val="0"/>
            </w:pPr>
            <w:r w:rsidRPr="0098660A">
              <w:t>Observed script utilisation data in 2023, assuming an annual growth of 2.5%.</w:t>
            </w:r>
          </w:p>
        </w:tc>
        <w:tc>
          <w:tcPr>
            <w:tcW w:w="4365" w:type="dxa"/>
            <w:vMerge w:val="restart"/>
            <w:vAlign w:val="center"/>
          </w:tcPr>
          <w:p w14:paraId="3E8B83EB" w14:textId="13FD2023" w:rsidR="00E54685" w:rsidRPr="0098660A" w:rsidRDefault="00E54685" w:rsidP="00C868A4">
            <w:pPr>
              <w:pStyle w:val="TableText0"/>
              <w:keepNext w:val="0"/>
            </w:pPr>
            <w:r w:rsidRPr="0098660A">
              <w:t>The growth rate appears to be sourced from a single year</w:t>
            </w:r>
            <w:r w:rsidR="004333B0" w:rsidRPr="0098660A">
              <w:t xml:space="preserve"> of PBS utilisation data</w:t>
            </w:r>
            <w:r w:rsidRPr="0098660A">
              <w:t xml:space="preserve"> (2023). The projected average annual </w:t>
            </w:r>
            <w:r w:rsidR="00CC5138" w:rsidRPr="0098660A">
              <w:t xml:space="preserve">growth rate for </w:t>
            </w:r>
            <w:r w:rsidR="00760AD3" w:rsidRPr="0098660A">
              <w:t xml:space="preserve">overall population </w:t>
            </w:r>
            <w:r w:rsidRPr="0098660A">
              <w:t>was estimated to be 1.2%</w:t>
            </w:r>
            <w:r w:rsidR="00024E82" w:rsidRPr="0098660A">
              <w:rPr>
                <w:rFonts w:ascii="Symbol" w:eastAsia="Symbol" w:hAnsi="Symbol" w:cs="Symbol"/>
              </w:rPr>
              <w:t>-</w:t>
            </w:r>
            <w:r w:rsidRPr="0098660A">
              <w:t>1.7% by the ABS.</w:t>
            </w:r>
          </w:p>
        </w:tc>
      </w:tr>
      <w:tr w:rsidR="00E54685" w:rsidRPr="0098660A" w14:paraId="57ED614C" w14:textId="77777777" w:rsidTr="009E5CB3">
        <w:trPr>
          <w:cantSplit/>
        </w:trPr>
        <w:tc>
          <w:tcPr>
            <w:tcW w:w="1555" w:type="dxa"/>
            <w:vAlign w:val="center"/>
          </w:tcPr>
          <w:p w14:paraId="7685AEF5" w14:textId="77777777" w:rsidR="00E54685" w:rsidRPr="0098660A" w:rsidRDefault="00E54685" w:rsidP="00C868A4">
            <w:pPr>
              <w:pStyle w:val="TableText0"/>
              <w:keepNext w:val="0"/>
            </w:pPr>
            <w:r w:rsidRPr="0098660A">
              <w:t>Number of eculizumab scripts</w:t>
            </w:r>
          </w:p>
        </w:tc>
        <w:tc>
          <w:tcPr>
            <w:tcW w:w="3260" w:type="dxa"/>
            <w:vMerge/>
            <w:vAlign w:val="center"/>
          </w:tcPr>
          <w:p w14:paraId="0195EF4F" w14:textId="77777777" w:rsidR="00E54685" w:rsidRPr="0098660A" w:rsidRDefault="00E54685" w:rsidP="00C868A4">
            <w:pPr>
              <w:pStyle w:val="TableText0"/>
              <w:keepNext w:val="0"/>
            </w:pPr>
          </w:p>
        </w:tc>
        <w:tc>
          <w:tcPr>
            <w:tcW w:w="4365" w:type="dxa"/>
            <w:vMerge/>
            <w:vAlign w:val="center"/>
          </w:tcPr>
          <w:p w14:paraId="700A5860" w14:textId="77777777" w:rsidR="00E54685" w:rsidRPr="0098660A" w:rsidRDefault="00E54685" w:rsidP="00C868A4">
            <w:pPr>
              <w:pStyle w:val="TableText0"/>
              <w:keepNext w:val="0"/>
            </w:pPr>
          </w:p>
        </w:tc>
      </w:tr>
      <w:tr w:rsidR="00E54685" w:rsidRPr="0098660A" w14:paraId="35E9D496" w14:textId="77777777" w:rsidTr="009E5CB3">
        <w:trPr>
          <w:cantSplit/>
        </w:trPr>
        <w:tc>
          <w:tcPr>
            <w:tcW w:w="9180" w:type="dxa"/>
            <w:gridSpan w:val="3"/>
            <w:vAlign w:val="center"/>
          </w:tcPr>
          <w:p w14:paraId="48BA80BE" w14:textId="77777777" w:rsidR="00E54685" w:rsidRPr="0098660A" w:rsidRDefault="00E54685" w:rsidP="00C868A4">
            <w:pPr>
              <w:pStyle w:val="TableText0"/>
              <w:keepNext w:val="0"/>
            </w:pPr>
            <w:r w:rsidRPr="0098660A">
              <w:t>Treatment utilisation</w:t>
            </w:r>
          </w:p>
        </w:tc>
      </w:tr>
      <w:tr w:rsidR="00E54685" w:rsidRPr="0098660A" w14:paraId="52A3B99C" w14:textId="77777777" w:rsidTr="009E5CB3">
        <w:trPr>
          <w:cantSplit/>
        </w:trPr>
        <w:tc>
          <w:tcPr>
            <w:tcW w:w="1555" w:type="dxa"/>
            <w:vAlign w:val="center"/>
          </w:tcPr>
          <w:p w14:paraId="668D56FB" w14:textId="77777777" w:rsidR="00E54685" w:rsidRPr="0098660A" w:rsidRDefault="00E54685" w:rsidP="00C868A4">
            <w:pPr>
              <w:pStyle w:val="TableText0"/>
              <w:keepNext w:val="0"/>
            </w:pPr>
            <w:r w:rsidRPr="0098660A">
              <w:t>Pegcetacoplan uptake rate</w:t>
            </w:r>
          </w:p>
        </w:tc>
        <w:tc>
          <w:tcPr>
            <w:tcW w:w="3260" w:type="dxa"/>
            <w:vAlign w:val="center"/>
          </w:tcPr>
          <w:p w14:paraId="574EC8E1" w14:textId="216923ED" w:rsidR="00E54685" w:rsidRPr="0098660A" w:rsidRDefault="00E54685" w:rsidP="00C868A4">
            <w:pPr>
              <w:pStyle w:val="TableText0"/>
              <w:keepNext w:val="0"/>
            </w:pPr>
            <w:r w:rsidRPr="0098660A">
              <w:t xml:space="preserve">Ranging from </w:t>
            </w:r>
            <w:r w:rsidR="00910397" w:rsidRPr="00910397">
              <w:rPr>
                <w:color w:val="000000"/>
                <w:spacing w:val="53"/>
                <w:shd w:val="solid" w:color="000000" w:fill="000000"/>
                <w:fitText w:val="330" w:id="-663463152"/>
                <w14:textFill>
                  <w14:solidFill>
                    <w14:srgbClr w14:val="000000">
                      <w14:alpha w14:val="100000"/>
                    </w14:srgbClr>
                  </w14:solidFill>
                </w14:textFill>
              </w:rPr>
              <w:t>|||</w:t>
            </w:r>
            <w:r w:rsidR="00910397" w:rsidRPr="00910397">
              <w:rPr>
                <w:color w:val="000000"/>
                <w:spacing w:val="1"/>
                <w:shd w:val="solid" w:color="000000" w:fill="000000"/>
                <w:fitText w:val="330" w:id="-663463152"/>
                <w14:textFill>
                  <w14:solidFill>
                    <w14:srgbClr w14:val="000000">
                      <w14:alpha w14:val="100000"/>
                    </w14:srgbClr>
                  </w14:solidFill>
                </w14:textFill>
              </w:rPr>
              <w:t>|</w:t>
            </w:r>
            <w:r w:rsidRPr="0098660A">
              <w:t xml:space="preserve">% to </w:t>
            </w:r>
            <w:r w:rsidR="00910397" w:rsidRPr="00910397">
              <w:rPr>
                <w:color w:val="000000"/>
                <w:spacing w:val="53"/>
                <w:shd w:val="solid" w:color="000000" w:fill="000000"/>
                <w:fitText w:val="330" w:id="-663463168"/>
                <w14:textFill>
                  <w14:solidFill>
                    <w14:srgbClr w14:val="000000">
                      <w14:alpha w14:val="100000"/>
                    </w14:srgbClr>
                  </w14:solidFill>
                </w14:textFill>
              </w:rPr>
              <w:t>|||</w:t>
            </w:r>
            <w:r w:rsidR="00910397" w:rsidRPr="00910397">
              <w:rPr>
                <w:color w:val="000000"/>
                <w:spacing w:val="1"/>
                <w:shd w:val="solid" w:color="000000" w:fill="000000"/>
                <w:fitText w:val="330" w:id="-663463168"/>
                <w14:textFill>
                  <w14:solidFill>
                    <w14:srgbClr w14:val="000000">
                      <w14:alpha w14:val="100000"/>
                    </w14:srgbClr>
                  </w14:solidFill>
                </w14:textFill>
              </w:rPr>
              <w:t>|</w:t>
            </w:r>
            <w:r w:rsidRPr="0098660A">
              <w:t>% applied to ravulizumab and eculizumab script</w:t>
            </w:r>
            <w:r w:rsidR="00235C75" w:rsidRPr="0098660A">
              <w:t xml:space="preserve"> numbers</w:t>
            </w:r>
            <w:r w:rsidRPr="0098660A">
              <w:t xml:space="preserve">. Based on the uptake rate in the current pegcetacoplan PBS listing. </w:t>
            </w:r>
          </w:p>
        </w:tc>
        <w:tc>
          <w:tcPr>
            <w:tcW w:w="4365" w:type="dxa"/>
            <w:vAlign w:val="center"/>
          </w:tcPr>
          <w:p w14:paraId="047D3696" w14:textId="77777777" w:rsidR="00E54685" w:rsidRPr="0098660A" w:rsidRDefault="00E54685" w:rsidP="00C868A4">
            <w:pPr>
              <w:pStyle w:val="TableText0"/>
              <w:keepNext w:val="0"/>
            </w:pPr>
            <w:r w:rsidRPr="0098660A">
              <w:t>The source of the uptake rate could not be verified during the evaluation however a modest uptake rate may be reasonable given the frequency of infusions associated with pegcetacoplan over ravulizumab and eculizumab.</w:t>
            </w:r>
          </w:p>
        </w:tc>
      </w:tr>
      <w:tr w:rsidR="00E54685" w:rsidRPr="0098660A" w14:paraId="62307EC3" w14:textId="77777777" w:rsidTr="009E5CB3">
        <w:trPr>
          <w:cantSplit/>
        </w:trPr>
        <w:tc>
          <w:tcPr>
            <w:tcW w:w="1555" w:type="dxa"/>
            <w:vAlign w:val="center"/>
          </w:tcPr>
          <w:p w14:paraId="6E147A73" w14:textId="5CAAF4C7" w:rsidR="00E54685" w:rsidRPr="0098660A" w:rsidRDefault="00E54685" w:rsidP="00C868A4">
            <w:pPr>
              <w:pStyle w:val="TableText0"/>
              <w:keepNext w:val="0"/>
            </w:pPr>
            <w:r w:rsidRPr="0098660A">
              <w:t>Pegcetacoplan script replacement</w:t>
            </w:r>
            <w:r w:rsidR="00235C75" w:rsidRPr="0098660A">
              <w:t xml:space="preserve"> rate</w:t>
            </w:r>
          </w:p>
        </w:tc>
        <w:tc>
          <w:tcPr>
            <w:tcW w:w="3260" w:type="dxa"/>
            <w:vAlign w:val="center"/>
          </w:tcPr>
          <w:p w14:paraId="22AA7362" w14:textId="118FFB16" w:rsidR="00E54685" w:rsidRPr="0098660A" w:rsidRDefault="00E54685" w:rsidP="00C868A4">
            <w:pPr>
              <w:pStyle w:val="TableText0"/>
              <w:keepNext w:val="0"/>
            </w:pPr>
            <w:r w:rsidRPr="0098660A">
              <w:t>2.01</w:t>
            </w:r>
            <w:r w:rsidR="00235C75" w:rsidRPr="0098660A">
              <w:t>:1</w:t>
            </w:r>
            <w:r w:rsidRPr="0098660A">
              <w:t xml:space="preserve"> for ravulizumab scripts and 0.5</w:t>
            </w:r>
            <w:r w:rsidR="00235C75" w:rsidRPr="0098660A">
              <w:t>:1</w:t>
            </w:r>
            <w:r w:rsidRPr="0098660A">
              <w:t xml:space="preserve"> for eculizumab scripts. Assuming one script per administration (regardless of vial size for ravulizumab), administered once every eight weeks for ravulizumab and fortnightly for eculizumab and one script every four weeks for pegcetacoplan.</w:t>
            </w:r>
          </w:p>
        </w:tc>
        <w:tc>
          <w:tcPr>
            <w:tcW w:w="4365" w:type="dxa"/>
            <w:vAlign w:val="center"/>
          </w:tcPr>
          <w:p w14:paraId="001935C5" w14:textId="77777777" w:rsidR="00E54685" w:rsidRPr="0098660A" w:rsidRDefault="00E54685" w:rsidP="00C868A4">
            <w:pPr>
              <w:pStyle w:val="TableText0"/>
              <w:keepNext w:val="0"/>
            </w:pPr>
            <w:r w:rsidRPr="0098660A">
              <w:t xml:space="preserve">The assumption of one script per administration for ravulizumab may be reasonable as the majority of ravulizumab patients only require one vial size per administration (as per the </w:t>
            </w:r>
            <w:proofErr w:type="spellStart"/>
            <w:r w:rsidRPr="0098660A">
              <w:t>ravulizumab</w:t>
            </w:r>
            <w:proofErr w:type="spellEnd"/>
            <w:r w:rsidRPr="0098660A">
              <w:t xml:space="preserve"> PSD</w:t>
            </w:r>
            <w:proofErr w:type="gramStart"/>
            <w:r w:rsidRPr="0098660A">
              <w:t>).</w:t>
            </w:r>
            <w:proofErr w:type="spellStart"/>
            <w:r w:rsidRPr="0098660A">
              <w:rPr>
                <w:vertAlign w:val="superscript"/>
              </w:rPr>
              <w:t>a</w:t>
            </w:r>
            <w:proofErr w:type="spellEnd"/>
            <w:proofErr w:type="gramEnd"/>
            <w:r w:rsidRPr="0098660A">
              <w:t xml:space="preserve"> Initial scripts for eculizumab last for four weeks hence the script replacement rate for </w:t>
            </w:r>
            <w:proofErr w:type="gramStart"/>
            <w:r w:rsidRPr="0098660A">
              <w:t>these script</w:t>
            </w:r>
            <w:proofErr w:type="gramEnd"/>
            <w:r w:rsidRPr="0098660A">
              <w:t xml:space="preserve"> would be 1, however this had a minor impact of the financial analyses.</w:t>
            </w:r>
          </w:p>
        </w:tc>
      </w:tr>
      <w:tr w:rsidR="00E54685" w:rsidRPr="0098660A" w14:paraId="20879B43" w14:textId="77777777" w:rsidTr="009E5CB3">
        <w:trPr>
          <w:cantSplit/>
        </w:trPr>
        <w:tc>
          <w:tcPr>
            <w:tcW w:w="9180" w:type="dxa"/>
            <w:gridSpan w:val="3"/>
            <w:vAlign w:val="center"/>
          </w:tcPr>
          <w:p w14:paraId="797BE185" w14:textId="77777777" w:rsidR="00E54685" w:rsidRPr="0098660A" w:rsidRDefault="00E54685" w:rsidP="00C868A4">
            <w:pPr>
              <w:pStyle w:val="TableText0"/>
              <w:keepNext w:val="0"/>
            </w:pPr>
            <w:r w:rsidRPr="0098660A">
              <w:lastRenderedPageBreak/>
              <w:t>PBS Costs</w:t>
            </w:r>
          </w:p>
        </w:tc>
      </w:tr>
      <w:tr w:rsidR="00E54685" w:rsidRPr="0098660A" w14:paraId="587BEA9D" w14:textId="77777777" w:rsidTr="009E5CB3">
        <w:trPr>
          <w:cantSplit/>
        </w:trPr>
        <w:tc>
          <w:tcPr>
            <w:tcW w:w="1555" w:type="dxa"/>
            <w:vAlign w:val="center"/>
          </w:tcPr>
          <w:p w14:paraId="0D5C1B35" w14:textId="77777777" w:rsidR="00E54685" w:rsidRPr="0098660A" w:rsidRDefault="00E54685" w:rsidP="00C868A4">
            <w:pPr>
              <w:pStyle w:val="TableText0"/>
              <w:keepNext w:val="0"/>
            </w:pPr>
            <w:r w:rsidRPr="0098660A">
              <w:t>Pegcetacoplan cost per script</w:t>
            </w:r>
          </w:p>
        </w:tc>
        <w:tc>
          <w:tcPr>
            <w:tcW w:w="3260" w:type="dxa"/>
            <w:vAlign w:val="center"/>
          </w:tcPr>
          <w:p w14:paraId="218C66C5" w14:textId="77777777" w:rsidR="00E54685" w:rsidRPr="0098660A" w:rsidRDefault="00E54685" w:rsidP="00C868A4">
            <w:pPr>
              <w:pStyle w:val="TableText0"/>
              <w:keepNext w:val="0"/>
            </w:pPr>
            <w:r w:rsidRPr="0098660A">
              <w:t>$35,134. Based on 8.09 vials being dispensed each script, the weighted average number of vials sufficient for four weeks of treatment as per the PRINCE trial with HSD mark ups.</w:t>
            </w:r>
          </w:p>
        </w:tc>
        <w:tc>
          <w:tcPr>
            <w:tcW w:w="4365" w:type="dxa"/>
            <w:vAlign w:val="center"/>
          </w:tcPr>
          <w:p w14:paraId="224F54FB" w14:textId="65EE6691" w:rsidR="00E54685" w:rsidRPr="0098660A" w:rsidRDefault="00E54685" w:rsidP="00C868A4">
            <w:pPr>
              <w:pStyle w:val="TableText0"/>
              <w:keepNext w:val="0"/>
            </w:pPr>
            <w:r w:rsidRPr="0098660A">
              <w:t xml:space="preserve">This </w:t>
            </w:r>
            <w:r w:rsidR="00D25B4B" w:rsidRPr="0098660A">
              <w:t xml:space="preserve">cost </w:t>
            </w:r>
            <w:r w:rsidR="003F0CD8" w:rsidRPr="0098660A">
              <w:t xml:space="preserve">included 7% of </w:t>
            </w:r>
            <w:r w:rsidR="00DE6F46" w:rsidRPr="0098660A">
              <w:t>patients</w:t>
            </w:r>
            <w:r w:rsidR="003F0CD8" w:rsidRPr="0098660A">
              <w:t xml:space="preserve"> receiving</w:t>
            </w:r>
            <w:r w:rsidR="00A5768D" w:rsidRPr="0098660A">
              <w:t xml:space="preserve"> an infusion once every 3 days. The cost would increase if</w:t>
            </w:r>
            <w:r w:rsidR="0062431D" w:rsidRPr="0098660A">
              <w:t xml:space="preserve"> the </w:t>
            </w:r>
            <w:r w:rsidR="00D25B4B" w:rsidRPr="0098660A">
              <w:t>escalated dosing from the OLE study</w:t>
            </w:r>
            <w:r w:rsidR="00A5768D" w:rsidRPr="0098660A">
              <w:t xml:space="preserve"> was used (26%</w:t>
            </w:r>
            <w:r w:rsidR="00DE6F46" w:rsidRPr="0098660A">
              <w:t xml:space="preserve"> of patients receiving an infusion once every 3 days)</w:t>
            </w:r>
            <w:r w:rsidRPr="0098660A">
              <w:t xml:space="preserve">. </w:t>
            </w:r>
          </w:p>
        </w:tc>
      </w:tr>
      <w:tr w:rsidR="00E54685" w:rsidRPr="0098660A" w14:paraId="07B36ACA" w14:textId="77777777" w:rsidTr="009E5CB3">
        <w:trPr>
          <w:cantSplit/>
        </w:trPr>
        <w:tc>
          <w:tcPr>
            <w:tcW w:w="1555" w:type="dxa"/>
            <w:vAlign w:val="center"/>
          </w:tcPr>
          <w:p w14:paraId="24E4632D" w14:textId="77777777" w:rsidR="00E54685" w:rsidRPr="0098660A" w:rsidRDefault="00E54685" w:rsidP="00C868A4">
            <w:pPr>
              <w:pStyle w:val="TableText0"/>
              <w:keepNext w:val="0"/>
            </w:pPr>
            <w:r w:rsidRPr="0098660A">
              <w:t>Ravulizumab cost per administration.</w:t>
            </w:r>
          </w:p>
        </w:tc>
        <w:tc>
          <w:tcPr>
            <w:tcW w:w="3260" w:type="dxa"/>
            <w:vAlign w:val="center"/>
          </w:tcPr>
          <w:p w14:paraId="68BD7C87" w14:textId="787C8BDE" w:rsidR="00E54685" w:rsidRPr="0098660A" w:rsidRDefault="00E54685" w:rsidP="00C868A4">
            <w:pPr>
              <w:pStyle w:val="TableText0"/>
              <w:keepNext w:val="0"/>
            </w:pPr>
            <w:r w:rsidRPr="0098660A">
              <w:t xml:space="preserve">$72,058. </w:t>
            </w:r>
            <w:r w:rsidR="00235C75" w:rsidRPr="0098660A">
              <w:t>Assumed</w:t>
            </w:r>
            <w:r w:rsidRPr="0098660A">
              <w:t xml:space="preserve"> that each script would dispense the required number of vials to achieve the mean ravulizumab maintenance dose (2.99 for 1,100 mg vials and 10.96 for 300 mg vials) with HSD mark ups.</w:t>
            </w:r>
          </w:p>
        </w:tc>
        <w:tc>
          <w:tcPr>
            <w:tcW w:w="4365" w:type="dxa"/>
            <w:vAlign w:val="center"/>
          </w:tcPr>
          <w:p w14:paraId="485F3650" w14:textId="0E7D7279" w:rsidR="00E54685" w:rsidRPr="0098660A" w:rsidRDefault="00E54685" w:rsidP="00C868A4">
            <w:pPr>
              <w:pStyle w:val="TableText0"/>
              <w:keepNext w:val="0"/>
            </w:pPr>
            <w:r w:rsidRPr="0098660A">
              <w:t xml:space="preserve">This was </w:t>
            </w:r>
            <w:r w:rsidR="00C2328E" w:rsidRPr="0098660A">
              <w:t xml:space="preserve">appropriate </w:t>
            </w:r>
            <w:r w:rsidRPr="0098660A">
              <w:t>as it was consistent with CMA and the submission’s assumption of one script was equivalent to one administration.</w:t>
            </w:r>
          </w:p>
        </w:tc>
      </w:tr>
      <w:tr w:rsidR="00E54685" w:rsidRPr="0098660A" w14:paraId="576E1D8C" w14:textId="77777777" w:rsidTr="009E5CB3">
        <w:trPr>
          <w:cantSplit/>
        </w:trPr>
        <w:tc>
          <w:tcPr>
            <w:tcW w:w="1555" w:type="dxa"/>
            <w:vAlign w:val="center"/>
          </w:tcPr>
          <w:p w14:paraId="0914850D" w14:textId="77777777" w:rsidR="00E54685" w:rsidRPr="0098660A" w:rsidRDefault="00E54685" w:rsidP="00C868A4">
            <w:pPr>
              <w:pStyle w:val="TableText0"/>
              <w:keepNext w:val="0"/>
            </w:pPr>
            <w:r w:rsidRPr="0098660A">
              <w:t>Eculizumab cost per script</w:t>
            </w:r>
          </w:p>
        </w:tc>
        <w:tc>
          <w:tcPr>
            <w:tcW w:w="3260" w:type="dxa"/>
            <w:vAlign w:val="center"/>
          </w:tcPr>
          <w:p w14:paraId="73410A01" w14:textId="77777777" w:rsidR="00E54685" w:rsidRPr="0098660A" w:rsidRDefault="00E54685" w:rsidP="00C868A4">
            <w:pPr>
              <w:pStyle w:val="TableText0"/>
              <w:keepNext w:val="0"/>
            </w:pPr>
            <w:r w:rsidRPr="0098660A">
              <w:t>$16,934. Based on the number of vials required for the standard maintenance dose of eculizumab (900 mg, 3 × 300 mg vials) with HSD mark ups.</w:t>
            </w:r>
          </w:p>
        </w:tc>
        <w:tc>
          <w:tcPr>
            <w:tcW w:w="4365" w:type="dxa"/>
            <w:vAlign w:val="center"/>
          </w:tcPr>
          <w:p w14:paraId="2129B0BE" w14:textId="74CAB661" w:rsidR="00E54685" w:rsidRPr="0098660A" w:rsidRDefault="00E54685" w:rsidP="00C868A4">
            <w:pPr>
              <w:pStyle w:val="TableText0"/>
              <w:keepNext w:val="0"/>
            </w:pPr>
            <w:r w:rsidRPr="0098660A">
              <w:t>While the cost per script was appropriate for the maintenance eculizumab dose (i.e. continuing scripts), initiating scrips have been underestimated as 8 × 300</w:t>
            </w:r>
            <w:r w:rsidR="009E5CB3" w:rsidRPr="0098660A">
              <w:t> </w:t>
            </w:r>
            <w:r w:rsidRPr="0098660A">
              <w:t>mg vials are required for the loading dose, equivalent to the DPMQ of eculizumab initial scripts. However, the financial impact of this was minimal.</w:t>
            </w:r>
          </w:p>
        </w:tc>
      </w:tr>
      <w:tr w:rsidR="00E54685" w:rsidRPr="0098660A" w14:paraId="11AD37D9" w14:textId="77777777" w:rsidTr="009E5CB3">
        <w:trPr>
          <w:cantSplit/>
        </w:trPr>
        <w:tc>
          <w:tcPr>
            <w:tcW w:w="9180" w:type="dxa"/>
            <w:gridSpan w:val="3"/>
            <w:vAlign w:val="center"/>
          </w:tcPr>
          <w:p w14:paraId="36706A5D" w14:textId="77777777" w:rsidR="00E54685" w:rsidRPr="0098660A" w:rsidRDefault="00E54685" w:rsidP="00C868A4">
            <w:pPr>
              <w:pStyle w:val="TableText0"/>
              <w:keepNext w:val="0"/>
            </w:pPr>
            <w:r w:rsidRPr="0098660A">
              <w:t>MBS/NIP costs</w:t>
            </w:r>
          </w:p>
        </w:tc>
      </w:tr>
      <w:tr w:rsidR="00E54685" w:rsidRPr="0098660A" w14:paraId="365E52E9" w14:textId="77777777" w:rsidTr="009E5CB3">
        <w:trPr>
          <w:cantSplit/>
        </w:trPr>
        <w:tc>
          <w:tcPr>
            <w:tcW w:w="1555" w:type="dxa"/>
            <w:vAlign w:val="center"/>
          </w:tcPr>
          <w:p w14:paraId="3D442CF0" w14:textId="77777777" w:rsidR="00E54685" w:rsidRPr="0098660A" w:rsidRDefault="00E54685" w:rsidP="00C868A4">
            <w:pPr>
              <w:pStyle w:val="TableText0"/>
              <w:keepNext w:val="0"/>
            </w:pPr>
            <w:r w:rsidRPr="0098660A">
              <w:t>Administration costs</w:t>
            </w:r>
          </w:p>
        </w:tc>
        <w:tc>
          <w:tcPr>
            <w:tcW w:w="3260" w:type="dxa"/>
            <w:vAlign w:val="center"/>
          </w:tcPr>
          <w:p w14:paraId="7B7CDA5C" w14:textId="77777777" w:rsidR="00E54685" w:rsidRPr="0098660A" w:rsidRDefault="00E54685" w:rsidP="00C868A4">
            <w:pPr>
              <w:pStyle w:val="TableText0"/>
              <w:keepNext w:val="0"/>
            </w:pPr>
            <w:r w:rsidRPr="0098660A">
              <w:t xml:space="preserve">$80.28 per ravulizumab and eculizumab script replaced. MBS item 14245 with </w:t>
            </w:r>
            <w:proofErr w:type="gramStart"/>
            <w:r w:rsidRPr="0098660A">
              <w:t>a</w:t>
            </w:r>
            <w:proofErr w:type="gramEnd"/>
            <w:r w:rsidRPr="0098660A">
              <w:t xml:space="preserve"> 80% MBS rebate.</w:t>
            </w:r>
          </w:p>
        </w:tc>
        <w:tc>
          <w:tcPr>
            <w:tcW w:w="4365" w:type="dxa"/>
            <w:vAlign w:val="center"/>
          </w:tcPr>
          <w:p w14:paraId="3234AD11" w14:textId="77777777" w:rsidR="00917EDC" w:rsidRPr="0098660A" w:rsidRDefault="00E54685" w:rsidP="00C868A4">
            <w:pPr>
              <w:pStyle w:val="TableText0"/>
              <w:keepNext w:val="0"/>
            </w:pPr>
            <w:r w:rsidRPr="0098660A">
              <w:t xml:space="preserve">The number of scripts were erroneously double counted. </w:t>
            </w:r>
          </w:p>
          <w:p w14:paraId="7FD20031" w14:textId="225AA63B" w:rsidR="00E54685" w:rsidRPr="0098660A" w:rsidRDefault="00917EDC" w:rsidP="00C868A4">
            <w:pPr>
              <w:pStyle w:val="TableText0"/>
              <w:keepNext w:val="0"/>
            </w:pPr>
            <w:r w:rsidRPr="0098660A">
              <w:t>Also, t</w:t>
            </w:r>
            <w:r w:rsidR="005569BD" w:rsidRPr="0098660A">
              <w:t>he PBAC previously required the removal of cost offsets for treatment administration in the CMA for the pegcetacoplan listing in second-line PNH, which was also applied to the financial implications (see Table 1, pegcetacoplan PSD, July 2022 PBAC meeting).</w:t>
            </w:r>
          </w:p>
        </w:tc>
      </w:tr>
      <w:tr w:rsidR="00E54685" w:rsidRPr="0098660A" w14:paraId="51F5A9A0" w14:textId="77777777" w:rsidTr="009E5CB3">
        <w:trPr>
          <w:cantSplit/>
        </w:trPr>
        <w:tc>
          <w:tcPr>
            <w:tcW w:w="1555" w:type="dxa"/>
            <w:vAlign w:val="center"/>
          </w:tcPr>
          <w:p w14:paraId="5B9F78E7" w14:textId="77777777" w:rsidR="00E54685" w:rsidRPr="0098660A" w:rsidRDefault="00E54685" w:rsidP="00C868A4">
            <w:pPr>
              <w:pStyle w:val="TableText0"/>
              <w:keepNext w:val="0"/>
            </w:pPr>
            <w:r w:rsidRPr="0098660A">
              <w:t>Vaccination costs</w:t>
            </w:r>
          </w:p>
        </w:tc>
        <w:tc>
          <w:tcPr>
            <w:tcW w:w="3260" w:type="dxa"/>
            <w:vAlign w:val="center"/>
          </w:tcPr>
          <w:p w14:paraId="0FEE21F8" w14:textId="77777777" w:rsidR="00E54685" w:rsidRPr="0098660A" w:rsidRDefault="00E54685" w:rsidP="00C868A4">
            <w:pPr>
              <w:pStyle w:val="TableText0"/>
              <w:keepNext w:val="0"/>
            </w:pPr>
            <w:r w:rsidRPr="0098660A">
              <w:t>$0. No vaccination costs were included.</w:t>
            </w:r>
          </w:p>
        </w:tc>
        <w:tc>
          <w:tcPr>
            <w:tcW w:w="4365" w:type="dxa"/>
            <w:vAlign w:val="center"/>
          </w:tcPr>
          <w:p w14:paraId="3D99D7B9" w14:textId="2E797BDF" w:rsidR="00E54685" w:rsidRPr="0098660A" w:rsidRDefault="00075B89" w:rsidP="00C868A4">
            <w:pPr>
              <w:pStyle w:val="TableText0"/>
              <w:keepNext w:val="0"/>
            </w:pPr>
            <w:r w:rsidRPr="0098660A">
              <w:t>The PSCR (p4) noted costs to the NIP have not been considered in the cost and utilisation estimates of any previous PBAC submissions for PNH. The PSCR considered the a</w:t>
            </w:r>
            <w:r w:rsidR="005D1B80" w:rsidRPr="0098660A">
              <w:t>dditional vaccinations will result in minimal additional costs</w:t>
            </w:r>
            <w:r w:rsidRPr="0098660A">
              <w:t xml:space="preserve"> and</w:t>
            </w:r>
            <w:r w:rsidR="005D1B80" w:rsidRPr="0098660A">
              <w:t xml:space="preserve"> maintains </w:t>
            </w:r>
            <w:r w:rsidRPr="0098660A">
              <w:t xml:space="preserve">they </w:t>
            </w:r>
            <w:r w:rsidR="005D1B80" w:rsidRPr="0098660A">
              <w:t>should not be considered in</w:t>
            </w:r>
            <w:r w:rsidRPr="0098660A">
              <w:t xml:space="preserve"> the</w:t>
            </w:r>
            <w:r w:rsidR="005D1B80" w:rsidRPr="0098660A">
              <w:t xml:space="preserve"> financial estimates</w:t>
            </w:r>
            <w:r w:rsidRPr="0098660A">
              <w:t>.</w:t>
            </w:r>
          </w:p>
        </w:tc>
      </w:tr>
    </w:tbl>
    <w:p w14:paraId="58793BA9" w14:textId="77777777" w:rsidR="00E54685" w:rsidRPr="0098660A" w:rsidRDefault="00E54685" w:rsidP="00E54685">
      <w:pPr>
        <w:pStyle w:val="TableFigureFooter"/>
      </w:pPr>
      <w:r w:rsidRPr="0098660A">
        <w:t>Source: Constructed during the evaluation from the “Attachment 4.1 Pegcetacoplan 1L BIM” excel spreadsheet provided with the submission.</w:t>
      </w:r>
    </w:p>
    <w:p w14:paraId="3DF2A8BF" w14:textId="77777777" w:rsidR="00E54685" w:rsidRPr="0098660A" w:rsidRDefault="00E54685" w:rsidP="00E54685">
      <w:pPr>
        <w:pStyle w:val="TableFigureFooter"/>
      </w:pPr>
      <w:r w:rsidRPr="0098660A">
        <w:t>ABS = Australian Bureau of Statistics; CMA = cost minimisation analysis; DPMQ = dispensed price for maximum quantity; HSD = highly specialised drugs; MBS = Medicare Benefits Schedule; NIP = National Immunisation Program; PBS = Pharmaceutical Benefits Scheme; PBAC = Pharmaceutical Benefits Advisory Committee; PNH = paroxysmal nocturnal hemoglobinuria; PSD = public summary document.</w:t>
      </w:r>
    </w:p>
    <w:p w14:paraId="435C97B9" w14:textId="1E3DA791" w:rsidR="00E54685" w:rsidRPr="0098660A" w:rsidRDefault="00E54685" w:rsidP="009E5CB3">
      <w:pPr>
        <w:pStyle w:val="TableFigureFooter"/>
        <w:spacing w:after="120"/>
      </w:pPr>
      <w:r w:rsidRPr="0098660A">
        <w:rPr>
          <w:vertAlign w:val="superscript"/>
        </w:rPr>
        <w:t xml:space="preserve">a </w:t>
      </w:r>
      <w:r w:rsidRPr="0098660A">
        <w:t xml:space="preserve">Table 16 of the ravulizumab PSD (July 2021 PBAC </w:t>
      </w:r>
      <w:r w:rsidR="00605BDC" w:rsidRPr="0098660A">
        <w:t>m</w:t>
      </w:r>
      <w:r w:rsidRPr="0098660A">
        <w:t>eeting), indicates that only patients who have a body weight ≥100 kg will require multiple vial sizes (which are listed under different PBS items). Using the mean weight and standard deviation of patients ravulizumab patients in the ALXN1210-PNH-301 and creating a normal distribution, indicates that this only relates to 2% of the ravulizumab population. Hence separate vial sizes and scripts for each patient per administration may be appropriate.</w:t>
      </w:r>
      <w:bookmarkStart w:id="86" w:name="_Ref189058342"/>
      <w:r w:rsidRPr="0098660A">
        <w:rPr>
          <w:rStyle w:val="FootnoteReference"/>
          <w:rFonts w:eastAsia="Calibri"/>
        </w:rPr>
        <w:footnoteReference w:id="19"/>
      </w:r>
      <w:bookmarkStart w:id="87" w:name="_Ref104805295"/>
      <w:bookmarkEnd w:id="86"/>
    </w:p>
    <w:p w14:paraId="52357AA2" w14:textId="24BB72F5" w:rsidR="00E54685" w:rsidRPr="0098660A" w:rsidRDefault="00E54685" w:rsidP="00E54685">
      <w:pPr>
        <w:pStyle w:val="3-BodyText"/>
      </w:pPr>
      <w:r w:rsidRPr="0098660A">
        <w:t xml:space="preserve">The estimated </w:t>
      </w:r>
      <w:r w:rsidR="00090596" w:rsidRPr="0098660A">
        <w:t>extent of use of</w:t>
      </w:r>
      <w:r w:rsidRPr="0098660A">
        <w:t xml:space="preserve"> pegcetacoplan and the financial implications to the PBS per year presented in the submission are outlined in </w:t>
      </w:r>
      <w:r w:rsidRPr="0098660A">
        <w:fldChar w:fldCharType="begin"/>
      </w:r>
      <w:r w:rsidRPr="0098660A">
        <w:instrText xml:space="preserve"> REF _Ref188448355 \h </w:instrText>
      </w:r>
      <w:r w:rsidR="00284BE4" w:rsidRPr="0098660A">
        <w:instrText xml:space="preserve"> \* MERGEFORMAT </w:instrText>
      </w:r>
      <w:r w:rsidRPr="0098660A">
        <w:fldChar w:fldCharType="separate"/>
      </w:r>
      <w:r w:rsidR="00134128" w:rsidRPr="0098660A">
        <w:t xml:space="preserve">Table </w:t>
      </w:r>
      <w:r w:rsidR="00134128">
        <w:t>14</w:t>
      </w:r>
      <w:r w:rsidRPr="0098660A">
        <w:fldChar w:fldCharType="end"/>
      </w:r>
      <w:r w:rsidRPr="0098660A">
        <w:t>.</w:t>
      </w:r>
    </w:p>
    <w:p w14:paraId="68AE7E4D" w14:textId="03F89DBB" w:rsidR="00E54685" w:rsidRPr="0098660A" w:rsidRDefault="00E54685" w:rsidP="00D2444D">
      <w:pPr>
        <w:pStyle w:val="Caption"/>
      </w:pPr>
      <w:bookmarkStart w:id="88" w:name="_Ref188448355"/>
      <w:bookmarkStart w:id="89" w:name="_Hlk188538820"/>
      <w:r w:rsidRPr="0098660A">
        <w:lastRenderedPageBreak/>
        <w:t xml:space="preserve">Table </w:t>
      </w:r>
      <w:r w:rsidR="00ED489E" w:rsidRPr="0098660A">
        <w:fldChar w:fldCharType="begin"/>
      </w:r>
      <w:r w:rsidR="00ED489E" w:rsidRPr="0098660A">
        <w:instrText xml:space="preserve"> SEQ Table \* ARABIC </w:instrText>
      </w:r>
      <w:r w:rsidR="00ED489E" w:rsidRPr="0098660A">
        <w:fldChar w:fldCharType="separate"/>
      </w:r>
      <w:r w:rsidR="00134128">
        <w:rPr>
          <w:noProof/>
        </w:rPr>
        <w:t>14</w:t>
      </w:r>
      <w:r w:rsidR="00ED489E" w:rsidRPr="0098660A">
        <w:fldChar w:fldCharType="end"/>
      </w:r>
      <w:bookmarkEnd w:id="87"/>
      <w:bookmarkEnd w:id="88"/>
      <w:r w:rsidRPr="0098660A">
        <w:t>:</w:t>
      </w:r>
      <w:r w:rsidRPr="0098660A">
        <w:rPr>
          <w:rStyle w:val="CommentReference"/>
          <w:b/>
          <w:szCs w:val="24"/>
        </w:rPr>
        <w:t xml:space="preserve"> Estimated use and financial implications of listing pegcetacoplan on the PBS</w:t>
      </w:r>
    </w:p>
    <w:tbl>
      <w:tblPr>
        <w:tblStyle w:val="TableGrid"/>
        <w:tblW w:w="9067" w:type="dxa"/>
        <w:tblCellMar>
          <w:left w:w="57" w:type="dxa"/>
          <w:right w:w="57" w:type="dxa"/>
        </w:tblCellMar>
        <w:tblLook w:val="04A0" w:firstRow="1" w:lastRow="0" w:firstColumn="1" w:lastColumn="0" w:noHBand="0" w:noVBand="1"/>
      </w:tblPr>
      <w:tblGrid>
        <w:gridCol w:w="2547"/>
        <w:gridCol w:w="992"/>
        <w:gridCol w:w="992"/>
        <w:gridCol w:w="1134"/>
        <w:gridCol w:w="1134"/>
        <w:gridCol w:w="1134"/>
        <w:gridCol w:w="1134"/>
      </w:tblGrid>
      <w:tr w:rsidR="00E54685" w:rsidRPr="0098660A" w14:paraId="09E700D0" w14:textId="77777777" w:rsidTr="00D2444D">
        <w:trPr>
          <w:trHeight w:val="227"/>
        </w:trPr>
        <w:tc>
          <w:tcPr>
            <w:tcW w:w="2547" w:type="dxa"/>
            <w:vAlign w:val="center"/>
          </w:tcPr>
          <w:p w14:paraId="09304DEE" w14:textId="77777777" w:rsidR="00E54685" w:rsidRPr="0098660A" w:rsidRDefault="00E54685" w:rsidP="00D2444D">
            <w:pPr>
              <w:pStyle w:val="TableText0"/>
              <w:rPr>
                <w:b/>
                <w:bCs w:val="0"/>
              </w:rPr>
            </w:pPr>
            <w:r w:rsidRPr="0098660A">
              <w:rPr>
                <w:b/>
                <w:bCs w:val="0"/>
              </w:rPr>
              <w:t>Description</w:t>
            </w:r>
          </w:p>
        </w:tc>
        <w:tc>
          <w:tcPr>
            <w:tcW w:w="992" w:type="dxa"/>
            <w:vAlign w:val="center"/>
          </w:tcPr>
          <w:p w14:paraId="1D2A63E7" w14:textId="77777777" w:rsidR="00E54685" w:rsidRPr="0098660A" w:rsidRDefault="00E54685" w:rsidP="00D2444D">
            <w:pPr>
              <w:pStyle w:val="TableText0"/>
              <w:jc w:val="center"/>
              <w:rPr>
                <w:b/>
                <w:bCs w:val="0"/>
              </w:rPr>
            </w:pPr>
            <w:r w:rsidRPr="0098660A">
              <w:rPr>
                <w:b/>
                <w:bCs w:val="0"/>
              </w:rPr>
              <w:t>2025</w:t>
            </w:r>
          </w:p>
        </w:tc>
        <w:tc>
          <w:tcPr>
            <w:tcW w:w="992" w:type="dxa"/>
            <w:vAlign w:val="center"/>
          </w:tcPr>
          <w:p w14:paraId="7E47507C" w14:textId="77777777" w:rsidR="00E54685" w:rsidRPr="0098660A" w:rsidRDefault="00E54685" w:rsidP="00D2444D">
            <w:pPr>
              <w:pStyle w:val="TableText0"/>
              <w:jc w:val="center"/>
              <w:rPr>
                <w:b/>
                <w:bCs w:val="0"/>
              </w:rPr>
            </w:pPr>
            <w:r w:rsidRPr="0098660A">
              <w:rPr>
                <w:b/>
                <w:bCs w:val="0"/>
              </w:rPr>
              <w:t>2026</w:t>
            </w:r>
          </w:p>
        </w:tc>
        <w:tc>
          <w:tcPr>
            <w:tcW w:w="1134" w:type="dxa"/>
            <w:vAlign w:val="center"/>
          </w:tcPr>
          <w:p w14:paraId="10E78E66" w14:textId="77777777" w:rsidR="00E54685" w:rsidRPr="0098660A" w:rsidRDefault="00E54685" w:rsidP="00D2444D">
            <w:pPr>
              <w:pStyle w:val="TableText0"/>
              <w:jc w:val="center"/>
              <w:rPr>
                <w:b/>
                <w:bCs w:val="0"/>
              </w:rPr>
            </w:pPr>
            <w:r w:rsidRPr="0098660A">
              <w:rPr>
                <w:b/>
                <w:bCs w:val="0"/>
              </w:rPr>
              <w:t>2027</w:t>
            </w:r>
          </w:p>
        </w:tc>
        <w:tc>
          <w:tcPr>
            <w:tcW w:w="1134" w:type="dxa"/>
            <w:vAlign w:val="center"/>
          </w:tcPr>
          <w:p w14:paraId="1E4EA185" w14:textId="77777777" w:rsidR="00E54685" w:rsidRPr="0098660A" w:rsidRDefault="00E54685" w:rsidP="00D2444D">
            <w:pPr>
              <w:pStyle w:val="TableText0"/>
              <w:jc w:val="center"/>
              <w:rPr>
                <w:b/>
                <w:bCs w:val="0"/>
              </w:rPr>
            </w:pPr>
            <w:r w:rsidRPr="0098660A">
              <w:rPr>
                <w:b/>
                <w:bCs w:val="0"/>
              </w:rPr>
              <w:t>2028</w:t>
            </w:r>
          </w:p>
        </w:tc>
        <w:tc>
          <w:tcPr>
            <w:tcW w:w="1134" w:type="dxa"/>
            <w:vAlign w:val="center"/>
          </w:tcPr>
          <w:p w14:paraId="49972336" w14:textId="77777777" w:rsidR="00E54685" w:rsidRPr="0098660A" w:rsidRDefault="00E54685" w:rsidP="00D2444D">
            <w:pPr>
              <w:pStyle w:val="TableText0"/>
              <w:jc w:val="center"/>
              <w:rPr>
                <w:b/>
                <w:bCs w:val="0"/>
              </w:rPr>
            </w:pPr>
            <w:r w:rsidRPr="0098660A">
              <w:rPr>
                <w:b/>
                <w:bCs w:val="0"/>
              </w:rPr>
              <w:t>2029</w:t>
            </w:r>
          </w:p>
        </w:tc>
        <w:tc>
          <w:tcPr>
            <w:tcW w:w="1134" w:type="dxa"/>
            <w:vAlign w:val="center"/>
          </w:tcPr>
          <w:p w14:paraId="462EBBCA" w14:textId="77777777" w:rsidR="00E54685" w:rsidRPr="0098660A" w:rsidRDefault="00E54685" w:rsidP="00D2444D">
            <w:pPr>
              <w:pStyle w:val="TableText0"/>
              <w:jc w:val="center"/>
              <w:rPr>
                <w:b/>
                <w:bCs w:val="0"/>
              </w:rPr>
            </w:pPr>
            <w:r w:rsidRPr="0098660A">
              <w:rPr>
                <w:b/>
                <w:bCs w:val="0"/>
              </w:rPr>
              <w:t>2030</w:t>
            </w:r>
          </w:p>
        </w:tc>
      </w:tr>
      <w:tr w:rsidR="00E54685" w:rsidRPr="0098660A" w14:paraId="7D03A645" w14:textId="77777777" w:rsidTr="00D2444D">
        <w:trPr>
          <w:trHeight w:val="227"/>
        </w:trPr>
        <w:tc>
          <w:tcPr>
            <w:tcW w:w="2547" w:type="dxa"/>
          </w:tcPr>
          <w:p w14:paraId="7E16E986" w14:textId="77777777" w:rsidR="00E54685" w:rsidRPr="0098660A" w:rsidRDefault="00E54685" w:rsidP="00D2444D">
            <w:pPr>
              <w:pStyle w:val="TableText0"/>
              <w:rPr>
                <w:vertAlign w:val="superscript"/>
              </w:rPr>
            </w:pPr>
            <w:r w:rsidRPr="0098660A">
              <w:t xml:space="preserve">Projected </w:t>
            </w:r>
            <w:proofErr w:type="spellStart"/>
            <w:r w:rsidRPr="0098660A">
              <w:t>ravulizumab</w:t>
            </w:r>
            <w:proofErr w:type="spellEnd"/>
            <w:r w:rsidRPr="0098660A">
              <w:t xml:space="preserve"> </w:t>
            </w:r>
            <w:proofErr w:type="spellStart"/>
            <w:r w:rsidRPr="0098660A">
              <w:t>scripts</w:t>
            </w:r>
            <w:r w:rsidRPr="0098660A">
              <w:rPr>
                <w:vertAlign w:val="superscript"/>
              </w:rPr>
              <w:t>a</w:t>
            </w:r>
            <w:proofErr w:type="spellEnd"/>
          </w:p>
        </w:tc>
        <w:tc>
          <w:tcPr>
            <w:tcW w:w="992" w:type="dxa"/>
            <w:vAlign w:val="center"/>
          </w:tcPr>
          <w:p w14:paraId="5009C233" w14:textId="3D6C6429" w:rsidR="00E54685" w:rsidRPr="0098660A" w:rsidRDefault="00910397" w:rsidP="00D2444D">
            <w:pPr>
              <w:pStyle w:val="TableText0"/>
              <w:jc w:val="center"/>
              <w:rPr>
                <w:vertAlign w:val="superscript"/>
              </w:rPr>
            </w:pPr>
            <w:r w:rsidRPr="00910397">
              <w:rPr>
                <w:color w:val="000000"/>
                <w:spacing w:val="53"/>
                <w:shd w:val="solid" w:color="000000" w:fill="000000"/>
                <w:fitText w:val="330" w:id="-663463167"/>
                <w14:textFill>
                  <w14:solidFill>
                    <w14:srgbClr w14:val="000000">
                      <w14:alpha w14:val="100000"/>
                    </w14:srgbClr>
                  </w14:solidFill>
                </w14:textFill>
              </w:rPr>
              <w:t>|||</w:t>
            </w:r>
            <w:r w:rsidRPr="00910397">
              <w:rPr>
                <w:color w:val="000000"/>
                <w:spacing w:val="1"/>
                <w:shd w:val="solid" w:color="000000" w:fill="000000"/>
                <w:fitText w:val="330" w:id="-663463167"/>
                <w14:textFill>
                  <w14:solidFill>
                    <w14:srgbClr w14:val="000000">
                      <w14:alpha w14:val="100000"/>
                    </w14:srgbClr>
                  </w14:solidFill>
                </w14:textFill>
              </w:rPr>
              <w:t>|</w:t>
            </w:r>
            <w:r w:rsidR="008B3921" w:rsidRPr="0098660A">
              <w:t xml:space="preserve"> </w:t>
            </w:r>
            <w:r w:rsidR="008B3921" w:rsidRPr="0098660A">
              <w:rPr>
                <w:vertAlign w:val="superscript"/>
              </w:rPr>
              <w:t>1</w:t>
            </w:r>
          </w:p>
        </w:tc>
        <w:tc>
          <w:tcPr>
            <w:tcW w:w="992" w:type="dxa"/>
            <w:vAlign w:val="center"/>
          </w:tcPr>
          <w:p w14:paraId="216BF692" w14:textId="00F6B135" w:rsidR="00E54685" w:rsidRPr="0098660A" w:rsidRDefault="00910397" w:rsidP="00D2444D">
            <w:pPr>
              <w:pStyle w:val="TableText0"/>
              <w:jc w:val="center"/>
            </w:pPr>
            <w:r w:rsidRPr="00910397">
              <w:rPr>
                <w:color w:val="000000"/>
                <w:spacing w:val="53"/>
                <w:shd w:val="solid" w:color="000000" w:fill="000000"/>
                <w:fitText w:val="330" w:id="-663463166"/>
                <w14:textFill>
                  <w14:solidFill>
                    <w14:srgbClr w14:val="000000">
                      <w14:alpha w14:val="100000"/>
                    </w14:srgbClr>
                  </w14:solidFill>
                </w14:textFill>
              </w:rPr>
              <w:t>|||</w:t>
            </w:r>
            <w:r w:rsidRPr="00910397">
              <w:rPr>
                <w:color w:val="000000"/>
                <w:spacing w:val="1"/>
                <w:shd w:val="solid" w:color="000000" w:fill="000000"/>
                <w:fitText w:val="330" w:id="-663463166"/>
                <w14:textFill>
                  <w14:solidFill>
                    <w14:srgbClr w14:val="000000">
                      <w14:alpha w14:val="100000"/>
                    </w14:srgbClr>
                  </w14:solidFill>
                </w14:textFill>
              </w:rPr>
              <w:t>|</w:t>
            </w:r>
            <w:r w:rsidR="008B3921" w:rsidRPr="0098660A">
              <w:t xml:space="preserve"> </w:t>
            </w:r>
            <w:r w:rsidR="008B3921" w:rsidRPr="0098660A">
              <w:rPr>
                <w:vertAlign w:val="superscript"/>
              </w:rPr>
              <w:t>1</w:t>
            </w:r>
          </w:p>
        </w:tc>
        <w:tc>
          <w:tcPr>
            <w:tcW w:w="1134" w:type="dxa"/>
            <w:vAlign w:val="center"/>
          </w:tcPr>
          <w:p w14:paraId="45DF02ED" w14:textId="5C737F39" w:rsidR="00E54685" w:rsidRPr="0098660A" w:rsidRDefault="00910397" w:rsidP="00D2444D">
            <w:pPr>
              <w:pStyle w:val="TableText0"/>
              <w:jc w:val="center"/>
            </w:pPr>
            <w:r w:rsidRPr="00910397">
              <w:rPr>
                <w:color w:val="000000"/>
                <w:spacing w:val="53"/>
                <w:shd w:val="solid" w:color="000000" w:fill="000000"/>
                <w:fitText w:val="330" w:id="-663463165"/>
                <w14:textFill>
                  <w14:solidFill>
                    <w14:srgbClr w14:val="000000">
                      <w14:alpha w14:val="100000"/>
                    </w14:srgbClr>
                  </w14:solidFill>
                </w14:textFill>
              </w:rPr>
              <w:t>|||</w:t>
            </w:r>
            <w:r w:rsidRPr="00910397">
              <w:rPr>
                <w:color w:val="000000"/>
                <w:spacing w:val="1"/>
                <w:shd w:val="solid" w:color="000000" w:fill="000000"/>
                <w:fitText w:val="330" w:id="-663463165"/>
                <w14:textFill>
                  <w14:solidFill>
                    <w14:srgbClr w14:val="000000">
                      <w14:alpha w14:val="100000"/>
                    </w14:srgbClr>
                  </w14:solidFill>
                </w14:textFill>
              </w:rPr>
              <w:t>|</w:t>
            </w:r>
            <w:r w:rsidR="008B3921" w:rsidRPr="0098660A">
              <w:t xml:space="preserve"> </w:t>
            </w:r>
            <w:r w:rsidR="008B3921" w:rsidRPr="0098660A">
              <w:rPr>
                <w:vertAlign w:val="superscript"/>
              </w:rPr>
              <w:t>1</w:t>
            </w:r>
          </w:p>
        </w:tc>
        <w:tc>
          <w:tcPr>
            <w:tcW w:w="1134" w:type="dxa"/>
            <w:vAlign w:val="center"/>
          </w:tcPr>
          <w:p w14:paraId="1780074E" w14:textId="0D4823A3" w:rsidR="00E54685" w:rsidRPr="0098660A" w:rsidRDefault="00910397" w:rsidP="00D2444D">
            <w:pPr>
              <w:pStyle w:val="TableText0"/>
              <w:jc w:val="center"/>
            </w:pPr>
            <w:r w:rsidRPr="00910397">
              <w:rPr>
                <w:color w:val="000000"/>
                <w:spacing w:val="53"/>
                <w:shd w:val="solid" w:color="000000" w:fill="000000"/>
                <w:fitText w:val="330" w:id="-663463164"/>
                <w14:textFill>
                  <w14:solidFill>
                    <w14:srgbClr w14:val="000000">
                      <w14:alpha w14:val="100000"/>
                    </w14:srgbClr>
                  </w14:solidFill>
                </w14:textFill>
              </w:rPr>
              <w:t>|||</w:t>
            </w:r>
            <w:r w:rsidRPr="00910397">
              <w:rPr>
                <w:color w:val="000000"/>
                <w:spacing w:val="1"/>
                <w:shd w:val="solid" w:color="000000" w:fill="000000"/>
                <w:fitText w:val="330" w:id="-663463164"/>
                <w14:textFill>
                  <w14:solidFill>
                    <w14:srgbClr w14:val="000000">
                      <w14:alpha w14:val="100000"/>
                    </w14:srgbClr>
                  </w14:solidFill>
                </w14:textFill>
              </w:rPr>
              <w:t>|</w:t>
            </w:r>
            <w:r w:rsidR="008B3921" w:rsidRPr="0098660A">
              <w:t xml:space="preserve"> </w:t>
            </w:r>
            <w:r w:rsidR="008B3921" w:rsidRPr="0098660A">
              <w:rPr>
                <w:vertAlign w:val="superscript"/>
              </w:rPr>
              <w:t>1</w:t>
            </w:r>
          </w:p>
        </w:tc>
        <w:tc>
          <w:tcPr>
            <w:tcW w:w="1134" w:type="dxa"/>
            <w:vAlign w:val="center"/>
          </w:tcPr>
          <w:p w14:paraId="25A50092" w14:textId="16B32B74" w:rsidR="00E54685" w:rsidRPr="0098660A" w:rsidRDefault="00910397" w:rsidP="00D2444D">
            <w:pPr>
              <w:pStyle w:val="TableText0"/>
              <w:jc w:val="center"/>
            </w:pPr>
            <w:r w:rsidRPr="00910397">
              <w:rPr>
                <w:color w:val="000000"/>
                <w:spacing w:val="53"/>
                <w:shd w:val="solid" w:color="000000" w:fill="000000"/>
                <w:fitText w:val="330" w:id="-663463163"/>
                <w14:textFill>
                  <w14:solidFill>
                    <w14:srgbClr w14:val="000000">
                      <w14:alpha w14:val="100000"/>
                    </w14:srgbClr>
                  </w14:solidFill>
                </w14:textFill>
              </w:rPr>
              <w:t>|||</w:t>
            </w:r>
            <w:r w:rsidRPr="00910397">
              <w:rPr>
                <w:color w:val="000000"/>
                <w:spacing w:val="1"/>
                <w:shd w:val="solid" w:color="000000" w:fill="000000"/>
                <w:fitText w:val="330" w:id="-663463163"/>
                <w14:textFill>
                  <w14:solidFill>
                    <w14:srgbClr w14:val="000000">
                      <w14:alpha w14:val="100000"/>
                    </w14:srgbClr>
                  </w14:solidFill>
                </w14:textFill>
              </w:rPr>
              <w:t>|</w:t>
            </w:r>
            <w:r w:rsidR="008B3921" w:rsidRPr="0098660A">
              <w:t xml:space="preserve"> </w:t>
            </w:r>
            <w:r w:rsidR="008B3921" w:rsidRPr="0098660A">
              <w:rPr>
                <w:vertAlign w:val="superscript"/>
              </w:rPr>
              <w:t>1</w:t>
            </w:r>
          </w:p>
        </w:tc>
        <w:tc>
          <w:tcPr>
            <w:tcW w:w="1134" w:type="dxa"/>
            <w:vAlign w:val="center"/>
          </w:tcPr>
          <w:p w14:paraId="4613B496" w14:textId="2D366285" w:rsidR="00E54685" w:rsidRPr="0098660A" w:rsidRDefault="00910397" w:rsidP="00D2444D">
            <w:pPr>
              <w:pStyle w:val="TableText0"/>
              <w:jc w:val="center"/>
            </w:pPr>
            <w:r w:rsidRPr="00910397">
              <w:rPr>
                <w:color w:val="000000"/>
                <w:spacing w:val="53"/>
                <w:shd w:val="solid" w:color="000000" w:fill="000000"/>
                <w:fitText w:val="330" w:id="-663462912"/>
                <w14:textFill>
                  <w14:solidFill>
                    <w14:srgbClr w14:val="000000">
                      <w14:alpha w14:val="100000"/>
                    </w14:srgbClr>
                  </w14:solidFill>
                </w14:textFill>
              </w:rPr>
              <w:t>|||</w:t>
            </w:r>
            <w:r w:rsidRPr="00910397">
              <w:rPr>
                <w:color w:val="000000"/>
                <w:spacing w:val="1"/>
                <w:shd w:val="solid" w:color="000000" w:fill="000000"/>
                <w:fitText w:val="330" w:id="-663462912"/>
                <w14:textFill>
                  <w14:solidFill>
                    <w14:srgbClr w14:val="000000">
                      <w14:alpha w14:val="100000"/>
                    </w14:srgbClr>
                  </w14:solidFill>
                </w14:textFill>
              </w:rPr>
              <w:t>|</w:t>
            </w:r>
            <w:r w:rsidR="008B3921" w:rsidRPr="0098660A">
              <w:t xml:space="preserve"> </w:t>
            </w:r>
            <w:r w:rsidR="008B3921" w:rsidRPr="0098660A">
              <w:rPr>
                <w:vertAlign w:val="superscript"/>
              </w:rPr>
              <w:t>1</w:t>
            </w:r>
          </w:p>
        </w:tc>
      </w:tr>
      <w:tr w:rsidR="00E54685" w:rsidRPr="0098660A" w14:paraId="206324F7" w14:textId="77777777" w:rsidTr="00D2444D">
        <w:trPr>
          <w:trHeight w:val="227"/>
        </w:trPr>
        <w:tc>
          <w:tcPr>
            <w:tcW w:w="2547" w:type="dxa"/>
          </w:tcPr>
          <w:p w14:paraId="100EA5B9" w14:textId="77777777" w:rsidR="00E54685" w:rsidRPr="0098660A" w:rsidRDefault="00E54685" w:rsidP="00D2444D">
            <w:pPr>
              <w:pStyle w:val="TableText0"/>
              <w:rPr>
                <w:vertAlign w:val="superscript"/>
              </w:rPr>
            </w:pPr>
            <w:r w:rsidRPr="0098660A">
              <w:t xml:space="preserve">Projected eculizumab </w:t>
            </w:r>
            <w:proofErr w:type="spellStart"/>
            <w:r w:rsidRPr="0098660A">
              <w:t>scripts</w:t>
            </w:r>
            <w:r w:rsidRPr="0098660A">
              <w:rPr>
                <w:vertAlign w:val="superscript"/>
              </w:rPr>
              <w:t>a</w:t>
            </w:r>
            <w:proofErr w:type="spellEnd"/>
          </w:p>
        </w:tc>
        <w:tc>
          <w:tcPr>
            <w:tcW w:w="992" w:type="dxa"/>
            <w:vAlign w:val="center"/>
          </w:tcPr>
          <w:p w14:paraId="1CF8590A" w14:textId="2F45A2D5" w:rsidR="00E54685" w:rsidRPr="0098660A" w:rsidRDefault="00910397" w:rsidP="00D2444D">
            <w:pPr>
              <w:pStyle w:val="TableText0"/>
              <w:jc w:val="center"/>
            </w:pPr>
            <w:r w:rsidRPr="00910397">
              <w:rPr>
                <w:color w:val="000000"/>
                <w:spacing w:val="53"/>
                <w:shd w:val="solid" w:color="000000" w:fill="000000"/>
                <w:fitText w:val="330" w:id="-663462911"/>
                <w14:textFill>
                  <w14:solidFill>
                    <w14:srgbClr w14:val="000000">
                      <w14:alpha w14:val="100000"/>
                    </w14:srgbClr>
                  </w14:solidFill>
                </w14:textFill>
              </w:rPr>
              <w:t>|||</w:t>
            </w:r>
            <w:r w:rsidRPr="00910397">
              <w:rPr>
                <w:color w:val="000000"/>
                <w:spacing w:val="1"/>
                <w:shd w:val="solid" w:color="000000" w:fill="000000"/>
                <w:fitText w:val="330" w:id="-663462911"/>
                <w14:textFill>
                  <w14:solidFill>
                    <w14:srgbClr w14:val="000000">
                      <w14:alpha w14:val="100000"/>
                    </w14:srgbClr>
                  </w14:solidFill>
                </w14:textFill>
              </w:rPr>
              <w:t>|</w:t>
            </w:r>
            <w:r w:rsidR="008B3921" w:rsidRPr="0098660A">
              <w:t xml:space="preserve"> </w:t>
            </w:r>
            <w:r w:rsidR="008B3921" w:rsidRPr="0098660A">
              <w:rPr>
                <w:vertAlign w:val="superscript"/>
              </w:rPr>
              <w:t>2</w:t>
            </w:r>
          </w:p>
        </w:tc>
        <w:tc>
          <w:tcPr>
            <w:tcW w:w="992" w:type="dxa"/>
            <w:vAlign w:val="center"/>
          </w:tcPr>
          <w:p w14:paraId="7E7C9C43" w14:textId="34C1EB86" w:rsidR="00E54685" w:rsidRPr="0098660A" w:rsidRDefault="00910397" w:rsidP="00D2444D">
            <w:pPr>
              <w:pStyle w:val="TableText0"/>
              <w:jc w:val="center"/>
            </w:pPr>
            <w:r w:rsidRPr="00910397">
              <w:rPr>
                <w:color w:val="000000"/>
                <w:spacing w:val="53"/>
                <w:shd w:val="solid" w:color="000000" w:fill="000000"/>
                <w:fitText w:val="330" w:id="-663462910"/>
                <w14:textFill>
                  <w14:solidFill>
                    <w14:srgbClr w14:val="000000">
                      <w14:alpha w14:val="100000"/>
                    </w14:srgbClr>
                  </w14:solidFill>
                </w14:textFill>
              </w:rPr>
              <w:t>|||</w:t>
            </w:r>
            <w:r w:rsidRPr="00910397">
              <w:rPr>
                <w:color w:val="000000"/>
                <w:spacing w:val="1"/>
                <w:shd w:val="solid" w:color="000000" w:fill="000000"/>
                <w:fitText w:val="330" w:id="-663462910"/>
                <w14:textFill>
                  <w14:solidFill>
                    <w14:srgbClr w14:val="000000">
                      <w14:alpha w14:val="100000"/>
                    </w14:srgbClr>
                  </w14:solidFill>
                </w14:textFill>
              </w:rPr>
              <w:t>|</w:t>
            </w:r>
            <w:r w:rsidR="008B3921" w:rsidRPr="0098660A">
              <w:t xml:space="preserve"> </w:t>
            </w:r>
            <w:r w:rsidR="008B3921" w:rsidRPr="0098660A">
              <w:rPr>
                <w:vertAlign w:val="superscript"/>
              </w:rPr>
              <w:t>2</w:t>
            </w:r>
          </w:p>
        </w:tc>
        <w:tc>
          <w:tcPr>
            <w:tcW w:w="1134" w:type="dxa"/>
            <w:vAlign w:val="center"/>
          </w:tcPr>
          <w:p w14:paraId="0D83A90F" w14:textId="07320899" w:rsidR="00E54685" w:rsidRPr="0098660A" w:rsidRDefault="00910397" w:rsidP="00D2444D">
            <w:pPr>
              <w:pStyle w:val="TableText0"/>
              <w:jc w:val="center"/>
            </w:pPr>
            <w:r w:rsidRPr="00910397">
              <w:rPr>
                <w:color w:val="000000"/>
                <w:spacing w:val="53"/>
                <w:shd w:val="solid" w:color="000000" w:fill="000000"/>
                <w:fitText w:val="330" w:id="-663462909"/>
                <w14:textFill>
                  <w14:solidFill>
                    <w14:srgbClr w14:val="000000">
                      <w14:alpha w14:val="100000"/>
                    </w14:srgbClr>
                  </w14:solidFill>
                </w14:textFill>
              </w:rPr>
              <w:t>|||</w:t>
            </w:r>
            <w:r w:rsidRPr="00910397">
              <w:rPr>
                <w:color w:val="000000"/>
                <w:spacing w:val="1"/>
                <w:shd w:val="solid" w:color="000000" w:fill="000000"/>
                <w:fitText w:val="330" w:id="-663462909"/>
                <w14:textFill>
                  <w14:solidFill>
                    <w14:srgbClr w14:val="000000">
                      <w14:alpha w14:val="100000"/>
                    </w14:srgbClr>
                  </w14:solidFill>
                </w14:textFill>
              </w:rPr>
              <w:t>|</w:t>
            </w:r>
            <w:r w:rsidR="008B3921" w:rsidRPr="0098660A">
              <w:t xml:space="preserve"> </w:t>
            </w:r>
            <w:r w:rsidR="008B3921" w:rsidRPr="0098660A">
              <w:rPr>
                <w:vertAlign w:val="superscript"/>
              </w:rPr>
              <w:t>2</w:t>
            </w:r>
          </w:p>
        </w:tc>
        <w:tc>
          <w:tcPr>
            <w:tcW w:w="1134" w:type="dxa"/>
            <w:vAlign w:val="center"/>
          </w:tcPr>
          <w:p w14:paraId="0EF95B86" w14:textId="66CB8494" w:rsidR="00E54685" w:rsidRPr="0098660A" w:rsidRDefault="00910397" w:rsidP="00D2444D">
            <w:pPr>
              <w:pStyle w:val="TableText0"/>
              <w:jc w:val="center"/>
            </w:pPr>
            <w:r w:rsidRPr="00910397">
              <w:rPr>
                <w:color w:val="000000"/>
                <w:spacing w:val="53"/>
                <w:shd w:val="solid" w:color="000000" w:fill="000000"/>
                <w:fitText w:val="330" w:id="-663462908"/>
                <w14:textFill>
                  <w14:solidFill>
                    <w14:srgbClr w14:val="000000">
                      <w14:alpha w14:val="100000"/>
                    </w14:srgbClr>
                  </w14:solidFill>
                </w14:textFill>
              </w:rPr>
              <w:t>|||</w:t>
            </w:r>
            <w:r w:rsidRPr="00910397">
              <w:rPr>
                <w:color w:val="000000"/>
                <w:spacing w:val="1"/>
                <w:shd w:val="solid" w:color="000000" w:fill="000000"/>
                <w:fitText w:val="330" w:id="-663462908"/>
                <w14:textFill>
                  <w14:solidFill>
                    <w14:srgbClr w14:val="000000">
                      <w14:alpha w14:val="100000"/>
                    </w14:srgbClr>
                  </w14:solidFill>
                </w14:textFill>
              </w:rPr>
              <w:t>|</w:t>
            </w:r>
            <w:r w:rsidR="008B3921" w:rsidRPr="0098660A">
              <w:t xml:space="preserve"> </w:t>
            </w:r>
            <w:r w:rsidR="008B3921" w:rsidRPr="0098660A">
              <w:rPr>
                <w:vertAlign w:val="superscript"/>
              </w:rPr>
              <w:t>2</w:t>
            </w:r>
          </w:p>
        </w:tc>
        <w:tc>
          <w:tcPr>
            <w:tcW w:w="1134" w:type="dxa"/>
            <w:vAlign w:val="center"/>
          </w:tcPr>
          <w:p w14:paraId="0F38EA91" w14:textId="4735C1F6" w:rsidR="00E54685" w:rsidRPr="0098660A" w:rsidRDefault="00910397" w:rsidP="00D2444D">
            <w:pPr>
              <w:pStyle w:val="TableText0"/>
              <w:jc w:val="center"/>
            </w:pPr>
            <w:r w:rsidRPr="00910397">
              <w:rPr>
                <w:color w:val="000000"/>
                <w:spacing w:val="53"/>
                <w:shd w:val="solid" w:color="000000" w:fill="000000"/>
                <w:fitText w:val="330" w:id="-663462907"/>
                <w14:textFill>
                  <w14:solidFill>
                    <w14:srgbClr w14:val="000000">
                      <w14:alpha w14:val="100000"/>
                    </w14:srgbClr>
                  </w14:solidFill>
                </w14:textFill>
              </w:rPr>
              <w:t>|||</w:t>
            </w:r>
            <w:r w:rsidRPr="00910397">
              <w:rPr>
                <w:color w:val="000000"/>
                <w:spacing w:val="1"/>
                <w:shd w:val="solid" w:color="000000" w:fill="000000"/>
                <w:fitText w:val="330" w:id="-663462907"/>
                <w14:textFill>
                  <w14:solidFill>
                    <w14:srgbClr w14:val="000000">
                      <w14:alpha w14:val="100000"/>
                    </w14:srgbClr>
                  </w14:solidFill>
                </w14:textFill>
              </w:rPr>
              <w:t>|</w:t>
            </w:r>
            <w:r w:rsidR="008B3921" w:rsidRPr="0098660A">
              <w:t xml:space="preserve"> </w:t>
            </w:r>
            <w:r w:rsidR="008B3921" w:rsidRPr="0098660A">
              <w:rPr>
                <w:vertAlign w:val="superscript"/>
              </w:rPr>
              <w:t>2</w:t>
            </w:r>
          </w:p>
        </w:tc>
        <w:tc>
          <w:tcPr>
            <w:tcW w:w="1134" w:type="dxa"/>
            <w:vAlign w:val="center"/>
          </w:tcPr>
          <w:p w14:paraId="158B69B6" w14:textId="27B89ABB" w:rsidR="00E54685" w:rsidRPr="0098660A" w:rsidRDefault="00910397" w:rsidP="00D2444D">
            <w:pPr>
              <w:pStyle w:val="TableText0"/>
              <w:jc w:val="center"/>
            </w:pPr>
            <w:r w:rsidRPr="00910397">
              <w:rPr>
                <w:color w:val="000000"/>
                <w:spacing w:val="53"/>
                <w:shd w:val="solid" w:color="000000" w:fill="000000"/>
                <w:fitText w:val="330" w:id="-663462906"/>
                <w14:textFill>
                  <w14:solidFill>
                    <w14:srgbClr w14:val="000000">
                      <w14:alpha w14:val="100000"/>
                    </w14:srgbClr>
                  </w14:solidFill>
                </w14:textFill>
              </w:rPr>
              <w:t>|||</w:t>
            </w:r>
            <w:r w:rsidRPr="00910397">
              <w:rPr>
                <w:color w:val="000000"/>
                <w:spacing w:val="1"/>
                <w:shd w:val="solid" w:color="000000" w:fill="000000"/>
                <w:fitText w:val="330" w:id="-663462906"/>
                <w14:textFill>
                  <w14:solidFill>
                    <w14:srgbClr w14:val="000000">
                      <w14:alpha w14:val="100000"/>
                    </w14:srgbClr>
                  </w14:solidFill>
                </w14:textFill>
              </w:rPr>
              <w:t>|</w:t>
            </w:r>
            <w:r w:rsidR="008B3921" w:rsidRPr="0098660A">
              <w:t xml:space="preserve"> </w:t>
            </w:r>
            <w:r w:rsidR="008B3921" w:rsidRPr="0098660A">
              <w:rPr>
                <w:vertAlign w:val="superscript"/>
              </w:rPr>
              <w:t>2</w:t>
            </w:r>
          </w:p>
        </w:tc>
      </w:tr>
      <w:tr w:rsidR="00E54685" w:rsidRPr="0098660A" w14:paraId="0FE18ED6" w14:textId="77777777" w:rsidTr="00D2444D">
        <w:trPr>
          <w:trHeight w:val="227"/>
        </w:trPr>
        <w:tc>
          <w:tcPr>
            <w:tcW w:w="2547" w:type="dxa"/>
          </w:tcPr>
          <w:p w14:paraId="168DD3E7" w14:textId="77777777" w:rsidR="00E54685" w:rsidRPr="0098660A" w:rsidRDefault="00E54685" w:rsidP="00D2444D">
            <w:pPr>
              <w:pStyle w:val="TableText0"/>
            </w:pPr>
            <w:r w:rsidRPr="0098660A">
              <w:t>Pegcetacoplan uptake rate</w:t>
            </w:r>
          </w:p>
        </w:tc>
        <w:tc>
          <w:tcPr>
            <w:tcW w:w="992" w:type="dxa"/>
            <w:vAlign w:val="center"/>
          </w:tcPr>
          <w:p w14:paraId="5A06F2EC" w14:textId="1626462B" w:rsidR="00E54685" w:rsidRPr="0098660A" w:rsidRDefault="00910397" w:rsidP="00D2444D">
            <w:pPr>
              <w:pStyle w:val="TableText0"/>
              <w:jc w:val="center"/>
            </w:pPr>
            <w:r w:rsidRPr="00910397">
              <w:rPr>
                <w:color w:val="000000"/>
                <w:spacing w:val="49"/>
                <w:shd w:val="solid" w:color="000000" w:fill="000000"/>
                <w:fitText w:val="320" w:id="-663462905"/>
                <w14:textFill>
                  <w14:solidFill>
                    <w14:srgbClr w14:val="000000">
                      <w14:alpha w14:val="100000"/>
                    </w14:srgbClr>
                  </w14:solidFill>
                </w14:textFill>
              </w:rPr>
              <w:t>|||</w:t>
            </w:r>
            <w:r w:rsidRPr="00910397">
              <w:rPr>
                <w:color w:val="000000"/>
                <w:spacing w:val="3"/>
                <w:shd w:val="solid" w:color="000000" w:fill="000000"/>
                <w:fitText w:val="320" w:id="-663462905"/>
                <w14:textFill>
                  <w14:solidFill>
                    <w14:srgbClr w14:val="000000">
                      <w14:alpha w14:val="100000"/>
                    </w14:srgbClr>
                  </w14:solidFill>
                </w14:textFill>
              </w:rPr>
              <w:t>|</w:t>
            </w:r>
            <w:r w:rsidR="00E54685" w:rsidRPr="0098660A">
              <w:t>%</w:t>
            </w:r>
          </w:p>
        </w:tc>
        <w:tc>
          <w:tcPr>
            <w:tcW w:w="992" w:type="dxa"/>
            <w:vAlign w:val="center"/>
          </w:tcPr>
          <w:p w14:paraId="57A235CE" w14:textId="5AF386FE" w:rsidR="00E54685" w:rsidRPr="0098660A" w:rsidRDefault="00910397" w:rsidP="00D2444D">
            <w:pPr>
              <w:pStyle w:val="TableText0"/>
              <w:jc w:val="center"/>
            </w:pPr>
            <w:r w:rsidRPr="00910397">
              <w:rPr>
                <w:color w:val="000000"/>
                <w:spacing w:val="49"/>
                <w:shd w:val="solid" w:color="000000" w:fill="000000"/>
                <w:fitText w:val="320" w:id="-663462904"/>
                <w14:textFill>
                  <w14:solidFill>
                    <w14:srgbClr w14:val="000000">
                      <w14:alpha w14:val="100000"/>
                    </w14:srgbClr>
                  </w14:solidFill>
                </w14:textFill>
              </w:rPr>
              <w:t>|||</w:t>
            </w:r>
            <w:r w:rsidRPr="00910397">
              <w:rPr>
                <w:color w:val="000000"/>
                <w:spacing w:val="3"/>
                <w:shd w:val="solid" w:color="000000" w:fill="000000"/>
                <w:fitText w:val="320" w:id="-663462904"/>
                <w14:textFill>
                  <w14:solidFill>
                    <w14:srgbClr w14:val="000000">
                      <w14:alpha w14:val="100000"/>
                    </w14:srgbClr>
                  </w14:solidFill>
                </w14:textFill>
              </w:rPr>
              <w:t>|</w:t>
            </w:r>
            <w:r w:rsidR="00E54685" w:rsidRPr="0098660A">
              <w:t>%</w:t>
            </w:r>
          </w:p>
        </w:tc>
        <w:tc>
          <w:tcPr>
            <w:tcW w:w="1134" w:type="dxa"/>
            <w:vAlign w:val="center"/>
          </w:tcPr>
          <w:p w14:paraId="04F6F329" w14:textId="7B77679C" w:rsidR="00E54685" w:rsidRPr="0098660A" w:rsidRDefault="00910397" w:rsidP="00D2444D">
            <w:pPr>
              <w:pStyle w:val="TableText0"/>
              <w:jc w:val="center"/>
            </w:pPr>
            <w:r w:rsidRPr="00910397">
              <w:rPr>
                <w:color w:val="000000"/>
                <w:spacing w:val="53"/>
                <w:shd w:val="solid" w:color="000000" w:fill="000000"/>
                <w:fitText w:val="330" w:id="-663462903"/>
                <w14:textFill>
                  <w14:solidFill>
                    <w14:srgbClr w14:val="000000">
                      <w14:alpha w14:val="100000"/>
                    </w14:srgbClr>
                  </w14:solidFill>
                </w14:textFill>
              </w:rPr>
              <w:t>|||</w:t>
            </w:r>
            <w:r w:rsidRPr="00910397">
              <w:rPr>
                <w:color w:val="000000"/>
                <w:spacing w:val="1"/>
                <w:shd w:val="solid" w:color="000000" w:fill="000000"/>
                <w:fitText w:val="330" w:id="-663462903"/>
                <w14:textFill>
                  <w14:solidFill>
                    <w14:srgbClr w14:val="000000">
                      <w14:alpha w14:val="100000"/>
                    </w14:srgbClr>
                  </w14:solidFill>
                </w14:textFill>
              </w:rPr>
              <w:t>|</w:t>
            </w:r>
            <w:r w:rsidR="00E54685" w:rsidRPr="0098660A">
              <w:t>%</w:t>
            </w:r>
          </w:p>
        </w:tc>
        <w:tc>
          <w:tcPr>
            <w:tcW w:w="1134" w:type="dxa"/>
            <w:vAlign w:val="center"/>
          </w:tcPr>
          <w:p w14:paraId="10DB1EC6" w14:textId="41810190" w:rsidR="00E54685" w:rsidRPr="0098660A" w:rsidRDefault="00910397" w:rsidP="00D2444D">
            <w:pPr>
              <w:pStyle w:val="TableText0"/>
              <w:jc w:val="center"/>
            </w:pPr>
            <w:r w:rsidRPr="00910397">
              <w:rPr>
                <w:color w:val="000000"/>
                <w:spacing w:val="53"/>
                <w:shd w:val="solid" w:color="000000" w:fill="000000"/>
                <w:fitText w:val="330" w:id="-663462902"/>
                <w14:textFill>
                  <w14:solidFill>
                    <w14:srgbClr w14:val="000000">
                      <w14:alpha w14:val="100000"/>
                    </w14:srgbClr>
                  </w14:solidFill>
                </w14:textFill>
              </w:rPr>
              <w:t>|||</w:t>
            </w:r>
            <w:r w:rsidRPr="00910397">
              <w:rPr>
                <w:color w:val="000000"/>
                <w:spacing w:val="1"/>
                <w:shd w:val="solid" w:color="000000" w:fill="000000"/>
                <w:fitText w:val="330" w:id="-663462902"/>
                <w14:textFill>
                  <w14:solidFill>
                    <w14:srgbClr w14:val="000000">
                      <w14:alpha w14:val="100000"/>
                    </w14:srgbClr>
                  </w14:solidFill>
                </w14:textFill>
              </w:rPr>
              <w:t>|</w:t>
            </w:r>
            <w:r w:rsidR="00E54685" w:rsidRPr="0098660A">
              <w:t>%</w:t>
            </w:r>
          </w:p>
        </w:tc>
        <w:tc>
          <w:tcPr>
            <w:tcW w:w="1134" w:type="dxa"/>
            <w:vAlign w:val="center"/>
          </w:tcPr>
          <w:p w14:paraId="41385238" w14:textId="453D5F5D" w:rsidR="00E54685" w:rsidRPr="0098660A" w:rsidRDefault="00910397" w:rsidP="00D2444D">
            <w:pPr>
              <w:pStyle w:val="TableText0"/>
              <w:jc w:val="center"/>
            </w:pPr>
            <w:r w:rsidRPr="00910397">
              <w:rPr>
                <w:color w:val="000000"/>
                <w:spacing w:val="53"/>
                <w:shd w:val="solid" w:color="000000" w:fill="000000"/>
                <w:fitText w:val="330" w:id="-663462901"/>
                <w14:textFill>
                  <w14:solidFill>
                    <w14:srgbClr w14:val="000000">
                      <w14:alpha w14:val="100000"/>
                    </w14:srgbClr>
                  </w14:solidFill>
                </w14:textFill>
              </w:rPr>
              <w:t>|||</w:t>
            </w:r>
            <w:r w:rsidRPr="00910397">
              <w:rPr>
                <w:color w:val="000000"/>
                <w:spacing w:val="1"/>
                <w:shd w:val="solid" w:color="000000" w:fill="000000"/>
                <w:fitText w:val="330" w:id="-663462901"/>
                <w14:textFill>
                  <w14:solidFill>
                    <w14:srgbClr w14:val="000000">
                      <w14:alpha w14:val="100000"/>
                    </w14:srgbClr>
                  </w14:solidFill>
                </w14:textFill>
              </w:rPr>
              <w:t>|</w:t>
            </w:r>
            <w:r w:rsidR="00E54685" w:rsidRPr="0098660A">
              <w:t>%</w:t>
            </w:r>
          </w:p>
        </w:tc>
        <w:tc>
          <w:tcPr>
            <w:tcW w:w="1134" w:type="dxa"/>
            <w:vAlign w:val="center"/>
          </w:tcPr>
          <w:p w14:paraId="28B70257" w14:textId="5FCEEECA" w:rsidR="00E54685" w:rsidRPr="0098660A" w:rsidRDefault="00910397" w:rsidP="00D2444D">
            <w:pPr>
              <w:pStyle w:val="TableText0"/>
              <w:jc w:val="center"/>
            </w:pPr>
            <w:r w:rsidRPr="00910397">
              <w:rPr>
                <w:color w:val="000000"/>
                <w:spacing w:val="53"/>
                <w:shd w:val="solid" w:color="000000" w:fill="000000"/>
                <w:fitText w:val="330" w:id="-663462900"/>
                <w14:textFill>
                  <w14:solidFill>
                    <w14:srgbClr w14:val="000000">
                      <w14:alpha w14:val="100000"/>
                    </w14:srgbClr>
                  </w14:solidFill>
                </w14:textFill>
              </w:rPr>
              <w:t>|||</w:t>
            </w:r>
            <w:r w:rsidRPr="00910397">
              <w:rPr>
                <w:color w:val="000000"/>
                <w:spacing w:val="1"/>
                <w:shd w:val="solid" w:color="000000" w:fill="000000"/>
                <w:fitText w:val="330" w:id="-663462900"/>
                <w14:textFill>
                  <w14:solidFill>
                    <w14:srgbClr w14:val="000000">
                      <w14:alpha w14:val="100000"/>
                    </w14:srgbClr>
                  </w14:solidFill>
                </w14:textFill>
              </w:rPr>
              <w:t>|</w:t>
            </w:r>
            <w:r w:rsidR="00E54685" w:rsidRPr="0098660A">
              <w:t>%</w:t>
            </w:r>
          </w:p>
        </w:tc>
      </w:tr>
      <w:tr w:rsidR="00E54685" w:rsidRPr="0098660A" w14:paraId="0216EAFB" w14:textId="77777777" w:rsidTr="00D2444D">
        <w:trPr>
          <w:trHeight w:val="227"/>
        </w:trPr>
        <w:tc>
          <w:tcPr>
            <w:tcW w:w="2547" w:type="dxa"/>
          </w:tcPr>
          <w:p w14:paraId="5B31694E" w14:textId="77777777" w:rsidR="00E54685" w:rsidRPr="0098660A" w:rsidRDefault="00E54685" w:rsidP="00D2444D">
            <w:pPr>
              <w:pStyle w:val="TableText0"/>
              <w:rPr>
                <w:vertAlign w:val="superscript"/>
              </w:rPr>
            </w:pPr>
            <w:r w:rsidRPr="0098660A">
              <w:t>Ravulizumab scripts replaced</w:t>
            </w:r>
          </w:p>
        </w:tc>
        <w:tc>
          <w:tcPr>
            <w:tcW w:w="992" w:type="dxa"/>
            <w:vAlign w:val="center"/>
          </w:tcPr>
          <w:p w14:paraId="11A1ACB5" w14:textId="36793D17" w:rsidR="00E54685" w:rsidRPr="0098660A" w:rsidRDefault="00910397" w:rsidP="00D2444D">
            <w:pPr>
              <w:pStyle w:val="TableText0"/>
              <w:jc w:val="center"/>
            </w:pPr>
            <w:r w:rsidRPr="00910397">
              <w:rPr>
                <w:color w:val="000000"/>
                <w:spacing w:val="53"/>
                <w:shd w:val="solid" w:color="000000" w:fill="000000"/>
                <w:fitText w:val="330" w:id="-663462899"/>
                <w14:textFill>
                  <w14:solidFill>
                    <w14:srgbClr w14:val="000000">
                      <w14:alpha w14:val="100000"/>
                    </w14:srgbClr>
                  </w14:solidFill>
                </w14:textFill>
              </w:rPr>
              <w:t>|||</w:t>
            </w:r>
            <w:r w:rsidRPr="00910397">
              <w:rPr>
                <w:color w:val="000000"/>
                <w:spacing w:val="1"/>
                <w:shd w:val="solid" w:color="000000" w:fill="000000"/>
                <w:fitText w:val="330" w:id="-663462899"/>
                <w14:textFill>
                  <w14:solidFill>
                    <w14:srgbClr w14:val="000000">
                      <w14:alpha w14:val="100000"/>
                    </w14:srgbClr>
                  </w14:solidFill>
                </w14:textFill>
              </w:rPr>
              <w:t>|</w:t>
            </w:r>
            <w:r w:rsidR="008B3921" w:rsidRPr="0098660A">
              <w:t xml:space="preserve"> </w:t>
            </w:r>
            <w:r w:rsidR="008B3921" w:rsidRPr="0098660A">
              <w:rPr>
                <w:vertAlign w:val="superscript"/>
              </w:rPr>
              <w:t>2</w:t>
            </w:r>
          </w:p>
        </w:tc>
        <w:tc>
          <w:tcPr>
            <w:tcW w:w="992" w:type="dxa"/>
            <w:vAlign w:val="center"/>
          </w:tcPr>
          <w:p w14:paraId="026B474B" w14:textId="7D87443E" w:rsidR="00E54685" w:rsidRPr="0098660A" w:rsidRDefault="00910397" w:rsidP="00D2444D">
            <w:pPr>
              <w:pStyle w:val="TableText0"/>
              <w:jc w:val="center"/>
            </w:pPr>
            <w:r w:rsidRPr="00910397">
              <w:rPr>
                <w:color w:val="000000"/>
                <w:spacing w:val="53"/>
                <w:shd w:val="solid" w:color="000000" w:fill="000000"/>
                <w:fitText w:val="330" w:id="-663462898"/>
                <w14:textFill>
                  <w14:solidFill>
                    <w14:srgbClr w14:val="000000">
                      <w14:alpha w14:val="100000"/>
                    </w14:srgbClr>
                  </w14:solidFill>
                </w14:textFill>
              </w:rPr>
              <w:t>|||</w:t>
            </w:r>
            <w:r w:rsidRPr="00910397">
              <w:rPr>
                <w:color w:val="000000"/>
                <w:spacing w:val="1"/>
                <w:shd w:val="solid" w:color="000000" w:fill="000000"/>
                <w:fitText w:val="330" w:id="-663462898"/>
                <w14:textFill>
                  <w14:solidFill>
                    <w14:srgbClr w14:val="000000">
                      <w14:alpha w14:val="100000"/>
                    </w14:srgbClr>
                  </w14:solidFill>
                </w14:textFill>
              </w:rPr>
              <w:t>|</w:t>
            </w:r>
            <w:r w:rsidR="008B3921" w:rsidRPr="0098660A">
              <w:t xml:space="preserve"> </w:t>
            </w:r>
            <w:r w:rsidR="008B3921" w:rsidRPr="0098660A">
              <w:rPr>
                <w:vertAlign w:val="superscript"/>
              </w:rPr>
              <w:t>2</w:t>
            </w:r>
          </w:p>
        </w:tc>
        <w:tc>
          <w:tcPr>
            <w:tcW w:w="1134" w:type="dxa"/>
            <w:vAlign w:val="center"/>
          </w:tcPr>
          <w:p w14:paraId="689AA9D0" w14:textId="07ABDFBB" w:rsidR="00E54685" w:rsidRPr="0098660A" w:rsidRDefault="00910397" w:rsidP="00D2444D">
            <w:pPr>
              <w:pStyle w:val="TableText0"/>
              <w:jc w:val="center"/>
            </w:pPr>
            <w:r w:rsidRPr="00910397">
              <w:rPr>
                <w:color w:val="000000"/>
                <w:spacing w:val="53"/>
                <w:shd w:val="solid" w:color="000000" w:fill="000000"/>
                <w:fitText w:val="330" w:id="-663462897"/>
                <w14:textFill>
                  <w14:solidFill>
                    <w14:srgbClr w14:val="000000">
                      <w14:alpha w14:val="100000"/>
                    </w14:srgbClr>
                  </w14:solidFill>
                </w14:textFill>
              </w:rPr>
              <w:t>|||</w:t>
            </w:r>
            <w:r w:rsidRPr="00910397">
              <w:rPr>
                <w:color w:val="000000"/>
                <w:spacing w:val="1"/>
                <w:shd w:val="solid" w:color="000000" w:fill="000000"/>
                <w:fitText w:val="330" w:id="-663462897"/>
                <w14:textFill>
                  <w14:solidFill>
                    <w14:srgbClr w14:val="000000">
                      <w14:alpha w14:val="100000"/>
                    </w14:srgbClr>
                  </w14:solidFill>
                </w14:textFill>
              </w:rPr>
              <w:t>|</w:t>
            </w:r>
            <w:r w:rsidR="008B3921" w:rsidRPr="0098660A">
              <w:t xml:space="preserve"> </w:t>
            </w:r>
            <w:r w:rsidR="008B3921" w:rsidRPr="0098660A">
              <w:rPr>
                <w:vertAlign w:val="superscript"/>
              </w:rPr>
              <w:t>2</w:t>
            </w:r>
          </w:p>
        </w:tc>
        <w:tc>
          <w:tcPr>
            <w:tcW w:w="1134" w:type="dxa"/>
            <w:vAlign w:val="center"/>
          </w:tcPr>
          <w:p w14:paraId="107178CB" w14:textId="730878D2" w:rsidR="00E54685" w:rsidRPr="0098660A" w:rsidRDefault="00910397" w:rsidP="00D2444D">
            <w:pPr>
              <w:pStyle w:val="TableText0"/>
              <w:jc w:val="center"/>
            </w:pPr>
            <w:r w:rsidRPr="00910397">
              <w:rPr>
                <w:color w:val="000000"/>
                <w:spacing w:val="53"/>
                <w:shd w:val="solid" w:color="000000" w:fill="000000"/>
                <w:fitText w:val="330" w:id="-663462896"/>
                <w14:textFill>
                  <w14:solidFill>
                    <w14:srgbClr w14:val="000000">
                      <w14:alpha w14:val="100000"/>
                    </w14:srgbClr>
                  </w14:solidFill>
                </w14:textFill>
              </w:rPr>
              <w:t>|||</w:t>
            </w:r>
            <w:r w:rsidRPr="00910397">
              <w:rPr>
                <w:color w:val="000000"/>
                <w:spacing w:val="1"/>
                <w:shd w:val="solid" w:color="000000" w:fill="000000"/>
                <w:fitText w:val="330" w:id="-663462896"/>
                <w14:textFill>
                  <w14:solidFill>
                    <w14:srgbClr w14:val="000000">
                      <w14:alpha w14:val="100000"/>
                    </w14:srgbClr>
                  </w14:solidFill>
                </w14:textFill>
              </w:rPr>
              <w:t>|</w:t>
            </w:r>
            <w:r w:rsidR="008B3921" w:rsidRPr="0098660A">
              <w:t xml:space="preserve"> </w:t>
            </w:r>
            <w:r w:rsidR="008B3921" w:rsidRPr="0098660A">
              <w:rPr>
                <w:vertAlign w:val="superscript"/>
              </w:rPr>
              <w:t>2</w:t>
            </w:r>
          </w:p>
        </w:tc>
        <w:tc>
          <w:tcPr>
            <w:tcW w:w="1134" w:type="dxa"/>
            <w:vAlign w:val="center"/>
          </w:tcPr>
          <w:p w14:paraId="6C33C143" w14:textId="4AA4D91D" w:rsidR="00E54685" w:rsidRPr="0098660A" w:rsidRDefault="00910397" w:rsidP="00D2444D">
            <w:pPr>
              <w:pStyle w:val="TableText0"/>
              <w:jc w:val="center"/>
            </w:pPr>
            <w:r w:rsidRPr="00910397">
              <w:rPr>
                <w:color w:val="000000"/>
                <w:spacing w:val="53"/>
                <w:shd w:val="solid" w:color="000000" w:fill="000000"/>
                <w:fitText w:val="330" w:id="-663462912"/>
                <w14:textFill>
                  <w14:solidFill>
                    <w14:srgbClr w14:val="000000">
                      <w14:alpha w14:val="100000"/>
                    </w14:srgbClr>
                  </w14:solidFill>
                </w14:textFill>
              </w:rPr>
              <w:t>|||</w:t>
            </w:r>
            <w:r w:rsidRPr="00910397">
              <w:rPr>
                <w:color w:val="000000"/>
                <w:spacing w:val="1"/>
                <w:shd w:val="solid" w:color="000000" w:fill="000000"/>
                <w:fitText w:val="330" w:id="-663462912"/>
                <w14:textFill>
                  <w14:solidFill>
                    <w14:srgbClr w14:val="000000">
                      <w14:alpha w14:val="100000"/>
                    </w14:srgbClr>
                  </w14:solidFill>
                </w14:textFill>
              </w:rPr>
              <w:t>|</w:t>
            </w:r>
            <w:r w:rsidR="008B3921" w:rsidRPr="0098660A">
              <w:t xml:space="preserve"> </w:t>
            </w:r>
            <w:r w:rsidR="008B3921" w:rsidRPr="0098660A">
              <w:rPr>
                <w:vertAlign w:val="superscript"/>
              </w:rPr>
              <w:t>2</w:t>
            </w:r>
          </w:p>
        </w:tc>
        <w:tc>
          <w:tcPr>
            <w:tcW w:w="1134" w:type="dxa"/>
            <w:vAlign w:val="center"/>
          </w:tcPr>
          <w:p w14:paraId="188A060D" w14:textId="43FF54B7" w:rsidR="00E54685" w:rsidRPr="0098660A" w:rsidRDefault="00910397" w:rsidP="00D2444D">
            <w:pPr>
              <w:pStyle w:val="TableText0"/>
              <w:jc w:val="center"/>
            </w:pPr>
            <w:r w:rsidRPr="00910397">
              <w:rPr>
                <w:color w:val="000000"/>
                <w:spacing w:val="53"/>
                <w:shd w:val="solid" w:color="000000" w:fill="000000"/>
                <w:fitText w:val="330" w:id="-663462911"/>
                <w14:textFill>
                  <w14:solidFill>
                    <w14:srgbClr w14:val="000000">
                      <w14:alpha w14:val="100000"/>
                    </w14:srgbClr>
                  </w14:solidFill>
                </w14:textFill>
              </w:rPr>
              <w:t>|||</w:t>
            </w:r>
            <w:r w:rsidRPr="00910397">
              <w:rPr>
                <w:color w:val="000000"/>
                <w:spacing w:val="1"/>
                <w:shd w:val="solid" w:color="000000" w:fill="000000"/>
                <w:fitText w:val="330" w:id="-663462911"/>
                <w14:textFill>
                  <w14:solidFill>
                    <w14:srgbClr w14:val="000000">
                      <w14:alpha w14:val="100000"/>
                    </w14:srgbClr>
                  </w14:solidFill>
                </w14:textFill>
              </w:rPr>
              <w:t>|</w:t>
            </w:r>
            <w:r w:rsidR="008B3921" w:rsidRPr="0098660A">
              <w:t xml:space="preserve"> </w:t>
            </w:r>
            <w:r w:rsidR="008B3921" w:rsidRPr="0098660A">
              <w:rPr>
                <w:vertAlign w:val="superscript"/>
              </w:rPr>
              <w:t>2</w:t>
            </w:r>
          </w:p>
        </w:tc>
      </w:tr>
      <w:tr w:rsidR="00E54685" w:rsidRPr="0098660A" w14:paraId="3BBDBF8A" w14:textId="77777777" w:rsidTr="00D2444D">
        <w:trPr>
          <w:trHeight w:val="227"/>
        </w:trPr>
        <w:tc>
          <w:tcPr>
            <w:tcW w:w="2547" w:type="dxa"/>
          </w:tcPr>
          <w:p w14:paraId="444152E2" w14:textId="77777777" w:rsidR="00E54685" w:rsidRPr="0098660A" w:rsidRDefault="00E54685" w:rsidP="00D2444D">
            <w:pPr>
              <w:pStyle w:val="TableText0"/>
              <w:rPr>
                <w:vertAlign w:val="superscript"/>
              </w:rPr>
            </w:pPr>
            <w:r w:rsidRPr="0098660A">
              <w:t>Eculizumab scripts replaced</w:t>
            </w:r>
          </w:p>
        </w:tc>
        <w:tc>
          <w:tcPr>
            <w:tcW w:w="992" w:type="dxa"/>
            <w:vAlign w:val="center"/>
          </w:tcPr>
          <w:p w14:paraId="19158EAF" w14:textId="4B0D101E" w:rsidR="00E54685" w:rsidRPr="0098660A" w:rsidRDefault="00910397" w:rsidP="00D2444D">
            <w:pPr>
              <w:pStyle w:val="TableText0"/>
              <w:jc w:val="center"/>
            </w:pPr>
            <w:r w:rsidRPr="00910397">
              <w:rPr>
                <w:color w:val="000000"/>
                <w:spacing w:val="53"/>
                <w:shd w:val="solid" w:color="000000" w:fill="000000"/>
                <w:fitText w:val="330" w:id="-663462910"/>
                <w14:textFill>
                  <w14:solidFill>
                    <w14:srgbClr w14:val="000000">
                      <w14:alpha w14:val="100000"/>
                    </w14:srgbClr>
                  </w14:solidFill>
                </w14:textFill>
              </w:rPr>
              <w:t>|||</w:t>
            </w:r>
            <w:r w:rsidRPr="00910397">
              <w:rPr>
                <w:color w:val="000000"/>
                <w:spacing w:val="1"/>
                <w:shd w:val="solid" w:color="000000" w:fill="000000"/>
                <w:fitText w:val="330" w:id="-663462910"/>
                <w14:textFill>
                  <w14:solidFill>
                    <w14:srgbClr w14:val="000000">
                      <w14:alpha w14:val="100000"/>
                    </w14:srgbClr>
                  </w14:solidFill>
                </w14:textFill>
              </w:rPr>
              <w:t>|</w:t>
            </w:r>
            <w:r w:rsidR="008B3921" w:rsidRPr="0098660A">
              <w:t xml:space="preserve"> </w:t>
            </w:r>
            <w:r w:rsidR="008B3921" w:rsidRPr="0098660A">
              <w:rPr>
                <w:vertAlign w:val="superscript"/>
              </w:rPr>
              <w:t>2</w:t>
            </w:r>
          </w:p>
        </w:tc>
        <w:tc>
          <w:tcPr>
            <w:tcW w:w="992" w:type="dxa"/>
            <w:vAlign w:val="center"/>
          </w:tcPr>
          <w:p w14:paraId="6B0F8D3D" w14:textId="6AB8096A" w:rsidR="00E54685" w:rsidRPr="0098660A" w:rsidRDefault="00910397" w:rsidP="00D2444D">
            <w:pPr>
              <w:pStyle w:val="TableText0"/>
              <w:jc w:val="center"/>
            </w:pPr>
            <w:r w:rsidRPr="00910397">
              <w:rPr>
                <w:color w:val="000000"/>
                <w:spacing w:val="53"/>
                <w:shd w:val="solid" w:color="000000" w:fill="000000"/>
                <w:fitText w:val="330" w:id="-663462909"/>
                <w14:textFill>
                  <w14:solidFill>
                    <w14:srgbClr w14:val="000000">
                      <w14:alpha w14:val="100000"/>
                    </w14:srgbClr>
                  </w14:solidFill>
                </w14:textFill>
              </w:rPr>
              <w:t>|||</w:t>
            </w:r>
            <w:r w:rsidRPr="00910397">
              <w:rPr>
                <w:color w:val="000000"/>
                <w:spacing w:val="1"/>
                <w:shd w:val="solid" w:color="000000" w:fill="000000"/>
                <w:fitText w:val="330" w:id="-663462909"/>
                <w14:textFill>
                  <w14:solidFill>
                    <w14:srgbClr w14:val="000000">
                      <w14:alpha w14:val="100000"/>
                    </w14:srgbClr>
                  </w14:solidFill>
                </w14:textFill>
              </w:rPr>
              <w:t>|</w:t>
            </w:r>
            <w:r w:rsidR="008B3921" w:rsidRPr="0098660A">
              <w:t xml:space="preserve"> </w:t>
            </w:r>
            <w:r w:rsidR="008B3921" w:rsidRPr="0098660A">
              <w:rPr>
                <w:vertAlign w:val="superscript"/>
              </w:rPr>
              <w:t>2</w:t>
            </w:r>
          </w:p>
        </w:tc>
        <w:tc>
          <w:tcPr>
            <w:tcW w:w="1134" w:type="dxa"/>
            <w:vAlign w:val="center"/>
          </w:tcPr>
          <w:p w14:paraId="4EAA49CE" w14:textId="50865592" w:rsidR="00E54685" w:rsidRPr="0098660A" w:rsidRDefault="00910397" w:rsidP="00D2444D">
            <w:pPr>
              <w:pStyle w:val="TableText0"/>
              <w:jc w:val="center"/>
            </w:pPr>
            <w:r w:rsidRPr="00910397">
              <w:rPr>
                <w:color w:val="000000"/>
                <w:spacing w:val="53"/>
                <w:shd w:val="solid" w:color="000000" w:fill="000000"/>
                <w:fitText w:val="330" w:id="-663462908"/>
                <w14:textFill>
                  <w14:solidFill>
                    <w14:srgbClr w14:val="000000">
                      <w14:alpha w14:val="100000"/>
                    </w14:srgbClr>
                  </w14:solidFill>
                </w14:textFill>
              </w:rPr>
              <w:t>|||</w:t>
            </w:r>
            <w:r w:rsidRPr="00910397">
              <w:rPr>
                <w:color w:val="000000"/>
                <w:spacing w:val="1"/>
                <w:shd w:val="solid" w:color="000000" w:fill="000000"/>
                <w:fitText w:val="330" w:id="-663462908"/>
                <w14:textFill>
                  <w14:solidFill>
                    <w14:srgbClr w14:val="000000">
                      <w14:alpha w14:val="100000"/>
                    </w14:srgbClr>
                  </w14:solidFill>
                </w14:textFill>
              </w:rPr>
              <w:t>|</w:t>
            </w:r>
            <w:r w:rsidR="008B3921" w:rsidRPr="0098660A">
              <w:t xml:space="preserve"> </w:t>
            </w:r>
            <w:r w:rsidR="008B3921" w:rsidRPr="0098660A">
              <w:rPr>
                <w:vertAlign w:val="superscript"/>
              </w:rPr>
              <w:t>2</w:t>
            </w:r>
          </w:p>
        </w:tc>
        <w:tc>
          <w:tcPr>
            <w:tcW w:w="1134" w:type="dxa"/>
            <w:vAlign w:val="center"/>
          </w:tcPr>
          <w:p w14:paraId="75DE4C5C" w14:textId="611BFB84" w:rsidR="00E54685" w:rsidRPr="0098660A" w:rsidRDefault="00910397" w:rsidP="00D2444D">
            <w:pPr>
              <w:pStyle w:val="TableText0"/>
              <w:jc w:val="center"/>
            </w:pPr>
            <w:r w:rsidRPr="00910397">
              <w:rPr>
                <w:color w:val="000000"/>
                <w:spacing w:val="53"/>
                <w:shd w:val="solid" w:color="000000" w:fill="000000"/>
                <w:fitText w:val="330" w:id="-663462907"/>
                <w14:textFill>
                  <w14:solidFill>
                    <w14:srgbClr w14:val="000000">
                      <w14:alpha w14:val="100000"/>
                    </w14:srgbClr>
                  </w14:solidFill>
                </w14:textFill>
              </w:rPr>
              <w:t>|||</w:t>
            </w:r>
            <w:r w:rsidRPr="00910397">
              <w:rPr>
                <w:color w:val="000000"/>
                <w:spacing w:val="1"/>
                <w:shd w:val="solid" w:color="000000" w:fill="000000"/>
                <w:fitText w:val="330" w:id="-663462907"/>
                <w14:textFill>
                  <w14:solidFill>
                    <w14:srgbClr w14:val="000000">
                      <w14:alpha w14:val="100000"/>
                    </w14:srgbClr>
                  </w14:solidFill>
                </w14:textFill>
              </w:rPr>
              <w:t>|</w:t>
            </w:r>
            <w:r w:rsidR="008B3921" w:rsidRPr="0098660A">
              <w:t xml:space="preserve"> </w:t>
            </w:r>
            <w:r w:rsidR="008B3921" w:rsidRPr="0098660A">
              <w:rPr>
                <w:vertAlign w:val="superscript"/>
              </w:rPr>
              <w:t>2</w:t>
            </w:r>
          </w:p>
        </w:tc>
        <w:tc>
          <w:tcPr>
            <w:tcW w:w="1134" w:type="dxa"/>
            <w:vAlign w:val="center"/>
          </w:tcPr>
          <w:p w14:paraId="6C244E2B" w14:textId="59681950" w:rsidR="00E54685" w:rsidRPr="0098660A" w:rsidRDefault="00910397" w:rsidP="00D2444D">
            <w:pPr>
              <w:pStyle w:val="TableText0"/>
              <w:jc w:val="center"/>
            </w:pPr>
            <w:r w:rsidRPr="00910397">
              <w:rPr>
                <w:color w:val="000000"/>
                <w:spacing w:val="53"/>
                <w:shd w:val="solid" w:color="000000" w:fill="000000"/>
                <w:fitText w:val="330" w:id="-663462906"/>
                <w14:textFill>
                  <w14:solidFill>
                    <w14:srgbClr w14:val="000000">
                      <w14:alpha w14:val="100000"/>
                    </w14:srgbClr>
                  </w14:solidFill>
                </w14:textFill>
              </w:rPr>
              <w:t>|||</w:t>
            </w:r>
            <w:r w:rsidRPr="00910397">
              <w:rPr>
                <w:color w:val="000000"/>
                <w:spacing w:val="1"/>
                <w:shd w:val="solid" w:color="000000" w:fill="000000"/>
                <w:fitText w:val="330" w:id="-663462906"/>
                <w14:textFill>
                  <w14:solidFill>
                    <w14:srgbClr w14:val="000000">
                      <w14:alpha w14:val="100000"/>
                    </w14:srgbClr>
                  </w14:solidFill>
                </w14:textFill>
              </w:rPr>
              <w:t>|</w:t>
            </w:r>
            <w:r w:rsidR="008B3921" w:rsidRPr="0098660A">
              <w:t xml:space="preserve"> </w:t>
            </w:r>
            <w:r w:rsidR="008B3921" w:rsidRPr="0098660A">
              <w:rPr>
                <w:vertAlign w:val="superscript"/>
              </w:rPr>
              <w:t>2</w:t>
            </w:r>
          </w:p>
        </w:tc>
        <w:tc>
          <w:tcPr>
            <w:tcW w:w="1134" w:type="dxa"/>
            <w:vAlign w:val="center"/>
          </w:tcPr>
          <w:p w14:paraId="47D7C56D" w14:textId="2C70A966" w:rsidR="00E54685" w:rsidRPr="0098660A" w:rsidRDefault="00910397" w:rsidP="00D2444D">
            <w:pPr>
              <w:pStyle w:val="TableText0"/>
              <w:jc w:val="center"/>
            </w:pPr>
            <w:r w:rsidRPr="00910397">
              <w:rPr>
                <w:color w:val="000000"/>
                <w:spacing w:val="53"/>
                <w:shd w:val="solid" w:color="000000" w:fill="000000"/>
                <w:fitText w:val="330" w:id="-663462905"/>
                <w14:textFill>
                  <w14:solidFill>
                    <w14:srgbClr w14:val="000000">
                      <w14:alpha w14:val="100000"/>
                    </w14:srgbClr>
                  </w14:solidFill>
                </w14:textFill>
              </w:rPr>
              <w:t>|||</w:t>
            </w:r>
            <w:r w:rsidRPr="00910397">
              <w:rPr>
                <w:color w:val="000000"/>
                <w:spacing w:val="1"/>
                <w:shd w:val="solid" w:color="000000" w:fill="000000"/>
                <w:fitText w:val="330" w:id="-663462905"/>
                <w14:textFill>
                  <w14:solidFill>
                    <w14:srgbClr w14:val="000000">
                      <w14:alpha w14:val="100000"/>
                    </w14:srgbClr>
                  </w14:solidFill>
                </w14:textFill>
              </w:rPr>
              <w:t>|</w:t>
            </w:r>
            <w:r w:rsidR="008B3921" w:rsidRPr="0098660A">
              <w:t xml:space="preserve"> </w:t>
            </w:r>
            <w:r w:rsidR="008B3921" w:rsidRPr="0098660A">
              <w:rPr>
                <w:vertAlign w:val="superscript"/>
              </w:rPr>
              <w:t>2</w:t>
            </w:r>
          </w:p>
        </w:tc>
      </w:tr>
      <w:tr w:rsidR="00E54685" w:rsidRPr="0098660A" w14:paraId="3FA7EFC4" w14:textId="77777777" w:rsidTr="00D2444D">
        <w:trPr>
          <w:trHeight w:val="227"/>
        </w:trPr>
        <w:tc>
          <w:tcPr>
            <w:tcW w:w="2547" w:type="dxa"/>
          </w:tcPr>
          <w:p w14:paraId="7969DBE8" w14:textId="77777777" w:rsidR="00E54685" w:rsidRPr="0098660A" w:rsidRDefault="00E54685" w:rsidP="00D2444D">
            <w:pPr>
              <w:pStyle w:val="TableText0"/>
              <w:rPr>
                <w:vertAlign w:val="superscript"/>
              </w:rPr>
            </w:pPr>
            <w:proofErr w:type="spellStart"/>
            <w:r w:rsidRPr="0098660A">
              <w:t>Pegcetacoplan</w:t>
            </w:r>
            <w:proofErr w:type="spellEnd"/>
            <w:r w:rsidRPr="0098660A">
              <w:t xml:space="preserve"> </w:t>
            </w:r>
            <w:proofErr w:type="spellStart"/>
            <w:r w:rsidRPr="0098660A">
              <w:t>scripts</w:t>
            </w:r>
            <w:r w:rsidRPr="0098660A">
              <w:rPr>
                <w:vertAlign w:val="superscript"/>
              </w:rPr>
              <w:t>b</w:t>
            </w:r>
            <w:proofErr w:type="spellEnd"/>
          </w:p>
        </w:tc>
        <w:tc>
          <w:tcPr>
            <w:tcW w:w="992" w:type="dxa"/>
            <w:vAlign w:val="center"/>
          </w:tcPr>
          <w:p w14:paraId="6D265E1F" w14:textId="434BF1AE" w:rsidR="00E54685" w:rsidRPr="0098660A" w:rsidRDefault="00910397" w:rsidP="00D2444D">
            <w:pPr>
              <w:pStyle w:val="TableText0"/>
              <w:jc w:val="center"/>
            </w:pPr>
            <w:r w:rsidRPr="00910397">
              <w:rPr>
                <w:color w:val="000000"/>
                <w:spacing w:val="53"/>
                <w:shd w:val="solid" w:color="000000" w:fill="000000"/>
                <w:fitText w:val="330" w:id="-663462904"/>
                <w14:textFill>
                  <w14:solidFill>
                    <w14:srgbClr w14:val="000000">
                      <w14:alpha w14:val="100000"/>
                    </w14:srgbClr>
                  </w14:solidFill>
                </w14:textFill>
              </w:rPr>
              <w:t>|||</w:t>
            </w:r>
            <w:r w:rsidRPr="00910397">
              <w:rPr>
                <w:color w:val="000000"/>
                <w:spacing w:val="1"/>
                <w:shd w:val="solid" w:color="000000" w:fill="000000"/>
                <w:fitText w:val="330" w:id="-663462904"/>
                <w14:textFill>
                  <w14:solidFill>
                    <w14:srgbClr w14:val="000000">
                      <w14:alpha w14:val="100000"/>
                    </w14:srgbClr>
                  </w14:solidFill>
                </w14:textFill>
              </w:rPr>
              <w:t>|</w:t>
            </w:r>
            <w:r w:rsidR="008B3921" w:rsidRPr="0098660A">
              <w:t xml:space="preserve"> </w:t>
            </w:r>
            <w:r w:rsidR="008B3921" w:rsidRPr="0098660A">
              <w:rPr>
                <w:vertAlign w:val="superscript"/>
              </w:rPr>
              <w:t>2</w:t>
            </w:r>
          </w:p>
        </w:tc>
        <w:tc>
          <w:tcPr>
            <w:tcW w:w="992" w:type="dxa"/>
            <w:vAlign w:val="center"/>
          </w:tcPr>
          <w:p w14:paraId="73F5BB6D" w14:textId="1D950C45" w:rsidR="00E54685" w:rsidRPr="0098660A" w:rsidRDefault="00910397" w:rsidP="00D2444D">
            <w:pPr>
              <w:pStyle w:val="TableText0"/>
              <w:jc w:val="center"/>
            </w:pPr>
            <w:r w:rsidRPr="00910397">
              <w:rPr>
                <w:color w:val="000000"/>
                <w:spacing w:val="53"/>
                <w:shd w:val="solid" w:color="000000" w:fill="000000"/>
                <w:fitText w:val="330" w:id="-663462903"/>
                <w14:textFill>
                  <w14:solidFill>
                    <w14:srgbClr w14:val="000000">
                      <w14:alpha w14:val="100000"/>
                    </w14:srgbClr>
                  </w14:solidFill>
                </w14:textFill>
              </w:rPr>
              <w:t>|||</w:t>
            </w:r>
            <w:r w:rsidRPr="00910397">
              <w:rPr>
                <w:color w:val="000000"/>
                <w:spacing w:val="1"/>
                <w:shd w:val="solid" w:color="000000" w:fill="000000"/>
                <w:fitText w:val="330" w:id="-663462903"/>
                <w14:textFill>
                  <w14:solidFill>
                    <w14:srgbClr w14:val="000000">
                      <w14:alpha w14:val="100000"/>
                    </w14:srgbClr>
                  </w14:solidFill>
                </w14:textFill>
              </w:rPr>
              <w:t>|</w:t>
            </w:r>
            <w:r w:rsidR="008B3921" w:rsidRPr="0098660A">
              <w:t xml:space="preserve"> </w:t>
            </w:r>
            <w:r w:rsidR="008B3921" w:rsidRPr="0098660A">
              <w:rPr>
                <w:vertAlign w:val="superscript"/>
              </w:rPr>
              <w:t>2</w:t>
            </w:r>
          </w:p>
        </w:tc>
        <w:tc>
          <w:tcPr>
            <w:tcW w:w="1134" w:type="dxa"/>
            <w:vAlign w:val="center"/>
          </w:tcPr>
          <w:p w14:paraId="352441A7" w14:textId="34F01467" w:rsidR="00E54685" w:rsidRPr="0098660A" w:rsidRDefault="00910397" w:rsidP="00D2444D">
            <w:pPr>
              <w:pStyle w:val="TableText0"/>
              <w:jc w:val="center"/>
            </w:pPr>
            <w:r w:rsidRPr="00910397">
              <w:rPr>
                <w:color w:val="000000"/>
                <w:spacing w:val="53"/>
                <w:shd w:val="solid" w:color="000000" w:fill="000000"/>
                <w:fitText w:val="330" w:id="-663462902"/>
                <w14:textFill>
                  <w14:solidFill>
                    <w14:srgbClr w14:val="000000">
                      <w14:alpha w14:val="100000"/>
                    </w14:srgbClr>
                  </w14:solidFill>
                </w14:textFill>
              </w:rPr>
              <w:t>|||</w:t>
            </w:r>
            <w:r w:rsidRPr="00910397">
              <w:rPr>
                <w:color w:val="000000"/>
                <w:spacing w:val="1"/>
                <w:shd w:val="solid" w:color="000000" w:fill="000000"/>
                <w:fitText w:val="330" w:id="-663462902"/>
                <w14:textFill>
                  <w14:solidFill>
                    <w14:srgbClr w14:val="000000">
                      <w14:alpha w14:val="100000"/>
                    </w14:srgbClr>
                  </w14:solidFill>
                </w14:textFill>
              </w:rPr>
              <w:t>|</w:t>
            </w:r>
            <w:r w:rsidR="008B3921" w:rsidRPr="0098660A">
              <w:t xml:space="preserve"> </w:t>
            </w:r>
            <w:r w:rsidR="008B3921" w:rsidRPr="0098660A">
              <w:rPr>
                <w:vertAlign w:val="superscript"/>
              </w:rPr>
              <w:t>2</w:t>
            </w:r>
          </w:p>
        </w:tc>
        <w:tc>
          <w:tcPr>
            <w:tcW w:w="1134" w:type="dxa"/>
            <w:vAlign w:val="center"/>
          </w:tcPr>
          <w:p w14:paraId="4AF783A7" w14:textId="677681E5" w:rsidR="00E54685" w:rsidRPr="0098660A" w:rsidRDefault="00910397" w:rsidP="00D2444D">
            <w:pPr>
              <w:pStyle w:val="TableText0"/>
              <w:jc w:val="center"/>
            </w:pPr>
            <w:r w:rsidRPr="00910397">
              <w:rPr>
                <w:color w:val="000000"/>
                <w:spacing w:val="53"/>
                <w:shd w:val="solid" w:color="000000" w:fill="000000"/>
                <w:fitText w:val="330" w:id="-663462901"/>
                <w14:textFill>
                  <w14:solidFill>
                    <w14:srgbClr w14:val="000000">
                      <w14:alpha w14:val="100000"/>
                    </w14:srgbClr>
                  </w14:solidFill>
                </w14:textFill>
              </w:rPr>
              <w:t>|||</w:t>
            </w:r>
            <w:r w:rsidRPr="00910397">
              <w:rPr>
                <w:color w:val="000000"/>
                <w:spacing w:val="1"/>
                <w:shd w:val="solid" w:color="000000" w:fill="000000"/>
                <w:fitText w:val="330" w:id="-663462901"/>
                <w14:textFill>
                  <w14:solidFill>
                    <w14:srgbClr w14:val="000000">
                      <w14:alpha w14:val="100000"/>
                    </w14:srgbClr>
                  </w14:solidFill>
                </w14:textFill>
              </w:rPr>
              <w:t>|</w:t>
            </w:r>
            <w:r w:rsidR="008B3921" w:rsidRPr="0098660A">
              <w:t xml:space="preserve"> </w:t>
            </w:r>
            <w:r w:rsidR="008B3921" w:rsidRPr="0098660A">
              <w:rPr>
                <w:vertAlign w:val="superscript"/>
              </w:rPr>
              <w:t>2</w:t>
            </w:r>
          </w:p>
        </w:tc>
        <w:tc>
          <w:tcPr>
            <w:tcW w:w="1134" w:type="dxa"/>
            <w:vAlign w:val="center"/>
          </w:tcPr>
          <w:p w14:paraId="14826B4C" w14:textId="67DE15C4" w:rsidR="00E54685" w:rsidRPr="0098660A" w:rsidRDefault="00910397" w:rsidP="00D2444D">
            <w:pPr>
              <w:pStyle w:val="TableText0"/>
              <w:jc w:val="center"/>
            </w:pPr>
            <w:r w:rsidRPr="00910397">
              <w:rPr>
                <w:color w:val="000000"/>
                <w:spacing w:val="53"/>
                <w:shd w:val="solid" w:color="000000" w:fill="000000"/>
                <w:fitText w:val="330" w:id="-663462900"/>
                <w14:textFill>
                  <w14:solidFill>
                    <w14:srgbClr w14:val="000000">
                      <w14:alpha w14:val="100000"/>
                    </w14:srgbClr>
                  </w14:solidFill>
                </w14:textFill>
              </w:rPr>
              <w:t>|||</w:t>
            </w:r>
            <w:r w:rsidRPr="00910397">
              <w:rPr>
                <w:color w:val="000000"/>
                <w:spacing w:val="1"/>
                <w:shd w:val="solid" w:color="000000" w:fill="000000"/>
                <w:fitText w:val="330" w:id="-663462900"/>
                <w14:textFill>
                  <w14:solidFill>
                    <w14:srgbClr w14:val="000000">
                      <w14:alpha w14:val="100000"/>
                    </w14:srgbClr>
                  </w14:solidFill>
                </w14:textFill>
              </w:rPr>
              <w:t>|</w:t>
            </w:r>
            <w:r w:rsidR="008B3921" w:rsidRPr="0098660A">
              <w:t xml:space="preserve"> </w:t>
            </w:r>
            <w:r w:rsidR="008B3921" w:rsidRPr="0098660A">
              <w:rPr>
                <w:vertAlign w:val="superscript"/>
              </w:rPr>
              <w:t>2</w:t>
            </w:r>
          </w:p>
        </w:tc>
        <w:tc>
          <w:tcPr>
            <w:tcW w:w="1134" w:type="dxa"/>
            <w:vAlign w:val="center"/>
          </w:tcPr>
          <w:p w14:paraId="6A5AFCFA" w14:textId="25A54452" w:rsidR="00E54685" w:rsidRPr="0098660A" w:rsidRDefault="00910397" w:rsidP="00D2444D">
            <w:pPr>
              <w:pStyle w:val="TableText0"/>
              <w:jc w:val="center"/>
            </w:pPr>
            <w:r w:rsidRPr="00910397">
              <w:rPr>
                <w:color w:val="000000"/>
                <w:spacing w:val="53"/>
                <w:shd w:val="solid" w:color="000000" w:fill="000000"/>
                <w:fitText w:val="330" w:id="-663462899"/>
                <w14:textFill>
                  <w14:solidFill>
                    <w14:srgbClr w14:val="000000">
                      <w14:alpha w14:val="100000"/>
                    </w14:srgbClr>
                  </w14:solidFill>
                </w14:textFill>
              </w:rPr>
              <w:t>|||</w:t>
            </w:r>
            <w:r w:rsidRPr="00910397">
              <w:rPr>
                <w:color w:val="000000"/>
                <w:spacing w:val="1"/>
                <w:shd w:val="solid" w:color="000000" w:fill="000000"/>
                <w:fitText w:val="330" w:id="-663462899"/>
                <w14:textFill>
                  <w14:solidFill>
                    <w14:srgbClr w14:val="000000">
                      <w14:alpha w14:val="100000"/>
                    </w14:srgbClr>
                  </w14:solidFill>
                </w14:textFill>
              </w:rPr>
              <w:t>|</w:t>
            </w:r>
            <w:r w:rsidR="008B3921" w:rsidRPr="0098660A">
              <w:t xml:space="preserve"> </w:t>
            </w:r>
            <w:r w:rsidR="008B3921" w:rsidRPr="0098660A">
              <w:rPr>
                <w:vertAlign w:val="superscript"/>
              </w:rPr>
              <w:t>2</w:t>
            </w:r>
          </w:p>
        </w:tc>
      </w:tr>
      <w:tr w:rsidR="00577D95" w:rsidRPr="0098660A" w14:paraId="4B5EB478" w14:textId="77777777" w:rsidTr="00D2444D">
        <w:trPr>
          <w:trHeight w:val="227"/>
        </w:trPr>
        <w:tc>
          <w:tcPr>
            <w:tcW w:w="2547" w:type="dxa"/>
          </w:tcPr>
          <w:p w14:paraId="6248B295" w14:textId="4B0A3414" w:rsidR="00577D95" w:rsidRPr="0098660A" w:rsidRDefault="00577D95" w:rsidP="00D2444D">
            <w:pPr>
              <w:pStyle w:val="TableText0"/>
              <w:rPr>
                <w:vertAlign w:val="superscript"/>
              </w:rPr>
            </w:pPr>
            <w:r w:rsidRPr="0098660A">
              <w:t xml:space="preserve">Number of patients </w:t>
            </w:r>
            <w:proofErr w:type="spellStart"/>
            <w:r w:rsidRPr="0098660A">
              <w:t>treated</w:t>
            </w:r>
            <w:r w:rsidRPr="0098660A">
              <w:rPr>
                <w:vertAlign w:val="superscript"/>
              </w:rPr>
              <w:t>i</w:t>
            </w:r>
            <w:proofErr w:type="spellEnd"/>
          </w:p>
        </w:tc>
        <w:tc>
          <w:tcPr>
            <w:tcW w:w="992" w:type="dxa"/>
            <w:vAlign w:val="center"/>
          </w:tcPr>
          <w:p w14:paraId="19F7E229" w14:textId="45D8F5E4" w:rsidR="00577D95" w:rsidRPr="0098660A" w:rsidRDefault="00910397" w:rsidP="00D2444D">
            <w:pPr>
              <w:pStyle w:val="TableText0"/>
              <w:jc w:val="center"/>
            </w:pPr>
            <w:r w:rsidRPr="00910397">
              <w:rPr>
                <w:color w:val="000000"/>
                <w:spacing w:val="53"/>
                <w:shd w:val="solid" w:color="000000" w:fill="000000"/>
                <w:fitText w:val="330" w:id="-663462898"/>
                <w14:textFill>
                  <w14:solidFill>
                    <w14:srgbClr w14:val="000000">
                      <w14:alpha w14:val="100000"/>
                    </w14:srgbClr>
                  </w14:solidFill>
                </w14:textFill>
              </w:rPr>
              <w:t>|||</w:t>
            </w:r>
            <w:r w:rsidRPr="00910397">
              <w:rPr>
                <w:color w:val="000000"/>
                <w:spacing w:val="1"/>
                <w:shd w:val="solid" w:color="000000" w:fill="000000"/>
                <w:fitText w:val="330" w:id="-663462898"/>
                <w14:textFill>
                  <w14:solidFill>
                    <w14:srgbClr w14:val="000000">
                      <w14:alpha w14:val="100000"/>
                    </w14:srgbClr>
                  </w14:solidFill>
                </w14:textFill>
              </w:rPr>
              <w:t>|</w:t>
            </w:r>
            <w:r w:rsidR="008B3921" w:rsidRPr="0098660A">
              <w:t xml:space="preserve"> </w:t>
            </w:r>
            <w:r w:rsidR="008B3921" w:rsidRPr="0098660A">
              <w:rPr>
                <w:vertAlign w:val="superscript"/>
              </w:rPr>
              <w:t>2</w:t>
            </w:r>
          </w:p>
        </w:tc>
        <w:tc>
          <w:tcPr>
            <w:tcW w:w="992" w:type="dxa"/>
            <w:vAlign w:val="center"/>
          </w:tcPr>
          <w:p w14:paraId="55AC052D" w14:textId="7B8E4B0B" w:rsidR="00577D95" w:rsidRPr="0098660A" w:rsidRDefault="00910397" w:rsidP="00D2444D">
            <w:pPr>
              <w:pStyle w:val="TableText0"/>
              <w:jc w:val="center"/>
            </w:pPr>
            <w:r w:rsidRPr="00910397">
              <w:rPr>
                <w:color w:val="000000"/>
                <w:spacing w:val="53"/>
                <w:shd w:val="solid" w:color="000000" w:fill="000000"/>
                <w:fitText w:val="330" w:id="-663462897"/>
                <w14:textFill>
                  <w14:solidFill>
                    <w14:srgbClr w14:val="000000">
                      <w14:alpha w14:val="100000"/>
                    </w14:srgbClr>
                  </w14:solidFill>
                </w14:textFill>
              </w:rPr>
              <w:t>|||</w:t>
            </w:r>
            <w:r w:rsidRPr="00910397">
              <w:rPr>
                <w:color w:val="000000"/>
                <w:spacing w:val="1"/>
                <w:shd w:val="solid" w:color="000000" w:fill="000000"/>
                <w:fitText w:val="330" w:id="-663462897"/>
                <w14:textFill>
                  <w14:solidFill>
                    <w14:srgbClr w14:val="000000">
                      <w14:alpha w14:val="100000"/>
                    </w14:srgbClr>
                  </w14:solidFill>
                </w14:textFill>
              </w:rPr>
              <w:t>|</w:t>
            </w:r>
            <w:r w:rsidR="008B3921" w:rsidRPr="0098660A">
              <w:t xml:space="preserve"> </w:t>
            </w:r>
            <w:r w:rsidR="008B3921" w:rsidRPr="0098660A">
              <w:rPr>
                <w:vertAlign w:val="superscript"/>
              </w:rPr>
              <w:t>2</w:t>
            </w:r>
          </w:p>
        </w:tc>
        <w:tc>
          <w:tcPr>
            <w:tcW w:w="1134" w:type="dxa"/>
            <w:vAlign w:val="center"/>
          </w:tcPr>
          <w:p w14:paraId="434F77B9" w14:textId="220CC89A" w:rsidR="00577D95" w:rsidRPr="0098660A" w:rsidRDefault="00910397" w:rsidP="00D2444D">
            <w:pPr>
              <w:pStyle w:val="TableText0"/>
              <w:jc w:val="center"/>
            </w:pPr>
            <w:r w:rsidRPr="00910397">
              <w:rPr>
                <w:color w:val="000000"/>
                <w:spacing w:val="53"/>
                <w:shd w:val="solid" w:color="000000" w:fill="000000"/>
                <w:fitText w:val="330" w:id="-663462896"/>
                <w14:textFill>
                  <w14:solidFill>
                    <w14:srgbClr w14:val="000000">
                      <w14:alpha w14:val="100000"/>
                    </w14:srgbClr>
                  </w14:solidFill>
                </w14:textFill>
              </w:rPr>
              <w:t>|||</w:t>
            </w:r>
            <w:r w:rsidRPr="00910397">
              <w:rPr>
                <w:color w:val="000000"/>
                <w:spacing w:val="1"/>
                <w:shd w:val="solid" w:color="000000" w:fill="000000"/>
                <w:fitText w:val="330" w:id="-663462896"/>
                <w14:textFill>
                  <w14:solidFill>
                    <w14:srgbClr w14:val="000000">
                      <w14:alpha w14:val="100000"/>
                    </w14:srgbClr>
                  </w14:solidFill>
                </w14:textFill>
              </w:rPr>
              <w:t>|</w:t>
            </w:r>
            <w:r w:rsidR="008B3921" w:rsidRPr="0098660A">
              <w:t xml:space="preserve"> </w:t>
            </w:r>
            <w:r w:rsidR="008B3921" w:rsidRPr="0098660A">
              <w:rPr>
                <w:vertAlign w:val="superscript"/>
              </w:rPr>
              <w:t>2</w:t>
            </w:r>
          </w:p>
        </w:tc>
        <w:tc>
          <w:tcPr>
            <w:tcW w:w="1134" w:type="dxa"/>
            <w:vAlign w:val="center"/>
          </w:tcPr>
          <w:p w14:paraId="5AB0CF05" w14:textId="18445A70" w:rsidR="00577D95" w:rsidRPr="0098660A" w:rsidRDefault="00910397" w:rsidP="00D2444D">
            <w:pPr>
              <w:pStyle w:val="TableText0"/>
              <w:jc w:val="center"/>
            </w:pPr>
            <w:r w:rsidRPr="00910397">
              <w:rPr>
                <w:color w:val="000000"/>
                <w:spacing w:val="53"/>
                <w:shd w:val="solid" w:color="000000" w:fill="000000"/>
                <w:fitText w:val="330" w:id="-663462912"/>
                <w14:textFill>
                  <w14:solidFill>
                    <w14:srgbClr w14:val="000000">
                      <w14:alpha w14:val="100000"/>
                    </w14:srgbClr>
                  </w14:solidFill>
                </w14:textFill>
              </w:rPr>
              <w:t>|||</w:t>
            </w:r>
            <w:r w:rsidRPr="00910397">
              <w:rPr>
                <w:color w:val="000000"/>
                <w:spacing w:val="1"/>
                <w:shd w:val="solid" w:color="000000" w:fill="000000"/>
                <w:fitText w:val="330" w:id="-663462912"/>
                <w14:textFill>
                  <w14:solidFill>
                    <w14:srgbClr w14:val="000000">
                      <w14:alpha w14:val="100000"/>
                    </w14:srgbClr>
                  </w14:solidFill>
                </w14:textFill>
              </w:rPr>
              <w:t>|</w:t>
            </w:r>
            <w:r w:rsidR="008B3921" w:rsidRPr="0098660A">
              <w:t xml:space="preserve"> </w:t>
            </w:r>
            <w:r w:rsidR="008B3921" w:rsidRPr="0098660A">
              <w:rPr>
                <w:vertAlign w:val="superscript"/>
              </w:rPr>
              <w:t>2</w:t>
            </w:r>
          </w:p>
        </w:tc>
        <w:tc>
          <w:tcPr>
            <w:tcW w:w="1134" w:type="dxa"/>
            <w:vAlign w:val="center"/>
          </w:tcPr>
          <w:p w14:paraId="4C02D259" w14:textId="6D732DE8" w:rsidR="00577D95" w:rsidRPr="0098660A" w:rsidRDefault="00910397" w:rsidP="00D2444D">
            <w:pPr>
              <w:pStyle w:val="TableText0"/>
              <w:jc w:val="center"/>
            </w:pPr>
            <w:r w:rsidRPr="00910397">
              <w:rPr>
                <w:color w:val="000000"/>
                <w:spacing w:val="53"/>
                <w:shd w:val="solid" w:color="000000" w:fill="000000"/>
                <w:fitText w:val="330" w:id="-663462911"/>
                <w14:textFill>
                  <w14:solidFill>
                    <w14:srgbClr w14:val="000000">
                      <w14:alpha w14:val="100000"/>
                    </w14:srgbClr>
                  </w14:solidFill>
                </w14:textFill>
              </w:rPr>
              <w:t>|||</w:t>
            </w:r>
            <w:r w:rsidRPr="00910397">
              <w:rPr>
                <w:color w:val="000000"/>
                <w:spacing w:val="1"/>
                <w:shd w:val="solid" w:color="000000" w:fill="000000"/>
                <w:fitText w:val="330" w:id="-663462911"/>
                <w14:textFill>
                  <w14:solidFill>
                    <w14:srgbClr w14:val="000000">
                      <w14:alpha w14:val="100000"/>
                    </w14:srgbClr>
                  </w14:solidFill>
                </w14:textFill>
              </w:rPr>
              <w:t>|</w:t>
            </w:r>
            <w:r w:rsidR="008B3921" w:rsidRPr="0098660A">
              <w:t xml:space="preserve"> </w:t>
            </w:r>
            <w:r w:rsidR="008B3921" w:rsidRPr="0098660A">
              <w:rPr>
                <w:vertAlign w:val="superscript"/>
              </w:rPr>
              <w:t>2</w:t>
            </w:r>
          </w:p>
        </w:tc>
        <w:tc>
          <w:tcPr>
            <w:tcW w:w="1134" w:type="dxa"/>
            <w:vAlign w:val="center"/>
          </w:tcPr>
          <w:p w14:paraId="234C90E0" w14:textId="29C03C82" w:rsidR="00577D95" w:rsidRPr="0098660A" w:rsidRDefault="00910397" w:rsidP="00D2444D">
            <w:pPr>
              <w:pStyle w:val="TableText0"/>
              <w:jc w:val="center"/>
            </w:pPr>
            <w:r w:rsidRPr="00910397">
              <w:rPr>
                <w:color w:val="000000"/>
                <w:spacing w:val="53"/>
                <w:shd w:val="solid" w:color="000000" w:fill="000000"/>
                <w:fitText w:val="330" w:id="-663462910"/>
                <w14:textFill>
                  <w14:solidFill>
                    <w14:srgbClr w14:val="000000">
                      <w14:alpha w14:val="100000"/>
                    </w14:srgbClr>
                  </w14:solidFill>
                </w14:textFill>
              </w:rPr>
              <w:t>|||</w:t>
            </w:r>
            <w:r w:rsidRPr="00910397">
              <w:rPr>
                <w:color w:val="000000"/>
                <w:spacing w:val="1"/>
                <w:shd w:val="solid" w:color="000000" w:fill="000000"/>
                <w:fitText w:val="330" w:id="-663462910"/>
                <w14:textFill>
                  <w14:solidFill>
                    <w14:srgbClr w14:val="000000">
                      <w14:alpha w14:val="100000"/>
                    </w14:srgbClr>
                  </w14:solidFill>
                </w14:textFill>
              </w:rPr>
              <w:t>|</w:t>
            </w:r>
            <w:r w:rsidR="008B3921" w:rsidRPr="0098660A">
              <w:t xml:space="preserve"> </w:t>
            </w:r>
            <w:r w:rsidR="008B3921" w:rsidRPr="0098660A">
              <w:rPr>
                <w:vertAlign w:val="superscript"/>
              </w:rPr>
              <w:t>2</w:t>
            </w:r>
          </w:p>
        </w:tc>
      </w:tr>
      <w:tr w:rsidR="00E54685" w:rsidRPr="0098660A" w14:paraId="795B730B" w14:textId="77777777" w:rsidTr="00D2444D">
        <w:trPr>
          <w:trHeight w:val="227"/>
        </w:trPr>
        <w:tc>
          <w:tcPr>
            <w:tcW w:w="2547" w:type="dxa"/>
          </w:tcPr>
          <w:p w14:paraId="28A61017" w14:textId="77777777" w:rsidR="00E54685" w:rsidRPr="0098660A" w:rsidRDefault="00E54685" w:rsidP="00D2444D">
            <w:pPr>
              <w:pStyle w:val="TableText0"/>
              <w:rPr>
                <w:vertAlign w:val="superscript"/>
              </w:rPr>
            </w:pPr>
            <w:r w:rsidRPr="0098660A">
              <w:t xml:space="preserve">Cost of </w:t>
            </w:r>
            <w:proofErr w:type="spellStart"/>
            <w:r w:rsidRPr="0098660A">
              <w:t>pegcetacoplan</w:t>
            </w:r>
            <w:proofErr w:type="spellEnd"/>
            <w:r w:rsidRPr="0098660A">
              <w:t xml:space="preserve"> scripts, less </w:t>
            </w:r>
            <w:proofErr w:type="spellStart"/>
            <w:r w:rsidRPr="0098660A">
              <w:t>copayments</w:t>
            </w:r>
            <w:r w:rsidRPr="0098660A">
              <w:rPr>
                <w:vertAlign w:val="superscript"/>
              </w:rPr>
              <w:t>c</w:t>
            </w:r>
            <w:proofErr w:type="spellEnd"/>
          </w:p>
        </w:tc>
        <w:tc>
          <w:tcPr>
            <w:tcW w:w="992" w:type="dxa"/>
            <w:vAlign w:val="center"/>
          </w:tcPr>
          <w:p w14:paraId="05C40CB0" w14:textId="75A4C8EB"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909"/>
                <w14:textFill>
                  <w14:solidFill>
                    <w14:srgbClr w14:val="000000">
                      <w14:alpha w14:val="100000"/>
                    </w14:srgbClr>
                  </w14:solidFill>
                </w14:textFill>
              </w:rPr>
              <w:t>|||</w:t>
            </w:r>
            <w:r w:rsidR="00910397" w:rsidRPr="00910397">
              <w:rPr>
                <w:color w:val="000000"/>
                <w:spacing w:val="1"/>
                <w:shd w:val="solid" w:color="000000" w:fill="000000"/>
                <w:fitText w:val="330" w:id="-663462909"/>
                <w14:textFill>
                  <w14:solidFill>
                    <w14:srgbClr w14:val="000000">
                      <w14:alpha w14:val="100000"/>
                    </w14:srgbClr>
                  </w14:solidFill>
                </w14:textFill>
              </w:rPr>
              <w:t>|</w:t>
            </w:r>
            <w:r w:rsidR="008B3921" w:rsidRPr="0098660A">
              <w:t xml:space="preserve"> </w:t>
            </w:r>
            <w:r w:rsidR="008B3921" w:rsidRPr="0098660A">
              <w:rPr>
                <w:vertAlign w:val="superscript"/>
              </w:rPr>
              <w:t>3</w:t>
            </w:r>
          </w:p>
        </w:tc>
        <w:tc>
          <w:tcPr>
            <w:tcW w:w="992" w:type="dxa"/>
            <w:vAlign w:val="center"/>
          </w:tcPr>
          <w:p w14:paraId="4D27769B" w14:textId="64FE35E2"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908"/>
                <w14:textFill>
                  <w14:solidFill>
                    <w14:srgbClr w14:val="000000">
                      <w14:alpha w14:val="100000"/>
                    </w14:srgbClr>
                  </w14:solidFill>
                </w14:textFill>
              </w:rPr>
              <w:t>|||</w:t>
            </w:r>
            <w:r w:rsidR="00910397" w:rsidRPr="00910397">
              <w:rPr>
                <w:color w:val="000000"/>
                <w:spacing w:val="1"/>
                <w:shd w:val="solid" w:color="000000" w:fill="000000"/>
                <w:fitText w:val="330" w:id="-663462908"/>
                <w14:textFill>
                  <w14:solidFill>
                    <w14:srgbClr w14:val="000000">
                      <w14:alpha w14:val="100000"/>
                    </w14:srgbClr>
                  </w14:solidFill>
                </w14:textFill>
              </w:rPr>
              <w:t>|</w:t>
            </w:r>
            <w:r w:rsidR="008B3921" w:rsidRPr="0098660A">
              <w:t xml:space="preserve"> </w:t>
            </w:r>
            <w:r w:rsidR="008B3921" w:rsidRPr="0098660A">
              <w:rPr>
                <w:vertAlign w:val="superscript"/>
              </w:rPr>
              <w:t>3</w:t>
            </w:r>
          </w:p>
        </w:tc>
        <w:tc>
          <w:tcPr>
            <w:tcW w:w="1134" w:type="dxa"/>
            <w:vAlign w:val="center"/>
          </w:tcPr>
          <w:p w14:paraId="7DFDFAC3" w14:textId="5679D2B3"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907"/>
                <w14:textFill>
                  <w14:solidFill>
                    <w14:srgbClr w14:val="000000">
                      <w14:alpha w14:val="100000"/>
                    </w14:srgbClr>
                  </w14:solidFill>
                </w14:textFill>
              </w:rPr>
              <w:t>|||</w:t>
            </w:r>
            <w:r w:rsidR="00910397" w:rsidRPr="00910397">
              <w:rPr>
                <w:color w:val="000000"/>
                <w:spacing w:val="1"/>
                <w:shd w:val="solid" w:color="000000" w:fill="000000"/>
                <w:fitText w:val="330" w:id="-663462907"/>
                <w14:textFill>
                  <w14:solidFill>
                    <w14:srgbClr w14:val="000000">
                      <w14:alpha w14:val="100000"/>
                    </w14:srgbClr>
                  </w14:solidFill>
                </w14:textFill>
              </w:rPr>
              <w:t>|</w:t>
            </w:r>
            <w:r w:rsidR="008B3921" w:rsidRPr="0098660A">
              <w:t xml:space="preserve"> </w:t>
            </w:r>
            <w:r w:rsidR="008B3921" w:rsidRPr="0098660A">
              <w:rPr>
                <w:vertAlign w:val="superscript"/>
              </w:rPr>
              <w:t>4</w:t>
            </w:r>
          </w:p>
        </w:tc>
        <w:tc>
          <w:tcPr>
            <w:tcW w:w="1134" w:type="dxa"/>
            <w:vAlign w:val="center"/>
          </w:tcPr>
          <w:p w14:paraId="1389FE9B" w14:textId="282453A2"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906"/>
                <w14:textFill>
                  <w14:solidFill>
                    <w14:srgbClr w14:val="000000">
                      <w14:alpha w14:val="100000"/>
                    </w14:srgbClr>
                  </w14:solidFill>
                </w14:textFill>
              </w:rPr>
              <w:t>|||</w:t>
            </w:r>
            <w:r w:rsidR="00910397" w:rsidRPr="00910397">
              <w:rPr>
                <w:color w:val="000000"/>
                <w:spacing w:val="1"/>
                <w:shd w:val="solid" w:color="000000" w:fill="000000"/>
                <w:fitText w:val="330" w:id="-663462906"/>
                <w14:textFill>
                  <w14:solidFill>
                    <w14:srgbClr w14:val="000000">
                      <w14:alpha w14:val="100000"/>
                    </w14:srgbClr>
                  </w14:solidFill>
                </w14:textFill>
              </w:rPr>
              <w:t>|</w:t>
            </w:r>
            <w:r w:rsidR="008B3921" w:rsidRPr="0098660A">
              <w:t xml:space="preserve"> </w:t>
            </w:r>
            <w:r w:rsidR="008B3921" w:rsidRPr="0098660A">
              <w:rPr>
                <w:vertAlign w:val="superscript"/>
              </w:rPr>
              <w:t>4</w:t>
            </w:r>
          </w:p>
        </w:tc>
        <w:tc>
          <w:tcPr>
            <w:tcW w:w="1134" w:type="dxa"/>
            <w:vAlign w:val="center"/>
          </w:tcPr>
          <w:p w14:paraId="2FF94C36" w14:textId="7717C586"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905"/>
                <w14:textFill>
                  <w14:solidFill>
                    <w14:srgbClr w14:val="000000">
                      <w14:alpha w14:val="100000"/>
                    </w14:srgbClr>
                  </w14:solidFill>
                </w14:textFill>
              </w:rPr>
              <w:t>|||</w:t>
            </w:r>
            <w:r w:rsidR="00910397" w:rsidRPr="00910397">
              <w:rPr>
                <w:color w:val="000000"/>
                <w:spacing w:val="1"/>
                <w:shd w:val="solid" w:color="000000" w:fill="000000"/>
                <w:fitText w:val="330" w:id="-663462905"/>
                <w14:textFill>
                  <w14:solidFill>
                    <w14:srgbClr w14:val="000000">
                      <w14:alpha w14:val="100000"/>
                    </w14:srgbClr>
                  </w14:solidFill>
                </w14:textFill>
              </w:rPr>
              <w:t>|</w:t>
            </w:r>
            <w:r w:rsidR="008B3921" w:rsidRPr="0098660A">
              <w:t xml:space="preserve"> </w:t>
            </w:r>
            <w:r w:rsidR="008B3921" w:rsidRPr="0098660A">
              <w:rPr>
                <w:vertAlign w:val="superscript"/>
              </w:rPr>
              <w:t>4</w:t>
            </w:r>
          </w:p>
        </w:tc>
        <w:tc>
          <w:tcPr>
            <w:tcW w:w="1134" w:type="dxa"/>
            <w:vAlign w:val="center"/>
          </w:tcPr>
          <w:p w14:paraId="09ED8D89" w14:textId="571F1779"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904"/>
                <w14:textFill>
                  <w14:solidFill>
                    <w14:srgbClr w14:val="000000">
                      <w14:alpha w14:val="100000"/>
                    </w14:srgbClr>
                  </w14:solidFill>
                </w14:textFill>
              </w:rPr>
              <w:t>|||</w:t>
            </w:r>
            <w:r w:rsidR="00910397" w:rsidRPr="00910397">
              <w:rPr>
                <w:color w:val="000000"/>
                <w:spacing w:val="1"/>
                <w:shd w:val="solid" w:color="000000" w:fill="000000"/>
                <w:fitText w:val="330" w:id="-663462904"/>
                <w14:textFill>
                  <w14:solidFill>
                    <w14:srgbClr w14:val="000000">
                      <w14:alpha w14:val="100000"/>
                    </w14:srgbClr>
                  </w14:solidFill>
                </w14:textFill>
              </w:rPr>
              <w:t>|</w:t>
            </w:r>
            <w:r w:rsidR="008B3921" w:rsidRPr="0098660A">
              <w:t xml:space="preserve"> </w:t>
            </w:r>
            <w:r w:rsidR="008B3921" w:rsidRPr="0098660A">
              <w:rPr>
                <w:vertAlign w:val="superscript"/>
              </w:rPr>
              <w:t>4</w:t>
            </w:r>
          </w:p>
        </w:tc>
      </w:tr>
      <w:tr w:rsidR="00E54685" w:rsidRPr="0098660A" w14:paraId="679DF7CD" w14:textId="77777777" w:rsidTr="00D2444D">
        <w:trPr>
          <w:trHeight w:val="227"/>
        </w:trPr>
        <w:tc>
          <w:tcPr>
            <w:tcW w:w="2547" w:type="dxa"/>
          </w:tcPr>
          <w:p w14:paraId="445968A1" w14:textId="77777777" w:rsidR="00E54685" w:rsidRPr="0098660A" w:rsidRDefault="00E54685" w:rsidP="00D2444D">
            <w:pPr>
              <w:pStyle w:val="TableText0"/>
              <w:rPr>
                <w:vertAlign w:val="superscript"/>
              </w:rPr>
            </w:pPr>
            <w:r w:rsidRPr="0098660A">
              <w:t xml:space="preserve">Total cost savings to the </w:t>
            </w:r>
            <w:proofErr w:type="spellStart"/>
            <w:r w:rsidRPr="0098660A">
              <w:t>PBS</w:t>
            </w:r>
            <w:r w:rsidRPr="0098660A">
              <w:rPr>
                <w:vertAlign w:val="superscript"/>
              </w:rPr>
              <w:t>d,e</w:t>
            </w:r>
            <w:proofErr w:type="spellEnd"/>
          </w:p>
        </w:tc>
        <w:tc>
          <w:tcPr>
            <w:tcW w:w="992" w:type="dxa"/>
            <w:vAlign w:val="center"/>
          </w:tcPr>
          <w:p w14:paraId="350FB73D" w14:textId="17637953"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903"/>
                <w14:textFill>
                  <w14:solidFill>
                    <w14:srgbClr w14:val="000000">
                      <w14:alpha w14:val="100000"/>
                    </w14:srgbClr>
                  </w14:solidFill>
                </w14:textFill>
              </w:rPr>
              <w:t>|||</w:t>
            </w:r>
            <w:r w:rsidR="00910397" w:rsidRPr="00910397">
              <w:rPr>
                <w:color w:val="000000"/>
                <w:spacing w:val="1"/>
                <w:shd w:val="solid" w:color="000000" w:fill="000000"/>
                <w:fitText w:val="330" w:id="-663462903"/>
                <w14:textFill>
                  <w14:solidFill>
                    <w14:srgbClr w14:val="000000">
                      <w14:alpha w14:val="100000"/>
                    </w14:srgbClr>
                  </w14:solidFill>
                </w14:textFill>
              </w:rPr>
              <w:t>|</w:t>
            </w:r>
            <w:r w:rsidR="008B3921" w:rsidRPr="0098660A">
              <w:t xml:space="preserve"> </w:t>
            </w:r>
            <w:r w:rsidR="008B3921" w:rsidRPr="0098660A">
              <w:rPr>
                <w:vertAlign w:val="superscript"/>
              </w:rPr>
              <w:t>5</w:t>
            </w:r>
          </w:p>
        </w:tc>
        <w:tc>
          <w:tcPr>
            <w:tcW w:w="992" w:type="dxa"/>
            <w:vAlign w:val="center"/>
          </w:tcPr>
          <w:p w14:paraId="36F57554" w14:textId="23B5FD5C"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902"/>
                <w14:textFill>
                  <w14:solidFill>
                    <w14:srgbClr w14:val="000000">
                      <w14:alpha w14:val="100000"/>
                    </w14:srgbClr>
                  </w14:solidFill>
                </w14:textFill>
              </w:rPr>
              <w:t>|||</w:t>
            </w:r>
            <w:r w:rsidR="00910397" w:rsidRPr="00910397">
              <w:rPr>
                <w:color w:val="000000"/>
                <w:spacing w:val="1"/>
                <w:shd w:val="solid" w:color="000000" w:fill="000000"/>
                <w:fitText w:val="330" w:id="-663462902"/>
                <w14:textFill>
                  <w14:solidFill>
                    <w14:srgbClr w14:val="000000">
                      <w14:alpha w14:val="100000"/>
                    </w14:srgbClr>
                  </w14:solidFill>
                </w14:textFill>
              </w:rPr>
              <w:t>|</w:t>
            </w:r>
            <w:r w:rsidR="008B3921" w:rsidRPr="0098660A">
              <w:t xml:space="preserve"> </w:t>
            </w:r>
            <w:r w:rsidR="008B3921" w:rsidRPr="0098660A">
              <w:rPr>
                <w:vertAlign w:val="superscript"/>
              </w:rPr>
              <w:t>5</w:t>
            </w:r>
          </w:p>
        </w:tc>
        <w:tc>
          <w:tcPr>
            <w:tcW w:w="1134" w:type="dxa"/>
            <w:vAlign w:val="center"/>
          </w:tcPr>
          <w:p w14:paraId="01A2ED03" w14:textId="36E3448F"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901"/>
                <w14:textFill>
                  <w14:solidFill>
                    <w14:srgbClr w14:val="000000">
                      <w14:alpha w14:val="100000"/>
                    </w14:srgbClr>
                  </w14:solidFill>
                </w14:textFill>
              </w:rPr>
              <w:t>|||</w:t>
            </w:r>
            <w:r w:rsidR="00910397" w:rsidRPr="00910397">
              <w:rPr>
                <w:color w:val="000000"/>
                <w:spacing w:val="1"/>
                <w:shd w:val="solid" w:color="000000" w:fill="000000"/>
                <w:fitText w:val="330" w:id="-663462901"/>
                <w14:textFill>
                  <w14:solidFill>
                    <w14:srgbClr w14:val="000000">
                      <w14:alpha w14:val="100000"/>
                    </w14:srgbClr>
                  </w14:solidFill>
                </w14:textFill>
              </w:rPr>
              <w:t>|</w:t>
            </w:r>
            <w:r w:rsidR="008B3921" w:rsidRPr="0098660A">
              <w:t xml:space="preserve"> </w:t>
            </w:r>
            <w:r w:rsidR="008B3921" w:rsidRPr="0098660A">
              <w:rPr>
                <w:vertAlign w:val="superscript"/>
              </w:rPr>
              <w:t>5</w:t>
            </w:r>
          </w:p>
        </w:tc>
        <w:tc>
          <w:tcPr>
            <w:tcW w:w="1134" w:type="dxa"/>
            <w:vAlign w:val="center"/>
          </w:tcPr>
          <w:p w14:paraId="626B493B" w14:textId="44D8103E"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900"/>
                <w14:textFill>
                  <w14:solidFill>
                    <w14:srgbClr w14:val="000000">
                      <w14:alpha w14:val="100000"/>
                    </w14:srgbClr>
                  </w14:solidFill>
                </w14:textFill>
              </w:rPr>
              <w:t>|||</w:t>
            </w:r>
            <w:r w:rsidR="00910397" w:rsidRPr="00910397">
              <w:rPr>
                <w:color w:val="000000"/>
                <w:spacing w:val="1"/>
                <w:shd w:val="solid" w:color="000000" w:fill="000000"/>
                <w:fitText w:val="330" w:id="-663462900"/>
                <w14:textFill>
                  <w14:solidFill>
                    <w14:srgbClr w14:val="000000">
                      <w14:alpha w14:val="100000"/>
                    </w14:srgbClr>
                  </w14:solidFill>
                </w14:textFill>
              </w:rPr>
              <w:t>|</w:t>
            </w:r>
            <w:r w:rsidR="008B3921" w:rsidRPr="0098660A">
              <w:t xml:space="preserve"> </w:t>
            </w:r>
            <w:r w:rsidR="008B3921" w:rsidRPr="0098660A">
              <w:rPr>
                <w:vertAlign w:val="superscript"/>
              </w:rPr>
              <w:t>5</w:t>
            </w:r>
          </w:p>
        </w:tc>
        <w:tc>
          <w:tcPr>
            <w:tcW w:w="1134" w:type="dxa"/>
            <w:vAlign w:val="center"/>
          </w:tcPr>
          <w:p w14:paraId="48E53EAA" w14:textId="02F2604F"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899"/>
                <w14:textFill>
                  <w14:solidFill>
                    <w14:srgbClr w14:val="000000">
                      <w14:alpha w14:val="100000"/>
                    </w14:srgbClr>
                  </w14:solidFill>
                </w14:textFill>
              </w:rPr>
              <w:t>|||</w:t>
            </w:r>
            <w:r w:rsidR="00910397" w:rsidRPr="00910397">
              <w:rPr>
                <w:color w:val="000000"/>
                <w:spacing w:val="1"/>
                <w:shd w:val="solid" w:color="000000" w:fill="000000"/>
                <w:fitText w:val="330" w:id="-663462899"/>
                <w14:textFill>
                  <w14:solidFill>
                    <w14:srgbClr w14:val="000000">
                      <w14:alpha w14:val="100000"/>
                    </w14:srgbClr>
                  </w14:solidFill>
                </w14:textFill>
              </w:rPr>
              <w:t>|</w:t>
            </w:r>
            <w:r w:rsidR="008B3921" w:rsidRPr="0098660A">
              <w:t xml:space="preserve"> </w:t>
            </w:r>
            <w:r w:rsidR="008B3921" w:rsidRPr="0098660A">
              <w:rPr>
                <w:vertAlign w:val="superscript"/>
              </w:rPr>
              <w:t>5</w:t>
            </w:r>
          </w:p>
        </w:tc>
        <w:tc>
          <w:tcPr>
            <w:tcW w:w="1134" w:type="dxa"/>
            <w:vAlign w:val="center"/>
          </w:tcPr>
          <w:p w14:paraId="1DA1EA15" w14:textId="28B816DB"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898"/>
                <w14:textFill>
                  <w14:solidFill>
                    <w14:srgbClr w14:val="000000">
                      <w14:alpha w14:val="100000"/>
                    </w14:srgbClr>
                  </w14:solidFill>
                </w14:textFill>
              </w:rPr>
              <w:t>|||</w:t>
            </w:r>
            <w:r w:rsidR="00910397" w:rsidRPr="00910397">
              <w:rPr>
                <w:color w:val="000000"/>
                <w:spacing w:val="1"/>
                <w:shd w:val="solid" w:color="000000" w:fill="000000"/>
                <w:fitText w:val="330" w:id="-663462898"/>
                <w14:textFill>
                  <w14:solidFill>
                    <w14:srgbClr w14:val="000000">
                      <w14:alpha w14:val="100000"/>
                    </w14:srgbClr>
                  </w14:solidFill>
                </w14:textFill>
              </w:rPr>
              <w:t>|</w:t>
            </w:r>
            <w:r w:rsidR="008B3921" w:rsidRPr="0098660A">
              <w:t xml:space="preserve"> </w:t>
            </w:r>
            <w:r w:rsidR="008B3921" w:rsidRPr="0098660A">
              <w:rPr>
                <w:vertAlign w:val="superscript"/>
              </w:rPr>
              <w:t>5</w:t>
            </w:r>
          </w:p>
        </w:tc>
      </w:tr>
      <w:tr w:rsidR="00E54685" w:rsidRPr="0098660A" w14:paraId="3427C561" w14:textId="77777777" w:rsidTr="00D2444D">
        <w:trPr>
          <w:trHeight w:val="227"/>
        </w:trPr>
        <w:tc>
          <w:tcPr>
            <w:tcW w:w="2547" w:type="dxa"/>
          </w:tcPr>
          <w:p w14:paraId="32385AF3" w14:textId="77777777" w:rsidR="00E54685" w:rsidRPr="0098660A" w:rsidRDefault="00E54685" w:rsidP="00D2444D">
            <w:pPr>
              <w:pStyle w:val="TableText0"/>
            </w:pPr>
            <w:r w:rsidRPr="0098660A">
              <w:t>Financial impact to the PBS</w:t>
            </w:r>
          </w:p>
        </w:tc>
        <w:tc>
          <w:tcPr>
            <w:tcW w:w="992" w:type="dxa"/>
            <w:vAlign w:val="center"/>
          </w:tcPr>
          <w:p w14:paraId="3705F033" w14:textId="1CE21638"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897"/>
                <w14:textFill>
                  <w14:solidFill>
                    <w14:srgbClr w14:val="000000">
                      <w14:alpha w14:val="100000"/>
                    </w14:srgbClr>
                  </w14:solidFill>
                </w14:textFill>
              </w:rPr>
              <w:t>|||</w:t>
            </w:r>
            <w:r w:rsidR="00910397" w:rsidRPr="00910397">
              <w:rPr>
                <w:color w:val="000000"/>
                <w:spacing w:val="1"/>
                <w:shd w:val="solid" w:color="000000" w:fill="000000"/>
                <w:fitText w:val="330" w:id="-663462897"/>
                <w14:textFill>
                  <w14:solidFill>
                    <w14:srgbClr w14:val="000000">
                      <w14:alpha w14:val="100000"/>
                    </w14:srgbClr>
                  </w14:solidFill>
                </w14:textFill>
              </w:rPr>
              <w:t>|</w:t>
            </w:r>
            <w:r w:rsidR="008B3921" w:rsidRPr="0098660A">
              <w:t xml:space="preserve"> </w:t>
            </w:r>
            <w:r w:rsidR="008B3921" w:rsidRPr="0098660A">
              <w:rPr>
                <w:vertAlign w:val="superscript"/>
              </w:rPr>
              <w:t>5</w:t>
            </w:r>
          </w:p>
        </w:tc>
        <w:tc>
          <w:tcPr>
            <w:tcW w:w="992" w:type="dxa"/>
            <w:vAlign w:val="center"/>
          </w:tcPr>
          <w:p w14:paraId="79DC98C9" w14:textId="6170E237"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896"/>
                <w14:textFill>
                  <w14:solidFill>
                    <w14:srgbClr w14:val="000000">
                      <w14:alpha w14:val="100000"/>
                    </w14:srgbClr>
                  </w14:solidFill>
                </w14:textFill>
              </w:rPr>
              <w:t>|||</w:t>
            </w:r>
            <w:r w:rsidR="00910397" w:rsidRPr="00910397">
              <w:rPr>
                <w:color w:val="000000"/>
                <w:spacing w:val="1"/>
                <w:shd w:val="solid" w:color="000000" w:fill="000000"/>
                <w:fitText w:val="330" w:id="-663462896"/>
                <w14:textFill>
                  <w14:solidFill>
                    <w14:srgbClr w14:val="000000">
                      <w14:alpha w14:val="100000"/>
                    </w14:srgbClr>
                  </w14:solidFill>
                </w14:textFill>
              </w:rPr>
              <w:t>|</w:t>
            </w:r>
            <w:r w:rsidR="008B3921" w:rsidRPr="0098660A">
              <w:t xml:space="preserve"> </w:t>
            </w:r>
            <w:r w:rsidR="008B3921" w:rsidRPr="0098660A">
              <w:rPr>
                <w:vertAlign w:val="superscript"/>
              </w:rPr>
              <w:t>5</w:t>
            </w:r>
          </w:p>
        </w:tc>
        <w:tc>
          <w:tcPr>
            <w:tcW w:w="1134" w:type="dxa"/>
            <w:vAlign w:val="center"/>
          </w:tcPr>
          <w:p w14:paraId="1EDE4312" w14:textId="212F48A4"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912"/>
                <w14:textFill>
                  <w14:solidFill>
                    <w14:srgbClr w14:val="000000">
                      <w14:alpha w14:val="100000"/>
                    </w14:srgbClr>
                  </w14:solidFill>
                </w14:textFill>
              </w:rPr>
              <w:t>|||</w:t>
            </w:r>
            <w:r w:rsidR="00910397" w:rsidRPr="00910397">
              <w:rPr>
                <w:color w:val="000000"/>
                <w:spacing w:val="1"/>
                <w:shd w:val="solid" w:color="000000" w:fill="000000"/>
                <w:fitText w:val="330" w:id="-663462912"/>
                <w14:textFill>
                  <w14:solidFill>
                    <w14:srgbClr w14:val="000000">
                      <w14:alpha w14:val="100000"/>
                    </w14:srgbClr>
                  </w14:solidFill>
                </w14:textFill>
              </w:rPr>
              <w:t>|</w:t>
            </w:r>
            <w:r w:rsidR="008B3921" w:rsidRPr="0098660A">
              <w:t xml:space="preserve"> </w:t>
            </w:r>
            <w:r w:rsidR="008B3921" w:rsidRPr="0098660A">
              <w:rPr>
                <w:vertAlign w:val="superscript"/>
              </w:rPr>
              <w:t>5</w:t>
            </w:r>
          </w:p>
        </w:tc>
        <w:tc>
          <w:tcPr>
            <w:tcW w:w="1134" w:type="dxa"/>
            <w:vAlign w:val="center"/>
          </w:tcPr>
          <w:p w14:paraId="4FBFBA51" w14:textId="336A3E3C"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911"/>
                <w14:textFill>
                  <w14:solidFill>
                    <w14:srgbClr w14:val="000000">
                      <w14:alpha w14:val="100000"/>
                    </w14:srgbClr>
                  </w14:solidFill>
                </w14:textFill>
              </w:rPr>
              <w:t>|||</w:t>
            </w:r>
            <w:r w:rsidR="00910397" w:rsidRPr="00910397">
              <w:rPr>
                <w:color w:val="000000"/>
                <w:spacing w:val="1"/>
                <w:shd w:val="solid" w:color="000000" w:fill="000000"/>
                <w:fitText w:val="330" w:id="-663462911"/>
                <w14:textFill>
                  <w14:solidFill>
                    <w14:srgbClr w14:val="000000">
                      <w14:alpha w14:val="100000"/>
                    </w14:srgbClr>
                  </w14:solidFill>
                </w14:textFill>
              </w:rPr>
              <w:t>|</w:t>
            </w:r>
            <w:r w:rsidR="008B3921" w:rsidRPr="0098660A">
              <w:t xml:space="preserve"> </w:t>
            </w:r>
            <w:r w:rsidR="008B3921" w:rsidRPr="0098660A">
              <w:rPr>
                <w:vertAlign w:val="superscript"/>
              </w:rPr>
              <w:t>5</w:t>
            </w:r>
          </w:p>
        </w:tc>
        <w:tc>
          <w:tcPr>
            <w:tcW w:w="1134" w:type="dxa"/>
            <w:vAlign w:val="center"/>
          </w:tcPr>
          <w:p w14:paraId="095B98C9" w14:textId="00F2A1FB"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910"/>
                <w14:textFill>
                  <w14:solidFill>
                    <w14:srgbClr w14:val="000000">
                      <w14:alpha w14:val="100000"/>
                    </w14:srgbClr>
                  </w14:solidFill>
                </w14:textFill>
              </w:rPr>
              <w:t>|||</w:t>
            </w:r>
            <w:r w:rsidR="00910397" w:rsidRPr="00910397">
              <w:rPr>
                <w:color w:val="000000"/>
                <w:spacing w:val="1"/>
                <w:shd w:val="solid" w:color="000000" w:fill="000000"/>
                <w:fitText w:val="330" w:id="-663462910"/>
                <w14:textFill>
                  <w14:solidFill>
                    <w14:srgbClr w14:val="000000">
                      <w14:alpha w14:val="100000"/>
                    </w14:srgbClr>
                  </w14:solidFill>
                </w14:textFill>
              </w:rPr>
              <w:t>|</w:t>
            </w:r>
            <w:r w:rsidR="008B3921" w:rsidRPr="0098660A">
              <w:t xml:space="preserve"> </w:t>
            </w:r>
            <w:r w:rsidR="008B3921" w:rsidRPr="0098660A">
              <w:rPr>
                <w:vertAlign w:val="superscript"/>
              </w:rPr>
              <w:t>5</w:t>
            </w:r>
          </w:p>
        </w:tc>
        <w:tc>
          <w:tcPr>
            <w:tcW w:w="1134" w:type="dxa"/>
            <w:vAlign w:val="center"/>
          </w:tcPr>
          <w:p w14:paraId="1A0104F4" w14:textId="1ED49204"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909"/>
                <w14:textFill>
                  <w14:solidFill>
                    <w14:srgbClr w14:val="000000">
                      <w14:alpha w14:val="100000"/>
                    </w14:srgbClr>
                  </w14:solidFill>
                </w14:textFill>
              </w:rPr>
              <w:t>|||</w:t>
            </w:r>
            <w:r w:rsidR="00910397" w:rsidRPr="00910397">
              <w:rPr>
                <w:color w:val="000000"/>
                <w:spacing w:val="1"/>
                <w:shd w:val="solid" w:color="000000" w:fill="000000"/>
                <w:fitText w:val="330" w:id="-663462909"/>
                <w14:textFill>
                  <w14:solidFill>
                    <w14:srgbClr w14:val="000000">
                      <w14:alpha w14:val="100000"/>
                    </w14:srgbClr>
                  </w14:solidFill>
                </w14:textFill>
              </w:rPr>
              <w:t>|</w:t>
            </w:r>
            <w:r w:rsidR="008B3921" w:rsidRPr="0098660A">
              <w:t xml:space="preserve"> </w:t>
            </w:r>
            <w:r w:rsidR="008B3921" w:rsidRPr="0098660A">
              <w:rPr>
                <w:vertAlign w:val="superscript"/>
              </w:rPr>
              <w:t>5</w:t>
            </w:r>
          </w:p>
        </w:tc>
      </w:tr>
      <w:tr w:rsidR="00E54685" w:rsidRPr="0098660A" w14:paraId="4BD44752" w14:textId="77777777" w:rsidTr="00D2444D">
        <w:trPr>
          <w:trHeight w:val="227"/>
        </w:trPr>
        <w:tc>
          <w:tcPr>
            <w:tcW w:w="2547" w:type="dxa"/>
          </w:tcPr>
          <w:p w14:paraId="74CBF1AD" w14:textId="77777777" w:rsidR="00E54685" w:rsidRPr="0098660A" w:rsidRDefault="00E54685" w:rsidP="00D2444D">
            <w:pPr>
              <w:pStyle w:val="TableText0"/>
              <w:rPr>
                <w:vertAlign w:val="superscript"/>
              </w:rPr>
            </w:pPr>
            <w:r w:rsidRPr="0098660A">
              <w:t xml:space="preserve">Cost savings to the </w:t>
            </w:r>
            <w:proofErr w:type="spellStart"/>
            <w:r w:rsidRPr="0098660A">
              <w:t>MBS</w:t>
            </w:r>
            <w:r w:rsidRPr="0098660A">
              <w:rPr>
                <w:vertAlign w:val="superscript"/>
              </w:rPr>
              <w:t>f</w:t>
            </w:r>
            <w:proofErr w:type="spellEnd"/>
          </w:p>
        </w:tc>
        <w:tc>
          <w:tcPr>
            <w:tcW w:w="992" w:type="dxa"/>
            <w:vAlign w:val="center"/>
          </w:tcPr>
          <w:p w14:paraId="4F037913" w14:textId="77F3ABB0"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908"/>
                <w14:textFill>
                  <w14:solidFill>
                    <w14:srgbClr w14:val="000000">
                      <w14:alpha w14:val="100000"/>
                    </w14:srgbClr>
                  </w14:solidFill>
                </w14:textFill>
              </w:rPr>
              <w:t>|||</w:t>
            </w:r>
            <w:r w:rsidR="00910397" w:rsidRPr="00910397">
              <w:rPr>
                <w:color w:val="000000"/>
                <w:spacing w:val="1"/>
                <w:shd w:val="solid" w:color="000000" w:fill="000000"/>
                <w:fitText w:val="330" w:id="-663462908"/>
                <w14:textFill>
                  <w14:solidFill>
                    <w14:srgbClr w14:val="000000">
                      <w14:alpha w14:val="100000"/>
                    </w14:srgbClr>
                  </w14:solidFill>
                </w14:textFill>
              </w:rPr>
              <w:t>|</w:t>
            </w:r>
            <w:r w:rsidR="008B3921" w:rsidRPr="0098660A">
              <w:t xml:space="preserve"> </w:t>
            </w:r>
            <w:r w:rsidR="008B3921" w:rsidRPr="0098660A">
              <w:rPr>
                <w:vertAlign w:val="superscript"/>
              </w:rPr>
              <w:t>5</w:t>
            </w:r>
          </w:p>
        </w:tc>
        <w:tc>
          <w:tcPr>
            <w:tcW w:w="992" w:type="dxa"/>
            <w:vAlign w:val="center"/>
          </w:tcPr>
          <w:p w14:paraId="5348B83A" w14:textId="78759F15"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907"/>
                <w14:textFill>
                  <w14:solidFill>
                    <w14:srgbClr w14:val="000000">
                      <w14:alpha w14:val="100000"/>
                    </w14:srgbClr>
                  </w14:solidFill>
                </w14:textFill>
              </w:rPr>
              <w:t>|||</w:t>
            </w:r>
            <w:r w:rsidR="00910397" w:rsidRPr="00910397">
              <w:rPr>
                <w:color w:val="000000"/>
                <w:spacing w:val="1"/>
                <w:shd w:val="solid" w:color="000000" w:fill="000000"/>
                <w:fitText w:val="330" w:id="-663462907"/>
                <w14:textFill>
                  <w14:solidFill>
                    <w14:srgbClr w14:val="000000">
                      <w14:alpha w14:val="100000"/>
                    </w14:srgbClr>
                  </w14:solidFill>
                </w14:textFill>
              </w:rPr>
              <w:t>|</w:t>
            </w:r>
            <w:r w:rsidR="008B3921" w:rsidRPr="0098660A">
              <w:t xml:space="preserve"> </w:t>
            </w:r>
            <w:r w:rsidR="008B3921" w:rsidRPr="0098660A">
              <w:rPr>
                <w:vertAlign w:val="superscript"/>
              </w:rPr>
              <w:t>5</w:t>
            </w:r>
          </w:p>
        </w:tc>
        <w:tc>
          <w:tcPr>
            <w:tcW w:w="1134" w:type="dxa"/>
            <w:vAlign w:val="center"/>
          </w:tcPr>
          <w:p w14:paraId="27D0593F" w14:textId="5C626696"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906"/>
                <w14:textFill>
                  <w14:solidFill>
                    <w14:srgbClr w14:val="000000">
                      <w14:alpha w14:val="100000"/>
                    </w14:srgbClr>
                  </w14:solidFill>
                </w14:textFill>
              </w:rPr>
              <w:t>|||</w:t>
            </w:r>
            <w:r w:rsidR="00910397" w:rsidRPr="00910397">
              <w:rPr>
                <w:color w:val="000000"/>
                <w:spacing w:val="1"/>
                <w:shd w:val="solid" w:color="000000" w:fill="000000"/>
                <w:fitText w:val="330" w:id="-663462906"/>
                <w14:textFill>
                  <w14:solidFill>
                    <w14:srgbClr w14:val="000000">
                      <w14:alpha w14:val="100000"/>
                    </w14:srgbClr>
                  </w14:solidFill>
                </w14:textFill>
              </w:rPr>
              <w:t>|</w:t>
            </w:r>
            <w:r w:rsidR="008B3921" w:rsidRPr="0098660A">
              <w:t xml:space="preserve"> </w:t>
            </w:r>
            <w:r w:rsidR="008B3921" w:rsidRPr="0098660A">
              <w:rPr>
                <w:vertAlign w:val="superscript"/>
              </w:rPr>
              <w:t>5</w:t>
            </w:r>
          </w:p>
        </w:tc>
        <w:tc>
          <w:tcPr>
            <w:tcW w:w="1134" w:type="dxa"/>
            <w:vAlign w:val="center"/>
          </w:tcPr>
          <w:p w14:paraId="7EFC86FF" w14:textId="323C8F6C"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905"/>
                <w14:textFill>
                  <w14:solidFill>
                    <w14:srgbClr w14:val="000000">
                      <w14:alpha w14:val="100000"/>
                    </w14:srgbClr>
                  </w14:solidFill>
                </w14:textFill>
              </w:rPr>
              <w:t>|||</w:t>
            </w:r>
            <w:r w:rsidR="00910397" w:rsidRPr="00910397">
              <w:rPr>
                <w:color w:val="000000"/>
                <w:spacing w:val="1"/>
                <w:shd w:val="solid" w:color="000000" w:fill="000000"/>
                <w:fitText w:val="330" w:id="-663462905"/>
                <w14:textFill>
                  <w14:solidFill>
                    <w14:srgbClr w14:val="000000">
                      <w14:alpha w14:val="100000"/>
                    </w14:srgbClr>
                  </w14:solidFill>
                </w14:textFill>
              </w:rPr>
              <w:t>|</w:t>
            </w:r>
            <w:r w:rsidR="008B3921" w:rsidRPr="0098660A">
              <w:t xml:space="preserve"> </w:t>
            </w:r>
            <w:r w:rsidR="008B3921" w:rsidRPr="0098660A">
              <w:rPr>
                <w:vertAlign w:val="superscript"/>
              </w:rPr>
              <w:t>5</w:t>
            </w:r>
          </w:p>
        </w:tc>
        <w:tc>
          <w:tcPr>
            <w:tcW w:w="1134" w:type="dxa"/>
            <w:vAlign w:val="center"/>
          </w:tcPr>
          <w:p w14:paraId="38D3DEEC" w14:textId="20F2E6BE"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904"/>
                <w14:textFill>
                  <w14:solidFill>
                    <w14:srgbClr w14:val="000000">
                      <w14:alpha w14:val="100000"/>
                    </w14:srgbClr>
                  </w14:solidFill>
                </w14:textFill>
              </w:rPr>
              <w:t>|||</w:t>
            </w:r>
            <w:r w:rsidR="00910397" w:rsidRPr="00910397">
              <w:rPr>
                <w:color w:val="000000"/>
                <w:spacing w:val="1"/>
                <w:shd w:val="solid" w:color="000000" w:fill="000000"/>
                <w:fitText w:val="330" w:id="-663462904"/>
                <w14:textFill>
                  <w14:solidFill>
                    <w14:srgbClr w14:val="000000">
                      <w14:alpha w14:val="100000"/>
                    </w14:srgbClr>
                  </w14:solidFill>
                </w14:textFill>
              </w:rPr>
              <w:t>|</w:t>
            </w:r>
            <w:r w:rsidR="008B3921" w:rsidRPr="0098660A">
              <w:t xml:space="preserve"> </w:t>
            </w:r>
            <w:r w:rsidR="008B3921" w:rsidRPr="0098660A">
              <w:rPr>
                <w:vertAlign w:val="superscript"/>
              </w:rPr>
              <w:t>5</w:t>
            </w:r>
          </w:p>
        </w:tc>
        <w:tc>
          <w:tcPr>
            <w:tcW w:w="1134" w:type="dxa"/>
            <w:vAlign w:val="center"/>
          </w:tcPr>
          <w:p w14:paraId="331BC7FF" w14:textId="2C9D42A6"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903"/>
                <w14:textFill>
                  <w14:solidFill>
                    <w14:srgbClr w14:val="000000">
                      <w14:alpha w14:val="100000"/>
                    </w14:srgbClr>
                  </w14:solidFill>
                </w14:textFill>
              </w:rPr>
              <w:t>|||</w:t>
            </w:r>
            <w:r w:rsidR="00910397" w:rsidRPr="00910397">
              <w:rPr>
                <w:color w:val="000000"/>
                <w:spacing w:val="1"/>
                <w:shd w:val="solid" w:color="000000" w:fill="000000"/>
                <w:fitText w:val="330" w:id="-663462903"/>
                <w14:textFill>
                  <w14:solidFill>
                    <w14:srgbClr w14:val="000000">
                      <w14:alpha w14:val="100000"/>
                    </w14:srgbClr>
                  </w14:solidFill>
                </w14:textFill>
              </w:rPr>
              <w:t>|</w:t>
            </w:r>
            <w:r w:rsidR="008B3921" w:rsidRPr="0098660A">
              <w:t xml:space="preserve"> </w:t>
            </w:r>
            <w:r w:rsidR="008B3921" w:rsidRPr="0098660A">
              <w:rPr>
                <w:vertAlign w:val="superscript"/>
              </w:rPr>
              <w:t>5</w:t>
            </w:r>
          </w:p>
        </w:tc>
      </w:tr>
      <w:tr w:rsidR="00E54685" w:rsidRPr="0098660A" w14:paraId="4593C489" w14:textId="77777777" w:rsidTr="00D2444D">
        <w:trPr>
          <w:trHeight w:val="227"/>
        </w:trPr>
        <w:tc>
          <w:tcPr>
            <w:tcW w:w="2547" w:type="dxa"/>
          </w:tcPr>
          <w:p w14:paraId="29C0EBC8" w14:textId="77777777" w:rsidR="00E54685" w:rsidRPr="0098660A" w:rsidRDefault="00E54685" w:rsidP="00D2444D">
            <w:pPr>
              <w:pStyle w:val="TableText0"/>
            </w:pPr>
            <w:r w:rsidRPr="0098660A">
              <w:t>Financial impact to the PBS/MBS</w:t>
            </w:r>
          </w:p>
        </w:tc>
        <w:tc>
          <w:tcPr>
            <w:tcW w:w="992" w:type="dxa"/>
            <w:vAlign w:val="center"/>
          </w:tcPr>
          <w:p w14:paraId="69222D13" w14:textId="5D17B48D"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902"/>
                <w14:textFill>
                  <w14:solidFill>
                    <w14:srgbClr w14:val="000000">
                      <w14:alpha w14:val="100000"/>
                    </w14:srgbClr>
                  </w14:solidFill>
                </w14:textFill>
              </w:rPr>
              <w:t>|||</w:t>
            </w:r>
            <w:r w:rsidR="00910397" w:rsidRPr="00910397">
              <w:rPr>
                <w:color w:val="000000"/>
                <w:spacing w:val="1"/>
                <w:shd w:val="solid" w:color="000000" w:fill="000000"/>
                <w:fitText w:val="330" w:id="-663462902"/>
                <w14:textFill>
                  <w14:solidFill>
                    <w14:srgbClr w14:val="000000">
                      <w14:alpha w14:val="100000"/>
                    </w14:srgbClr>
                  </w14:solidFill>
                </w14:textFill>
              </w:rPr>
              <w:t>|</w:t>
            </w:r>
            <w:r w:rsidR="008B3921" w:rsidRPr="0098660A">
              <w:t xml:space="preserve"> </w:t>
            </w:r>
            <w:r w:rsidR="008B3921" w:rsidRPr="0098660A">
              <w:rPr>
                <w:vertAlign w:val="superscript"/>
              </w:rPr>
              <w:t>5</w:t>
            </w:r>
          </w:p>
        </w:tc>
        <w:tc>
          <w:tcPr>
            <w:tcW w:w="992" w:type="dxa"/>
            <w:vAlign w:val="center"/>
          </w:tcPr>
          <w:p w14:paraId="5F280E70" w14:textId="24B2ECB0"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901"/>
                <w14:textFill>
                  <w14:solidFill>
                    <w14:srgbClr w14:val="000000">
                      <w14:alpha w14:val="100000"/>
                    </w14:srgbClr>
                  </w14:solidFill>
                </w14:textFill>
              </w:rPr>
              <w:t>|||</w:t>
            </w:r>
            <w:r w:rsidR="00910397" w:rsidRPr="00910397">
              <w:rPr>
                <w:color w:val="000000"/>
                <w:spacing w:val="1"/>
                <w:shd w:val="solid" w:color="000000" w:fill="000000"/>
                <w:fitText w:val="330" w:id="-663462901"/>
                <w14:textFill>
                  <w14:solidFill>
                    <w14:srgbClr w14:val="000000">
                      <w14:alpha w14:val="100000"/>
                    </w14:srgbClr>
                  </w14:solidFill>
                </w14:textFill>
              </w:rPr>
              <w:t>|</w:t>
            </w:r>
            <w:r w:rsidR="008B3921" w:rsidRPr="0098660A">
              <w:t xml:space="preserve"> </w:t>
            </w:r>
            <w:r w:rsidR="008B3921" w:rsidRPr="0098660A">
              <w:rPr>
                <w:vertAlign w:val="superscript"/>
              </w:rPr>
              <w:t>5</w:t>
            </w:r>
          </w:p>
        </w:tc>
        <w:tc>
          <w:tcPr>
            <w:tcW w:w="1134" w:type="dxa"/>
            <w:vAlign w:val="center"/>
          </w:tcPr>
          <w:p w14:paraId="1EBEC50B" w14:textId="199D88A2"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900"/>
                <w14:textFill>
                  <w14:solidFill>
                    <w14:srgbClr w14:val="000000">
                      <w14:alpha w14:val="100000"/>
                    </w14:srgbClr>
                  </w14:solidFill>
                </w14:textFill>
              </w:rPr>
              <w:t>|||</w:t>
            </w:r>
            <w:r w:rsidR="00910397" w:rsidRPr="00910397">
              <w:rPr>
                <w:color w:val="000000"/>
                <w:spacing w:val="1"/>
                <w:shd w:val="solid" w:color="000000" w:fill="000000"/>
                <w:fitText w:val="330" w:id="-663462900"/>
                <w14:textFill>
                  <w14:solidFill>
                    <w14:srgbClr w14:val="000000">
                      <w14:alpha w14:val="100000"/>
                    </w14:srgbClr>
                  </w14:solidFill>
                </w14:textFill>
              </w:rPr>
              <w:t>|</w:t>
            </w:r>
            <w:r w:rsidR="008B3921" w:rsidRPr="0098660A">
              <w:t xml:space="preserve"> </w:t>
            </w:r>
            <w:r w:rsidR="008B3921" w:rsidRPr="0098660A">
              <w:rPr>
                <w:vertAlign w:val="superscript"/>
              </w:rPr>
              <w:t>5</w:t>
            </w:r>
          </w:p>
        </w:tc>
        <w:tc>
          <w:tcPr>
            <w:tcW w:w="1134" w:type="dxa"/>
            <w:vAlign w:val="center"/>
          </w:tcPr>
          <w:p w14:paraId="1799EF1F" w14:textId="2CD6F2D6"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899"/>
                <w14:textFill>
                  <w14:solidFill>
                    <w14:srgbClr w14:val="000000">
                      <w14:alpha w14:val="100000"/>
                    </w14:srgbClr>
                  </w14:solidFill>
                </w14:textFill>
              </w:rPr>
              <w:t>|||</w:t>
            </w:r>
            <w:r w:rsidR="00910397" w:rsidRPr="00910397">
              <w:rPr>
                <w:color w:val="000000"/>
                <w:spacing w:val="1"/>
                <w:shd w:val="solid" w:color="000000" w:fill="000000"/>
                <w:fitText w:val="330" w:id="-663462899"/>
                <w14:textFill>
                  <w14:solidFill>
                    <w14:srgbClr w14:val="000000">
                      <w14:alpha w14:val="100000"/>
                    </w14:srgbClr>
                  </w14:solidFill>
                </w14:textFill>
              </w:rPr>
              <w:t>|</w:t>
            </w:r>
            <w:r w:rsidR="008B3921" w:rsidRPr="0098660A">
              <w:t xml:space="preserve"> </w:t>
            </w:r>
            <w:r w:rsidR="008B3921" w:rsidRPr="0098660A">
              <w:rPr>
                <w:vertAlign w:val="superscript"/>
              </w:rPr>
              <w:t>5</w:t>
            </w:r>
          </w:p>
        </w:tc>
        <w:tc>
          <w:tcPr>
            <w:tcW w:w="1134" w:type="dxa"/>
            <w:vAlign w:val="center"/>
          </w:tcPr>
          <w:p w14:paraId="07772D9D" w14:textId="3373717E"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898"/>
                <w14:textFill>
                  <w14:solidFill>
                    <w14:srgbClr w14:val="000000">
                      <w14:alpha w14:val="100000"/>
                    </w14:srgbClr>
                  </w14:solidFill>
                </w14:textFill>
              </w:rPr>
              <w:t>|||</w:t>
            </w:r>
            <w:r w:rsidR="00910397" w:rsidRPr="00910397">
              <w:rPr>
                <w:color w:val="000000"/>
                <w:spacing w:val="1"/>
                <w:shd w:val="solid" w:color="000000" w:fill="000000"/>
                <w:fitText w:val="330" w:id="-663462898"/>
                <w14:textFill>
                  <w14:solidFill>
                    <w14:srgbClr w14:val="000000">
                      <w14:alpha w14:val="100000"/>
                    </w14:srgbClr>
                  </w14:solidFill>
                </w14:textFill>
              </w:rPr>
              <w:t>|</w:t>
            </w:r>
            <w:r w:rsidR="008B3921" w:rsidRPr="0098660A">
              <w:t xml:space="preserve"> </w:t>
            </w:r>
            <w:r w:rsidR="008B3921" w:rsidRPr="0098660A">
              <w:rPr>
                <w:vertAlign w:val="superscript"/>
              </w:rPr>
              <w:t>5</w:t>
            </w:r>
          </w:p>
        </w:tc>
        <w:tc>
          <w:tcPr>
            <w:tcW w:w="1134" w:type="dxa"/>
            <w:vAlign w:val="center"/>
          </w:tcPr>
          <w:p w14:paraId="021DA01A" w14:textId="702270FA"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897"/>
                <w14:textFill>
                  <w14:solidFill>
                    <w14:srgbClr w14:val="000000">
                      <w14:alpha w14:val="100000"/>
                    </w14:srgbClr>
                  </w14:solidFill>
                </w14:textFill>
              </w:rPr>
              <w:t>|||</w:t>
            </w:r>
            <w:r w:rsidR="00910397" w:rsidRPr="00910397">
              <w:rPr>
                <w:color w:val="000000"/>
                <w:spacing w:val="1"/>
                <w:shd w:val="solid" w:color="000000" w:fill="000000"/>
                <w:fitText w:val="330" w:id="-663462897"/>
                <w14:textFill>
                  <w14:solidFill>
                    <w14:srgbClr w14:val="000000">
                      <w14:alpha w14:val="100000"/>
                    </w14:srgbClr>
                  </w14:solidFill>
                </w14:textFill>
              </w:rPr>
              <w:t>|</w:t>
            </w:r>
            <w:r w:rsidR="008B3921" w:rsidRPr="0098660A">
              <w:t xml:space="preserve"> </w:t>
            </w:r>
            <w:r w:rsidR="008B3921" w:rsidRPr="0098660A">
              <w:rPr>
                <w:vertAlign w:val="superscript"/>
              </w:rPr>
              <w:t>5</w:t>
            </w:r>
          </w:p>
        </w:tc>
      </w:tr>
      <w:tr w:rsidR="00E54685" w:rsidRPr="0098660A" w14:paraId="0C26C2EE" w14:textId="77777777" w:rsidTr="00D2444D">
        <w:trPr>
          <w:trHeight w:val="227"/>
        </w:trPr>
        <w:tc>
          <w:tcPr>
            <w:tcW w:w="2547" w:type="dxa"/>
          </w:tcPr>
          <w:p w14:paraId="50E7935D" w14:textId="77777777" w:rsidR="00E54685" w:rsidRPr="0098660A" w:rsidRDefault="00E54685" w:rsidP="00D2444D">
            <w:pPr>
              <w:pStyle w:val="TableText0"/>
              <w:rPr>
                <w:b/>
              </w:rPr>
            </w:pPr>
            <w:r w:rsidRPr="0098660A">
              <w:t xml:space="preserve">Net impact to the MBS, </w:t>
            </w:r>
            <w:proofErr w:type="spellStart"/>
            <w:r w:rsidRPr="0098660A">
              <w:t>revised</w:t>
            </w:r>
            <w:r w:rsidRPr="0098660A">
              <w:rPr>
                <w:vertAlign w:val="superscript"/>
              </w:rPr>
              <w:t>g</w:t>
            </w:r>
            <w:proofErr w:type="spellEnd"/>
          </w:p>
        </w:tc>
        <w:tc>
          <w:tcPr>
            <w:tcW w:w="992" w:type="dxa"/>
            <w:vAlign w:val="center"/>
          </w:tcPr>
          <w:p w14:paraId="5F0D2E3A" w14:textId="2E354B98" w:rsidR="00E54685" w:rsidRPr="0098660A" w:rsidRDefault="00E54685" w:rsidP="00D2444D">
            <w:pPr>
              <w:pStyle w:val="TableText0"/>
              <w:jc w:val="center"/>
              <w:rPr>
                <w:b/>
              </w:rPr>
            </w:pPr>
            <w:r w:rsidRPr="0098660A">
              <w:t>$</w:t>
            </w:r>
            <w:r w:rsidR="00910397" w:rsidRPr="00910397">
              <w:rPr>
                <w:color w:val="000000"/>
                <w:spacing w:val="53"/>
                <w:shd w:val="solid" w:color="000000" w:fill="000000"/>
                <w:fitText w:val="330" w:id="-663462896"/>
                <w14:textFill>
                  <w14:solidFill>
                    <w14:srgbClr w14:val="000000">
                      <w14:alpha w14:val="100000"/>
                    </w14:srgbClr>
                  </w14:solidFill>
                </w14:textFill>
              </w:rPr>
              <w:t>|||</w:t>
            </w:r>
            <w:r w:rsidR="00910397" w:rsidRPr="00910397">
              <w:rPr>
                <w:color w:val="000000"/>
                <w:spacing w:val="1"/>
                <w:shd w:val="solid" w:color="000000" w:fill="000000"/>
                <w:fitText w:val="330" w:id="-663462896"/>
                <w14:textFill>
                  <w14:solidFill>
                    <w14:srgbClr w14:val="000000">
                      <w14:alpha w14:val="100000"/>
                    </w14:srgbClr>
                  </w14:solidFill>
                </w14:textFill>
              </w:rPr>
              <w:t>|</w:t>
            </w:r>
            <w:r w:rsidR="008B3921" w:rsidRPr="0098660A">
              <w:t xml:space="preserve"> </w:t>
            </w:r>
            <w:r w:rsidR="008B3921" w:rsidRPr="0098660A">
              <w:rPr>
                <w:vertAlign w:val="superscript"/>
              </w:rPr>
              <w:t>3</w:t>
            </w:r>
          </w:p>
        </w:tc>
        <w:tc>
          <w:tcPr>
            <w:tcW w:w="992" w:type="dxa"/>
            <w:vAlign w:val="center"/>
          </w:tcPr>
          <w:p w14:paraId="17B33FF0" w14:textId="132C586C" w:rsidR="00E54685" w:rsidRPr="0098660A" w:rsidRDefault="00E54685" w:rsidP="00D2444D">
            <w:pPr>
              <w:pStyle w:val="TableText0"/>
              <w:jc w:val="center"/>
              <w:rPr>
                <w:b/>
              </w:rPr>
            </w:pPr>
            <w:r w:rsidRPr="0098660A">
              <w:t>$</w:t>
            </w:r>
            <w:r w:rsidR="00910397" w:rsidRPr="00910397">
              <w:rPr>
                <w:color w:val="000000"/>
                <w:spacing w:val="53"/>
                <w:shd w:val="solid" w:color="000000" w:fill="000000"/>
                <w:fitText w:val="330" w:id="-663462912"/>
                <w14:textFill>
                  <w14:solidFill>
                    <w14:srgbClr w14:val="000000">
                      <w14:alpha w14:val="100000"/>
                    </w14:srgbClr>
                  </w14:solidFill>
                </w14:textFill>
              </w:rPr>
              <w:t>|||</w:t>
            </w:r>
            <w:r w:rsidR="00910397" w:rsidRPr="00910397">
              <w:rPr>
                <w:color w:val="000000"/>
                <w:spacing w:val="1"/>
                <w:shd w:val="solid" w:color="000000" w:fill="000000"/>
                <w:fitText w:val="330" w:id="-663462912"/>
                <w14:textFill>
                  <w14:solidFill>
                    <w14:srgbClr w14:val="000000">
                      <w14:alpha w14:val="100000"/>
                    </w14:srgbClr>
                  </w14:solidFill>
                </w14:textFill>
              </w:rPr>
              <w:t>|</w:t>
            </w:r>
            <w:r w:rsidR="008B3921" w:rsidRPr="0098660A">
              <w:t xml:space="preserve"> </w:t>
            </w:r>
            <w:r w:rsidR="008B3921" w:rsidRPr="0098660A">
              <w:rPr>
                <w:vertAlign w:val="superscript"/>
              </w:rPr>
              <w:t>3</w:t>
            </w:r>
          </w:p>
        </w:tc>
        <w:tc>
          <w:tcPr>
            <w:tcW w:w="1134" w:type="dxa"/>
            <w:vAlign w:val="center"/>
          </w:tcPr>
          <w:p w14:paraId="52A89DFF" w14:textId="1692EEE7" w:rsidR="00E54685" w:rsidRPr="0098660A" w:rsidRDefault="00E54685" w:rsidP="00D2444D">
            <w:pPr>
              <w:pStyle w:val="TableText0"/>
              <w:jc w:val="center"/>
              <w:rPr>
                <w:b/>
              </w:rPr>
            </w:pPr>
            <w:r w:rsidRPr="0098660A">
              <w:t>$</w:t>
            </w:r>
            <w:r w:rsidR="00910397" w:rsidRPr="00910397">
              <w:rPr>
                <w:color w:val="000000"/>
                <w:spacing w:val="53"/>
                <w:shd w:val="solid" w:color="000000" w:fill="000000"/>
                <w:fitText w:val="330" w:id="-663462656"/>
                <w14:textFill>
                  <w14:solidFill>
                    <w14:srgbClr w14:val="000000">
                      <w14:alpha w14:val="100000"/>
                    </w14:srgbClr>
                  </w14:solidFill>
                </w14:textFill>
              </w:rPr>
              <w:t>|||</w:t>
            </w:r>
            <w:r w:rsidR="00910397" w:rsidRPr="00910397">
              <w:rPr>
                <w:color w:val="000000"/>
                <w:spacing w:val="1"/>
                <w:shd w:val="solid" w:color="000000" w:fill="000000"/>
                <w:fitText w:val="330" w:id="-663462656"/>
                <w14:textFill>
                  <w14:solidFill>
                    <w14:srgbClr w14:val="000000">
                      <w14:alpha w14:val="100000"/>
                    </w14:srgbClr>
                  </w14:solidFill>
                </w14:textFill>
              </w:rPr>
              <w:t>|</w:t>
            </w:r>
            <w:r w:rsidR="008B3921" w:rsidRPr="0098660A">
              <w:t xml:space="preserve"> </w:t>
            </w:r>
            <w:r w:rsidR="008B3921" w:rsidRPr="0098660A">
              <w:rPr>
                <w:vertAlign w:val="superscript"/>
              </w:rPr>
              <w:t>3</w:t>
            </w:r>
          </w:p>
        </w:tc>
        <w:tc>
          <w:tcPr>
            <w:tcW w:w="1134" w:type="dxa"/>
            <w:vAlign w:val="center"/>
          </w:tcPr>
          <w:p w14:paraId="29C2283D" w14:textId="24F116C0" w:rsidR="00E54685" w:rsidRPr="0098660A" w:rsidRDefault="00E54685" w:rsidP="00D2444D">
            <w:pPr>
              <w:pStyle w:val="TableText0"/>
              <w:jc w:val="center"/>
              <w:rPr>
                <w:b/>
              </w:rPr>
            </w:pPr>
            <w:r w:rsidRPr="0098660A">
              <w:t>$</w:t>
            </w:r>
            <w:r w:rsidR="00910397" w:rsidRPr="00910397">
              <w:rPr>
                <w:color w:val="000000"/>
                <w:spacing w:val="53"/>
                <w:shd w:val="solid" w:color="000000" w:fill="000000"/>
                <w:fitText w:val="330" w:id="-663462655"/>
                <w14:textFill>
                  <w14:solidFill>
                    <w14:srgbClr w14:val="000000">
                      <w14:alpha w14:val="100000"/>
                    </w14:srgbClr>
                  </w14:solidFill>
                </w14:textFill>
              </w:rPr>
              <w:t>|||</w:t>
            </w:r>
            <w:r w:rsidR="00910397" w:rsidRPr="00910397">
              <w:rPr>
                <w:color w:val="000000"/>
                <w:spacing w:val="1"/>
                <w:shd w:val="solid" w:color="000000" w:fill="000000"/>
                <w:fitText w:val="330" w:id="-663462655"/>
                <w14:textFill>
                  <w14:solidFill>
                    <w14:srgbClr w14:val="000000">
                      <w14:alpha w14:val="100000"/>
                    </w14:srgbClr>
                  </w14:solidFill>
                </w14:textFill>
              </w:rPr>
              <w:t>|</w:t>
            </w:r>
            <w:r w:rsidR="008B3921" w:rsidRPr="0098660A">
              <w:t xml:space="preserve"> </w:t>
            </w:r>
            <w:r w:rsidR="008B3921" w:rsidRPr="0098660A">
              <w:rPr>
                <w:vertAlign w:val="superscript"/>
              </w:rPr>
              <w:t>3</w:t>
            </w:r>
          </w:p>
        </w:tc>
        <w:tc>
          <w:tcPr>
            <w:tcW w:w="1134" w:type="dxa"/>
            <w:vAlign w:val="center"/>
          </w:tcPr>
          <w:p w14:paraId="188E7585" w14:textId="0E7F0A2F" w:rsidR="00E54685" w:rsidRPr="0098660A" w:rsidRDefault="00E54685" w:rsidP="00D2444D">
            <w:pPr>
              <w:pStyle w:val="TableText0"/>
              <w:jc w:val="center"/>
              <w:rPr>
                <w:b/>
              </w:rPr>
            </w:pPr>
            <w:r w:rsidRPr="0098660A">
              <w:t>$</w:t>
            </w:r>
            <w:r w:rsidR="00910397" w:rsidRPr="00910397">
              <w:rPr>
                <w:color w:val="000000"/>
                <w:spacing w:val="53"/>
                <w:shd w:val="solid" w:color="000000" w:fill="000000"/>
                <w:fitText w:val="330" w:id="-663462654"/>
                <w14:textFill>
                  <w14:solidFill>
                    <w14:srgbClr w14:val="000000">
                      <w14:alpha w14:val="100000"/>
                    </w14:srgbClr>
                  </w14:solidFill>
                </w14:textFill>
              </w:rPr>
              <w:t>|||</w:t>
            </w:r>
            <w:r w:rsidR="00910397" w:rsidRPr="00910397">
              <w:rPr>
                <w:color w:val="000000"/>
                <w:spacing w:val="1"/>
                <w:shd w:val="solid" w:color="000000" w:fill="000000"/>
                <w:fitText w:val="330" w:id="-663462654"/>
                <w14:textFill>
                  <w14:solidFill>
                    <w14:srgbClr w14:val="000000">
                      <w14:alpha w14:val="100000"/>
                    </w14:srgbClr>
                  </w14:solidFill>
                </w14:textFill>
              </w:rPr>
              <w:t>|</w:t>
            </w:r>
            <w:r w:rsidR="008B3921" w:rsidRPr="0098660A">
              <w:t xml:space="preserve"> </w:t>
            </w:r>
            <w:r w:rsidR="008B3921" w:rsidRPr="0098660A">
              <w:rPr>
                <w:vertAlign w:val="superscript"/>
              </w:rPr>
              <w:t>3</w:t>
            </w:r>
          </w:p>
        </w:tc>
        <w:tc>
          <w:tcPr>
            <w:tcW w:w="1134" w:type="dxa"/>
            <w:vAlign w:val="center"/>
          </w:tcPr>
          <w:p w14:paraId="2C3F1C20" w14:textId="08A04BB5" w:rsidR="00E54685" w:rsidRPr="0098660A" w:rsidRDefault="00E54685" w:rsidP="00D2444D">
            <w:pPr>
              <w:pStyle w:val="TableText0"/>
              <w:jc w:val="center"/>
              <w:rPr>
                <w:b/>
              </w:rPr>
            </w:pPr>
            <w:r w:rsidRPr="0098660A">
              <w:t>$</w:t>
            </w:r>
            <w:r w:rsidR="00910397" w:rsidRPr="00910397">
              <w:rPr>
                <w:color w:val="000000"/>
                <w:spacing w:val="53"/>
                <w:shd w:val="solid" w:color="000000" w:fill="000000"/>
                <w:fitText w:val="330" w:id="-663462653"/>
                <w14:textFill>
                  <w14:solidFill>
                    <w14:srgbClr w14:val="000000">
                      <w14:alpha w14:val="100000"/>
                    </w14:srgbClr>
                  </w14:solidFill>
                </w14:textFill>
              </w:rPr>
              <w:t>|||</w:t>
            </w:r>
            <w:r w:rsidR="00910397" w:rsidRPr="00910397">
              <w:rPr>
                <w:color w:val="000000"/>
                <w:spacing w:val="1"/>
                <w:shd w:val="solid" w:color="000000" w:fill="000000"/>
                <w:fitText w:val="330" w:id="-663462653"/>
                <w14:textFill>
                  <w14:solidFill>
                    <w14:srgbClr w14:val="000000">
                      <w14:alpha w14:val="100000"/>
                    </w14:srgbClr>
                  </w14:solidFill>
                </w14:textFill>
              </w:rPr>
              <w:t>|</w:t>
            </w:r>
            <w:r w:rsidR="008B3921" w:rsidRPr="0098660A">
              <w:t xml:space="preserve"> </w:t>
            </w:r>
            <w:r w:rsidR="008B3921" w:rsidRPr="0098660A">
              <w:rPr>
                <w:vertAlign w:val="superscript"/>
              </w:rPr>
              <w:t>3</w:t>
            </w:r>
          </w:p>
        </w:tc>
      </w:tr>
      <w:tr w:rsidR="00E54685" w:rsidRPr="0098660A" w14:paraId="1829C37D" w14:textId="77777777" w:rsidTr="00D2444D">
        <w:trPr>
          <w:trHeight w:val="227"/>
        </w:trPr>
        <w:tc>
          <w:tcPr>
            <w:tcW w:w="2547" w:type="dxa"/>
          </w:tcPr>
          <w:p w14:paraId="4610ECFE" w14:textId="77777777" w:rsidR="00E54685" w:rsidRPr="0098660A" w:rsidRDefault="00E54685" w:rsidP="00D2444D">
            <w:pPr>
              <w:pStyle w:val="TableText0"/>
              <w:rPr>
                <w:b/>
              </w:rPr>
            </w:pPr>
            <w:r w:rsidRPr="0098660A">
              <w:t xml:space="preserve">Net impact to the NIP, </w:t>
            </w:r>
            <w:proofErr w:type="spellStart"/>
            <w:r w:rsidRPr="0098660A">
              <w:t>revised</w:t>
            </w:r>
            <w:r w:rsidRPr="0098660A">
              <w:rPr>
                <w:vertAlign w:val="superscript"/>
              </w:rPr>
              <w:t>h</w:t>
            </w:r>
            <w:proofErr w:type="spellEnd"/>
          </w:p>
        </w:tc>
        <w:tc>
          <w:tcPr>
            <w:tcW w:w="992" w:type="dxa"/>
            <w:vAlign w:val="center"/>
          </w:tcPr>
          <w:p w14:paraId="12609F86" w14:textId="5591B5B1" w:rsidR="00E54685" w:rsidRPr="0098660A" w:rsidRDefault="00E54685" w:rsidP="00D2444D">
            <w:pPr>
              <w:pStyle w:val="TableText0"/>
              <w:jc w:val="center"/>
              <w:rPr>
                <w:b/>
              </w:rPr>
            </w:pPr>
            <w:r w:rsidRPr="0098660A">
              <w:t>$</w:t>
            </w:r>
            <w:r w:rsidR="00910397" w:rsidRPr="00910397">
              <w:rPr>
                <w:color w:val="000000"/>
                <w:spacing w:val="53"/>
                <w:shd w:val="solid" w:color="000000" w:fill="000000"/>
                <w:fitText w:val="330" w:id="-663462652"/>
                <w14:textFill>
                  <w14:solidFill>
                    <w14:srgbClr w14:val="000000">
                      <w14:alpha w14:val="100000"/>
                    </w14:srgbClr>
                  </w14:solidFill>
                </w14:textFill>
              </w:rPr>
              <w:t>|||</w:t>
            </w:r>
            <w:r w:rsidR="00910397" w:rsidRPr="00910397">
              <w:rPr>
                <w:color w:val="000000"/>
                <w:spacing w:val="1"/>
                <w:shd w:val="solid" w:color="000000" w:fill="000000"/>
                <w:fitText w:val="330" w:id="-663462652"/>
                <w14:textFill>
                  <w14:solidFill>
                    <w14:srgbClr w14:val="000000">
                      <w14:alpha w14:val="100000"/>
                    </w14:srgbClr>
                  </w14:solidFill>
                </w14:textFill>
              </w:rPr>
              <w:t>|</w:t>
            </w:r>
            <w:r w:rsidR="008B3921" w:rsidRPr="0098660A">
              <w:t xml:space="preserve"> </w:t>
            </w:r>
            <w:r w:rsidR="008B3921" w:rsidRPr="0098660A">
              <w:rPr>
                <w:vertAlign w:val="superscript"/>
              </w:rPr>
              <w:t>3</w:t>
            </w:r>
          </w:p>
        </w:tc>
        <w:tc>
          <w:tcPr>
            <w:tcW w:w="992" w:type="dxa"/>
            <w:vAlign w:val="center"/>
          </w:tcPr>
          <w:p w14:paraId="1FD48397" w14:textId="3030B83E" w:rsidR="00E54685" w:rsidRPr="0098660A" w:rsidRDefault="00E54685" w:rsidP="00D2444D">
            <w:pPr>
              <w:pStyle w:val="TableText0"/>
              <w:jc w:val="center"/>
              <w:rPr>
                <w:b/>
              </w:rPr>
            </w:pPr>
            <w:r w:rsidRPr="0098660A">
              <w:t>$</w:t>
            </w:r>
            <w:r w:rsidR="00910397" w:rsidRPr="00910397">
              <w:rPr>
                <w:color w:val="000000"/>
                <w:spacing w:val="53"/>
                <w:shd w:val="solid" w:color="000000" w:fill="000000"/>
                <w:fitText w:val="330" w:id="-663462651"/>
                <w14:textFill>
                  <w14:solidFill>
                    <w14:srgbClr w14:val="000000">
                      <w14:alpha w14:val="100000"/>
                    </w14:srgbClr>
                  </w14:solidFill>
                </w14:textFill>
              </w:rPr>
              <w:t>|||</w:t>
            </w:r>
            <w:r w:rsidR="00910397" w:rsidRPr="00910397">
              <w:rPr>
                <w:color w:val="000000"/>
                <w:spacing w:val="1"/>
                <w:shd w:val="solid" w:color="000000" w:fill="000000"/>
                <w:fitText w:val="330" w:id="-663462651"/>
                <w14:textFill>
                  <w14:solidFill>
                    <w14:srgbClr w14:val="000000">
                      <w14:alpha w14:val="100000"/>
                    </w14:srgbClr>
                  </w14:solidFill>
                </w14:textFill>
              </w:rPr>
              <w:t>|</w:t>
            </w:r>
            <w:r w:rsidR="008B3921" w:rsidRPr="0098660A">
              <w:t xml:space="preserve"> </w:t>
            </w:r>
            <w:r w:rsidR="008B3921" w:rsidRPr="0098660A">
              <w:rPr>
                <w:vertAlign w:val="superscript"/>
              </w:rPr>
              <w:t>3</w:t>
            </w:r>
          </w:p>
        </w:tc>
        <w:tc>
          <w:tcPr>
            <w:tcW w:w="1134" w:type="dxa"/>
            <w:vAlign w:val="center"/>
          </w:tcPr>
          <w:p w14:paraId="36C8FC44" w14:textId="040F9D54" w:rsidR="00E54685" w:rsidRPr="0098660A" w:rsidRDefault="00E54685" w:rsidP="00D2444D">
            <w:pPr>
              <w:pStyle w:val="TableText0"/>
              <w:jc w:val="center"/>
              <w:rPr>
                <w:b/>
              </w:rPr>
            </w:pPr>
            <w:r w:rsidRPr="0098660A">
              <w:t>$</w:t>
            </w:r>
            <w:r w:rsidR="00910397" w:rsidRPr="00910397">
              <w:rPr>
                <w:color w:val="000000"/>
                <w:spacing w:val="53"/>
                <w:shd w:val="solid" w:color="000000" w:fill="000000"/>
                <w:fitText w:val="330" w:id="-663462650"/>
                <w14:textFill>
                  <w14:solidFill>
                    <w14:srgbClr w14:val="000000">
                      <w14:alpha w14:val="100000"/>
                    </w14:srgbClr>
                  </w14:solidFill>
                </w14:textFill>
              </w:rPr>
              <w:t>|||</w:t>
            </w:r>
            <w:r w:rsidR="00910397" w:rsidRPr="00910397">
              <w:rPr>
                <w:color w:val="000000"/>
                <w:spacing w:val="1"/>
                <w:shd w:val="solid" w:color="000000" w:fill="000000"/>
                <w:fitText w:val="330" w:id="-663462650"/>
                <w14:textFill>
                  <w14:solidFill>
                    <w14:srgbClr w14:val="000000">
                      <w14:alpha w14:val="100000"/>
                    </w14:srgbClr>
                  </w14:solidFill>
                </w14:textFill>
              </w:rPr>
              <w:t>|</w:t>
            </w:r>
            <w:r w:rsidR="008B3921" w:rsidRPr="0098660A">
              <w:t xml:space="preserve"> </w:t>
            </w:r>
            <w:r w:rsidR="008B3921" w:rsidRPr="0098660A">
              <w:rPr>
                <w:vertAlign w:val="superscript"/>
              </w:rPr>
              <w:t>3</w:t>
            </w:r>
          </w:p>
        </w:tc>
        <w:tc>
          <w:tcPr>
            <w:tcW w:w="1134" w:type="dxa"/>
            <w:vAlign w:val="center"/>
          </w:tcPr>
          <w:p w14:paraId="57829052" w14:textId="208FF2C4" w:rsidR="00E54685" w:rsidRPr="0098660A" w:rsidRDefault="00E54685" w:rsidP="00D2444D">
            <w:pPr>
              <w:pStyle w:val="TableText0"/>
              <w:jc w:val="center"/>
              <w:rPr>
                <w:b/>
              </w:rPr>
            </w:pPr>
            <w:r w:rsidRPr="0098660A">
              <w:t>$</w:t>
            </w:r>
            <w:r w:rsidR="00910397" w:rsidRPr="00910397">
              <w:rPr>
                <w:color w:val="000000"/>
                <w:spacing w:val="53"/>
                <w:shd w:val="solid" w:color="000000" w:fill="000000"/>
                <w:fitText w:val="330" w:id="-663462649"/>
                <w14:textFill>
                  <w14:solidFill>
                    <w14:srgbClr w14:val="000000">
                      <w14:alpha w14:val="100000"/>
                    </w14:srgbClr>
                  </w14:solidFill>
                </w14:textFill>
              </w:rPr>
              <w:t>|||</w:t>
            </w:r>
            <w:r w:rsidR="00910397" w:rsidRPr="00910397">
              <w:rPr>
                <w:color w:val="000000"/>
                <w:spacing w:val="1"/>
                <w:shd w:val="solid" w:color="000000" w:fill="000000"/>
                <w:fitText w:val="330" w:id="-663462649"/>
                <w14:textFill>
                  <w14:solidFill>
                    <w14:srgbClr w14:val="000000">
                      <w14:alpha w14:val="100000"/>
                    </w14:srgbClr>
                  </w14:solidFill>
                </w14:textFill>
              </w:rPr>
              <w:t>|</w:t>
            </w:r>
            <w:r w:rsidR="008B3921" w:rsidRPr="0098660A">
              <w:t xml:space="preserve"> </w:t>
            </w:r>
            <w:r w:rsidR="008B3921" w:rsidRPr="0098660A">
              <w:rPr>
                <w:vertAlign w:val="superscript"/>
              </w:rPr>
              <w:t>3</w:t>
            </w:r>
          </w:p>
        </w:tc>
        <w:tc>
          <w:tcPr>
            <w:tcW w:w="1134" w:type="dxa"/>
            <w:vAlign w:val="center"/>
          </w:tcPr>
          <w:p w14:paraId="46E78EE7" w14:textId="5F52EEAD" w:rsidR="00E54685" w:rsidRPr="0098660A" w:rsidRDefault="00E54685" w:rsidP="00D2444D">
            <w:pPr>
              <w:pStyle w:val="TableText0"/>
              <w:jc w:val="center"/>
              <w:rPr>
                <w:b/>
              </w:rPr>
            </w:pPr>
            <w:r w:rsidRPr="0098660A">
              <w:t>$</w:t>
            </w:r>
            <w:r w:rsidR="00910397" w:rsidRPr="00910397">
              <w:rPr>
                <w:color w:val="000000"/>
                <w:spacing w:val="53"/>
                <w:shd w:val="solid" w:color="000000" w:fill="000000"/>
                <w:fitText w:val="330" w:id="-663462648"/>
                <w14:textFill>
                  <w14:solidFill>
                    <w14:srgbClr w14:val="000000">
                      <w14:alpha w14:val="100000"/>
                    </w14:srgbClr>
                  </w14:solidFill>
                </w14:textFill>
              </w:rPr>
              <w:t>|||</w:t>
            </w:r>
            <w:r w:rsidR="00910397" w:rsidRPr="00910397">
              <w:rPr>
                <w:color w:val="000000"/>
                <w:spacing w:val="1"/>
                <w:shd w:val="solid" w:color="000000" w:fill="000000"/>
                <w:fitText w:val="330" w:id="-663462648"/>
                <w14:textFill>
                  <w14:solidFill>
                    <w14:srgbClr w14:val="000000">
                      <w14:alpha w14:val="100000"/>
                    </w14:srgbClr>
                  </w14:solidFill>
                </w14:textFill>
              </w:rPr>
              <w:t>|</w:t>
            </w:r>
            <w:r w:rsidR="008B3921" w:rsidRPr="0098660A">
              <w:t xml:space="preserve"> </w:t>
            </w:r>
            <w:r w:rsidR="008B3921" w:rsidRPr="0098660A">
              <w:rPr>
                <w:vertAlign w:val="superscript"/>
              </w:rPr>
              <w:t>3</w:t>
            </w:r>
          </w:p>
        </w:tc>
        <w:tc>
          <w:tcPr>
            <w:tcW w:w="1134" w:type="dxa"/>
            <w:vAlign w:val="center"/>
          </w:tcPr>
          <w:p w14:paraId="3C620A16" w14:textId="2808D41A" w:rsidR="00E54685" w:rsidRPr="0098660A" w:rsidRDefault="00E54685" w:rsidP="00D2444D">
            <w:pPr>
              <w:pStyle w:val="TableText0"/>
              <w:jc w:val="center"/>
              <w:rPr>
                <w:b/>
              </w:rPr>
            </w:pPr>
            <w:r w:rsidRPr="0098660A">
              <w:t>$</w:t>
            </w:r>
            <w:r w:rsidR="00910397" w:rsidRPr="00910397">
              <w:rPr>
                <w:color w:val="000000"/>
                <w:spacing w:val="53"/>
                <w:shd w:val="solid" w:color="000000" w:fill="000000"/>
                <w:fitText w:val="330" w:id="-663462647"/>
                <w14:textFill>
                  <w14:solidFill>
                    <w14:srgbClr w14:val="000000">
                      <w14:alpha w14:val="100000"/>
                    </w14:srgbClr>
                  </w14:solidFill>
                </w14:textFill>
              </w:rPr>
              <w:t>|||</w:t>
            </w:r>
            <w:r w:rsidR="00910397" w:rsidRPr="00910397">
              <w:rPr>
                <w:color w:val="000000"/>
                <w:spacing w:val="1"/>
                <w:shd w:val="solid" w:color="000000" w:fill="000000"/>
                <w:fitText w:val="330" w:id="-663462647"/>
                <w14:textFill>
                  <w14:solidFill>
                    <w14:srgbClr w14:val="000000">
                      <w14:alpha w14:val="100000"/>
                    </w14:srgbClr>
                  </w14:solidFill>
                </w14:textFill>
              </w:rPr>
              <w:t>|</w:t>
            </w:r>
            <w:r w:rsidR="008B3921" w:rsidRPr="0098660A">
              <w:t xml:space="preserve"> </w:t>
            </w:r>
            <w:r w:rsidR="008B3921" w:rsidRPr="0098660A">
              <w:rPr>
                <w:vertAlign w:val="superscript"/>
              </w:rPr>
              <w:t>3</w:t>
            </w:r>
          </w:p>
        </w:tc>
      </w:tr>
      <w:tr w:rsidR="00E54685" w:rsidRPr="0098660A" w14:paraId="2D32A7B8" w14:textId="77777777" w:rsidTr="00D2444D">
        <w:trPr>
          <w:trHeight w:val="227"/>
        </w:trPr>
        <w:tc>
          <w:tcPr>
            <w:tcW w:w="2547" w:type="dxa"/>
          </w:tcPr>
          <w:p w14:paraId="153D4F8E" w14:textId="77777777" w:rsidR="00E54685" w:rsidRPr="0098660A" w:rsidRDefault="00E54685" w:rsidP="00D2444D">
            <w:pPr>
              <w:pStyle w:val="TableText0"/>
            </w:pPr>
            <w:r w:rsidRPr="0098660A">
              <w:t>Financial impact to the PBS/MBS/NIP, revised</w:t>
            </w:r>
          </w:p>
        </w:tc>
        <w:tc>
          <w:tcPr>
            <w:tcW w:w="992" w:type="dxa"/>
            <w:vAlign w:val="center"/>
          </w:tcPr>
          <w:p w14:paraId="6C21B674" w14:textId="23537D47"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646"/>
                <w14:textFill>
                  <w14:solidFill>
                    <w14:srgbClr w14:val="000000">
                      <w14:alpha w14:val="100000"/>
                    </w14:srgbClr>
                  </w14:solidFill>
                </w14:textFill>
              </w:rPr>
              <w:t>|||</w:t>
            </w:r>
            <w:r w:rsidR="00910397" w:rsidRPr="00910397">
              <w:rPr>
                <w:color w:val="000000"/>
                <w:spacing w:val="1"/>
                <w:shd w:val="solid" w:color="000000" w:fill="000000"/>
                <w:fitText w:val="330" w:id="-663462646"/>
                <w14:textFill>
                  <w14:solidFill>
                    <w14:srgbClr w14:val="000000">
                      <w14:alpha w14:val="100000"/>
                    </w14:srgbClr>
                  </w14:solidFill>
                </w14:textFill>
              </w:rPr>
              <w:t>|</w:t>
            </w:r>
            <w:r w:rsidR="008B3921" w:rsidRPr="0098660A">
              <w:t xml:space="preserve"> </w:t>
            </w:r>
            <w:r w:rsidR="008B3921" w:rsidRPr="0098660A">
              <w:rPr>
                <w:vertAlign w:val="superscript"/>
              </w:rPr>
              <w:t>5</w:t>
            </w:r>
          </w:p>
        </w:tc>
        <w:tc>
          <w:tcPr>
            <w:tcW w:w="992" w:type="dxa"/>
            <w:vAlign w:val="center"/>
          </w:tcPr>
          <w:p w14:paraId="64615EFF" w14:textId="50C4C34B"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645"/>
                <w14:textFill>
                  <w14:solidFill>
                    <w14:srgbClr w14:val="000000">
                      <w14:alpha w14:val="100000"/>
                    </w14:srgbClr>
                  </w14:solidFill>
                </w14:textFill>
              </w:rPr>
              <w:t>|||</w:t>
            </w:r>
            <w:r w:rsidR="00910397" w:rsidRPr="00910397">
              <w:rPr>
                <w:color w:val="000000"/>
                <w:spacing w:val="1"/>
                <w:shd w:val="solid" w:color="000000" w:fill="000000"/>
                <w:fitText w:val="330" w:id="-663462645"/>
                <w14:textFill>
                  <w14:solidFill>
                    <w14:srgbClr w14:val="000000">
                      <w14:alpha w14:val="100000"/>
                    </w14:srgbClr>
                  </w14:solidFill>
                </w14:textFill>
              </w:rPr>
              <w:t>|</w:t>
            </w:r>
            <w:r w:rsidR="008B3921" w:rsidRPr="0098660A">
              <w:t xml:space="preserve"> </w:t>
            </w:r>
            <w:r w:rsidR="008B3921" w:rsidRPr="0098660A">
              <w:rPr>
                <w:vertAlign w:val="superscript"/>
              </w:rPr>
              <w:t>5</w:t>
            </w:r>
          </w:p>
        </w:tc>
        <w:tc>
          <w:tcPr>
            <w:tcW w:w="1134" w:type="dxa"/>
            <w:vAlign w:val="center"/>
          </w:tcPr>
          <w:p w14:paraId="06865B58" w14:textId="2651A9C9"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644"/>
                <w14:textFill>
                  <w14:solidFill>
                    <w14:srgbClr w14:val="000000">
                      <w14:alpha w14:val="100000"/>
                    </w14:srgbClr>
                  </w14:solidFill>
                </w14:textFill>
              </w:rPr>
              <w:t>|||</w:t>
            </w:r>
            <w:r w:rsidR="00910397" w:rsidRPr="00910397">
              <w:rPr>
                <w:color w:val="000000"/>
                <w:spacing w:val="1"/>
                <w:shd w:val="solid" w:color="000000" w:fill="000000"/>
                <w:fitText w:val="330" w:id="-663462644"/>
                <w14:textFill>
                  <w14:solidFill>
                    <w14:srgbClr w14:val="000000">
                      <w14:alpha w14:val="100000"/>
                    </w14:srgbClr>
                  </w14:solidFill>
                </w14:textFill>
              </w:rPr>
              <w:t>|</w:t>
            </w:r>
            <w:r w:rsidR="008B3921" w:rsidRPr="0098660A">
              <w:t xml:space="preserve"> </w:t>
            </w:r>
            <w:r w:rsidR="008B3921" w:rsidRPr="0098660A">
              <w:rPr>
                <w:vertAlign w:val="superscript"/>
              </w:rPr>
              <w:t>5</w:t>
            </w:r>
          </w:p>
        </w:tc>
        <w:tc>
          <w:tcPr>
            <w:tcW w:w="1134" w:type="dxa"/>
            <w:vAlign w:val="center"/>
          </w:tcPr>
          <w:p w14:paraId="6B6AF85D" w14:textId="467E3640"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643"/>
                <w14:textFill>
                  <w14:solidFill>
                    <w14:srgbClr w14:val="000000">
                      <w14:alpha w14:val="100000"/>
                    </w14:srgbClr>
                  </w14:solidFill>
                </w14:textFill>
              </w:rPr>
              <w:t>|||</w:t>
            </w:r>
            <w:r w:rsidR="00910397" w:rsidRPr="00910397">
              <w:rPr>
                <w:color w:val="000000"/>
                <w:spacing w:val="1"/>
                <w:shd w:val="solid" w:color="000000" w:fill="000000"/>
                <w:fitText w:val="330" w:id="-663462643"/>
                <w14:textFill>
                  <w14:solidFill>
                    <w14:srgbClr w14:val="000000">
                      <w14:alpha w14:val="100000"/>
                    </w14:srgbClr>
                  </w14:solidFill>
                </w14:textFill>
              </w:rPr>
              <w:t>|</w:t>
            </w:r>
            <w:r w:rsidR="008B3921" w:rsidRPr="0098660A">
              <w:t xml:space="preserve"> </w:t>
            </w:r>
            <w:r w:rsidR="008B3921" w:rsidRPr="0098660A">
              <w:rPr>
                <w:vertAlign w:val="superscript"/>
              </w:rPr>
              <w:t>5</w:t>
            </w:r>
          </w:p>
        </w:tc>
        <w:tc>
          <w:tcPr>
            <w:tcW w:w="1134" w:type="dxa"/>
            <w:vAlign w:val="center"/>
          </w:tcPr>
          <w:p w14:paraId="01C6E6E0" w14:textId="63CAFB13" w:rsidR="00E54685" w:rsidRPr="0098660A" w:rsidRDefault="00E54685" w:rsidP="00D2444D">
            <w:pPr>
              <w:pStyle w:val="TableText0"/>
              <w:jc w:val="center"/>
            </w:pPr>
            <w:r w:rsidRPr="0098660A">
              <w:t>-$</w:t>
            </w:r>
            <w:r w:rsidR="00910397" w:rsidRPr="00910397">
              <w:rPr>
                <w:color w:val="000000"/>
                <w:spacing w:val="53"/>
                <w:shd w:val="solid" w:color="000000" w:fill="000000"/>
                <w:fitText w:val="330" w:id="-663462642"/>
                <w14:textFill>
                  <w14:solidFill>
                    <w14:srgbClr w14:val="000000">
                      <w14:alpha w14:val="100000"/>
                    </w14:srgbClr>
                  </w14:solidFill>
                </w14:textFill>
              </w:rPr>
              <w:t>|||</w:t>
            </w:r>
            <w:r w:rsidR="00910397" w:rsidRPr="00910397">
              <w:rPr>
                <w:color w:val="000000"/>
                <w:spacing w:val="1"/>
                <w:shd w:val="solid" w:color="000000" w:fill="000000"/>
                <w:fitText w:val="330" w:id="-663462642"/>
                <w14:textFill>
                  <w14:solidFill>
                    <w14:srgbClr w14:val="000000">
                      <w14:alpha w14:val="100000"/>
                    </w14:srgbClr>
                  </w14:solidFill>
                </w14:textFill>
              </w:rPr>
              <w:t>|</w:t>
            </w:r>
            <w:r w:rsidR="008B3921" w:rsidRPr="0098660A">
              <w:t xml:space="preserve"> </w:t>
            </w:r>
            <w:r w:rsidR="008B3921" w:rsidRPr="0098660A">
              <w:rPr>
                <w:vertAlign w:val="superscript"/>
              </w:rPr>
              <w:t>5</w:t>
            </w:r>
          </w:p>
        </w:tc>
        <w:tc>
          <w:tcPr>
            <w:tcW w:w="1134" w:type="dxa"/>
            <w:vAlign w:val="center"/>
          </w:tcPr>
          <w:p w14:paraId="4693BFD2" w14:textId="5D9970F3" w:rsidR="00E54685" w:rsidRPr="0098660A" w:rsidRDefault="00E54685" w:rsidP="00D2444D">
            <w:pPr>
              <w:pStyle w:val="TableText0"/>
              <w:jc w:val="center"/>
            </w:pPr>
            <w:r w:rsidRPr="0098660A">
              <w:t>-$</w:t>
            </w:r>
            <w:r w:rsidR="00910397" w:rsidRPr="008E0BAA">
              <w:rPr>
                <w:color w:val="000000"/>
                <w:spacing w:val="53"/>
                <w:shd w:val="solid" w:color="000000" w:fill="000000"/>
                <w:fitText w:val="330" w:id="-663462641"/>
                <w14:textFill>
                  <w14:solidFill>
                    <w14:srgbClr w14:val="000000">
                      <w14:alpha w14:val="100000"/>
                    </w14:srgbClr>
                  </w14:solidFill>
                </w14:textFill>
              </w:rPr>
              <w:t>|||</w:t>
            </w:r>
            <w:r w:rsidR="00910397" w:rsidRPr="008E0BAA">
              <w:rPr>
                <w:color w:val="000000"/>
                <w:spacing w:val="1"/>
                <w:shd w:val="solid" w:color="000000" w:fill="000000"/>
                <w:fitText w:val="330" w:id="-663462641"/>
                <w14:textFill>
                  <w14:solidFill>
                    <w14:srgbClr w14:val="000000">
                      <w14:alpha w14:val="100000"/>
                    </w14:srgbClr>
                  </w14:solidFill>
                </w14:textFill>
              </w:rPr>
              <w:t>|</w:t>
            </w:r>
            <w:r w:rsidR="008B3921" w:rsidRPr="0098660A">
              <w:t xml:space="preserve"> </w:t>
            </w:r>
            <w:r w:rsidR="008B3921" w:rsidRPr="0098660A">
              <w:rPr>
                <w:vertAlign w:val="superscript"/>
              </w:rPr>
              <w:t>5</w:t>
            </w:r>
          </w:p>
        </w:tc>
      </w:tr>
    </w:tbl>
    <w:p w14:paraId="0B5912D1" w14:textId="77777777" w:rsidR="00E54685" w:rsidRPr="0098660A" w:rsidRDefault="00E54685" w:rsidP="00D2444D">
      <w:pPr>
        <w:pStyle w:val="TableFigureFooter"/>
      </w:pPr>
      <w:r w:rsidRPr="0098660A">
        <w:t>Source: Constructed during the evaluation from the “Attachment 4.1 Pegcetacoplan 1L BIM” excel spreadsheet provided with the submission.</w:t>
      </w:r>
    </w:p>
    <w:p w14:paraId="73338EA6" w14:textId="6F483714" w:rsidR="00E54685" w:rsidRPr="0098660A" w:rsidRDefault="00E54685" w:rsidP="00D2444D">
      <w:pPr>
        <w:pStyle w:val="TableFigureFooter"/>
      </w:pPr>
      <w:r w:rsidRPr="0098660A">
        <w:t xml:space="preserve">AEMP = approved ex-manufacturer price; CMA = cost-minimisation analysis; DPMQ = dispensed price for maximum quantity; HSD = highly specialised drugs; MBS = Medicare Benefits Schedule; NIP = National Immunisation Program; PBS = Pharmaceutical Benefits Scheme; PNH = paroxysmal nocturnal hemoglobinuria PSD = public summary document.  </w:t>
      </w:r>
    </w:p>
    <w:p w14:paraId="1BF47563" w14:textId="77777777" w:rsidR="00E54685" w:rsidRPr="0098660A" w:rsidRDefault="00E54685" w:rsidP="00D2444D">
      <w:pPr>
        <w:pStyle w:val="TableFigureFooter"/>
      </w:pPr>
      <w:r w:rsidRPr="0098660A">
        <w:rPr>
          <w:vertAlign w:val="superscript"/>
        </w:rPr>
        <w:t xml:space="preserve">a </w:t>
      </w:r>
      <w:r w:rsidRPr="0098660A">
        <w:t>Based on ravulizumab and eculizumab script numbers for PBS item numbers related to PNH in 2023 (PBS items 12884D, 12898W,12841W, 12895Q, 12856P, 12883C, 12901B, 12897T, 12840T, 12877R, 12899X and 12896R), with an annual growth of 2.5%.</w:t>
      </w:r>
    </w:p>
    <w:p w14:paraId="0C480CD7" w14:textId="77777777" w:rsidR="00E54685" w:rsidRPr="0098660A" w:rsidRDefault="00E54685" w:rsidP="00D2444D">
      <w:pPr>
        <w:pStyle w:val="TableFigureFooter"/>
      </w:pPr>
      <w:r w:rsidRPr="0098660A">
        <w:rPr>
          <w:vertAlign w:val="superscript"/>
        </w:rPr>
        <w:t xml:space="preserve">b </w:t>
      </w:r>
      <w:r w:rsidRPr="0098660A">
        <w:t>Every replaced ravulizumab script resulted in 2.01 pegcetacoplan scripts and every replaced eculizumab resulted in 0.5 pegcetacoplan scripts. Based on the assumption that one script is required for every eight weeks for ravulizumab (regardless of vial size) and one script every two weeks for eculizumab, both equivalent to the dosing frequency of these drugs and one script every four weeks for pegcetacoplan.</w:t>
      </w:r>
    </w:p>
    <w:p w14:paraId="43215E96" w14:textId="77777777" w:rsidR="00E54685" w:rsidRPr="0098660A" w:rsidRDefault="00E54685" w:rsidP="00D2444D">
      <w:pPr>
        <w:pStyle w:val="TableFigureFooter"/>
      </w:pPr>
      <w:r w:rsidRPr="0098660A">
        <w:rPr>
          <w:vertAlign w:val="superscript"/>
        </w:rPr>
        <w:t xml:space="preserve">c </w:t>
      </w:r>
      <w:r w:rsidRPr="0098660A">
        <w:t>Cost of each pegcetacoplan script calculated to be $35,322. Based on a weighted average of 8.1 vials dispensed each script, based on the dosing frequency in the PRINCE trial and the proposed AEMP for each vial was $4,344. Weighted 87% public hospital use (no additional fees) and 13% private hospital use (additional $48.37 in HSD dispensing fees) based on ravulizumab utilisation in 2023. Each script was also assumed to include a patient copayment of $25.79, based on ravulizumab utilisation for PNH by beneficiary type in 2023.</w:t>
      </w:r>
    </w:p>
    <w:p w14:paraId="72366918" w14:textId="55544536" w:rsidR="00E54685" w:rsidRPr="0098660A" w:rsidRDefault="00E54685" w:rsidP="00D2444D">
      <w:pPr>
        <w:pStyle w:val="TableFigureFooter"/>
      </w:pPr>
      <w:r w:rsidRPr="0098660A">
        <w:rPr>
          <w:vertAlign w:val="superscript"/>
        </w:rPr>
        <w:t>d</w:t>
      </w:r>
      <w:r w:rsidRPr="0098660A">
        <w:t xml:space="preserve"> The cost per script for both ravulizumab scripts (1,100 mg vials and 300 mg vial script) was $72,058, based on each script dispensing the required number of vials to achieve the average maintenance dose of 3,288 mg, outlined in the ravulizumab PSD (para 6.56, ravulizumab, PSD, March 2021 PBAC meeting), 10.96 × 1,100 mg vials, costing $24,105 per vial and 2.99 × 300 mg vials, costing $6,574 per vial. Weighted 87% public hospital use (no additional fees) and 13% private hospital use (additional $48.37 in HSD dispensing fees) based on ravulizumab utilisation in 2023. Each script was also assumed to include a patient copayment of $25.79, based on ravulizumab utilisation for PNH by beneficiary type in 2023.</w:t>
      </w:r>
    </w:p>
    <w:p w14:paraId="2C6ABE4C" w14:textId="77777777" w:rsidR="00E54685" w:rsidRPr="0098660A" w:rsidRDefault="00E54685" w:rsidP="00D2444D">
      <w:pPr>
        <w:pStyle w:val="TableFigureFooter"/>
      </w:pPr>
      <w:r w:rsidRPr="0098660A">
        <w:rPr>
          <w:vertAlign w:val="superscript"/>
        </w:rPr>
        <w:t xml:space="preserve">e </w:t>
      </w:r>
      <w:r w:rsidRPr="0098660A">
        <w:t>The cost per script for eculizumab was $16,934, based on dispensing 3 × 300 mg vials, costing $5,640 per vial per script to achieve the standard dose PI dose 900 mg. The cost per script was weighted 75% public hospital use (no additional fees) and 25% private hospital use (additional $48.37 in HSD dispensing fees) based on eculizumab utilisation in 2023. Each script was also assumed to include a patient copayment of $19.61, based on eculizumab utilisation for PNH by beneficiary type in 2023.</w:t>
      </w:r>
    </w:p>
    <w:p w14:paraId="161337C3" w14:textId="77777777" w:rsidR="00E54685" w:rsidRPr="0098660A" w:rsidRDefault="00E54685" w:rsidP="00D2444D">
      <w:pPr>
        <w:pStyle w:val="TableFigureFooter"/>
      </w:pPr>
      <w:r w:rsidRPr="0098660A">
        <w:rPr>
          <w:vertAlign w:val="superscript"/>
        </w:rPr>
        <w:t xml:space="preserve">f </w:t>
      </w:r>
      <w:r w:rsidRPr="0098660A">
        <w:t xml:space="preserve">Assuming each replaced ravulizumab and eculizumab script would incur the cost of MBS item MBS item 14245 (full cost $111.60, applied with </w:t>
      </w:r>
      <w:proofErr w:type="gramStart"/>
      <w:r w:rsidRPr="0098660A">
        <w:t>a</w:t>
      </w:r>
      <w:proofErr w:type="gramEnd"/>
      <w:r w:rsidRPr="0098660A">
        <w:t xml:space="preserve"> 80% MBS rebate). However the number of scripts were erroneously double counted.</w:t>
      </w:r>
    </w:p>
    <w:p w14:paraId="7A4EF89F" w14:textId="46B1BC2E" w:rsidR="00E54685" w:rsidRPr="0098660A" w:rsidRDefault="00E54685" w:rsidP="00D2444D">
      <w:pPr>
        <w:pStyle w:val="TableFigureFooter"/>
      </w:pPr>
      <w:r w:rsidRPr="0098660A">
        <w:rPr>
          <w:vertAlign w:val="superscript"/>
        </w:rPr>
        <w:t xml:space="preserve">g </w:t>
      </w:r>
      <w:r w:rsidRPr="0098660A">
        <w:t xml:space="preserve">Revised net MBS costs do not include cost offsets due to administration as per financial estimates that were previously accepted by the PBAC (Table 1, pegcetacoplan PSD, July 2022 PBAC </w:t>
      </w:r>
      <w:r w:rsidR="00605BDC" w:rsidRPr="0098660A">
        <w:t>m</w:t>
      </w:r>
      <w:r w:rsidRPr="0098660A">
        <w:t>eeting). Additional MBS costs ($43 based on MBS item 23, 100% rebate) associated with vaccine administration, two per initiating patient in their first year and one in their fourth year of treatment. Number of initial patients projected based on the number of observed initiating scripts (for ravulizumab and eculizumab in 2023).</w:t>
      </w:r>
    </w:p>
    <w:p w14:paraId="42A4E239" w14:textId="77777777" w:rsidR="00E54685" w:rsidRPr="0098660A" w:rsidRDefault="00E54685" w:rsidP="00D2444D">
      <w:pPr>
        <w:pStyle w:val="TableFigureFooter"/>
      </w:pPr>
      <w:r w:rsidRPr="0098660A">
        <w:rPr>
          <w:vertAlign w:val="superscript"/>
        </w:rPr>
        <w:t xml:space="preserve">h </w:t>
      </w:r>
      <w:r w:rsidRPr="0098660A">
        <w:t>Vaccines per initiating patient include S. pneumoniae 13vPCV, S. pneumoniae 23vPPV and H. influenzae Type B in their first year, costing $85, $39, $29, respectively and a second S. pneumoniae 23vPPV in their fourth year of treatment based on the CMA.</w:t>
      </w:r>
    </w:p>
    <w:p w14:paraId="4A87854A" w14:textId="4CF77413" w:rsidR="00E54685" w:rsidRPr="0098660A" w:rsidRDefault="00577D95" w:rsidP="00D2444D">
      <w:pPr>
        <w:pStyle w:val="3-BodyText"/>
        <w:keepLines/>
        <w:numPr>
          <w:ilvl w:val="0"/>
          <w:numId w:val="0"/>
        </w:numPr>
        <w:spacing w:before="0" w:after="0"/>
        <w:rPr>
          <w:rStyle w:val="TableFigureFooterChar"/>
        </w:rPr>
      </w:pPr>
      <w:proofErr w:type="spellStart"/>
      <w:r w:rsidRPr="0098660A">
        <w:rPr>
          <w:rFonts w:ascii="Arial Narrow" w:eastAsia="Times New Roman" w:hAnsi="Arial Narrow" w:cs="Arial"/>
          <w:snapToGrid w:val="0"/>
          <w:sz w:val="18"/>
          <w:vertAlign w:val="superscript"/>
        </w:rPr>
        <w:t>i</w:t>
      </w:r>
      <w:proofErr w:type="spellEnd"/>
      <w:r w:rsidRPr="0098660A">
        <w:rPr>
          <w:rFonts w:ascii="Arial Narrow" w:eastAsia="Times New Roman" w:hAnsi="Arial Narrow" w:cs="Arial"/>
          <w:snapToGrid w:val="0"/>
          <w:sz w:val="18"/>
        </w:rPr>
        <w:t xml:space="preserve"> </w:t>
      </w:r>
      <w:r w:rsidR="00360987" w:rsidRPr="0098660A">
        <w:rPr>
          <w:rStyle w:val="TableFigureFooterChar"/>
        </w:rPr>
        <w:t>Number of patients treated was c</w:t>
      </w:r>
      <w:r w:rsidRPr="0098660A">
        <w:rPr>
          <w:rStyle w:val="TableFigureFooterChar"/>
        </w:rPr>
        <w:t>alculated by assuming 13.04 pegcetacoplan scripts per patient per year</w:t>
      </w:r>
      <w:r w:rsidR="00360987" w:rsidRPr="0098660A">
        <w:rPr>
          <w:rStyle w:val="TableFigureFooterChar"/>
        </w:rPr>
        <w:t>, with each script supplying 4 weeks of treatment</w:t>
      </w:r>
      <w:r w:rsidRPr="0098660A">
        <w:rPr>
          <w:rStyle w:val="TableFigureFooterChar"/>
        </w:rPr>
        <w:t>.</w:t>
      </w:r>
    </w:p>
    <w:p w14:paraId="1567C14A" w14:textId="77777777" w:rsidR="002974BC" w:rsidRPr="0098660A" w:rsidRDefault="002974BC" w:rsidP="002974BC">
      <w:pPr>
        <w:rPr>
          <w:rFonts w:ascii="Arial Narrow" w:hAnsi="Arial Narrow"/>
          <w:i/>
          <w:sz w:val="18"/>
          <w:szCs w:val="18"/>
        </w:rPr>
      </w:pPr>
      <w:r w:rsidRPr="0098660A">
        <w:rPr>
          <w:rFonts w:ascii="Arial Narrow" w:hAnsi="Arial Narrow"/>
          <w:i/>
          <w:sz w:val="18"/>
          <w:szCs w:val="18"/>
        </w:rPr>
        <w:t xml:space="preserve">The redacted values correspond to the following ranges: </w:t>
      </w:r>
    </w:p>
    <w:p w14:paraId="67D74786" w14:textId="4A702632" w:rsidR="002974BC" w:rsidRPr="0098660A" w:rsidRDefault="002974BC" w:rsidP="00B83EF8">
      <w:pPr>
        <w:rPr>
          <w:rFonts w:ascii="Arial Narrow" w:hAnsi="Arial Narrow"/>
          <w:i/>
          <w:sz w:val="18"/>
          <w:szCs w:val="18"/>
        </w:rPr>
      </w:pPr>
      <w:r w:rsidRPr="0098660A">
        <w:rPr>
          <w:rFonts w:ascii="Arial Narrow" w:hAnsi="Arial Narrow"/>
          <w:i/>
          <w:sz w:val="18"/>
          <w:szCs w:val="18"/>
          <w:vertAlign w:val="superscript"/>
        </w:rPr>
        <w:t>1</w:t>
      </w:r>
      <w:r w:rsidRPr="0098660A">
        <w:rPr>
          <w:rFonts w:ascii="Arial Narrow" w:hAnsi="Arial Narrow"/>
          <w:i/>
          <w:sz w:val="18"/>
          <w:szCs w:val="18"/>
        </w:rPr>
        <w:t xml:space="preserve"> </w:t>
      </w:r>
      <w:r w:rsidR="00BE268D" w:rsidRPr="0098660A">
        <w:rPr>
          <w:rFonts w:ascii="Arial Narrow" w:hAnsi="Arial Narrow"/>
          <w:i/>
          <w:sz w:val="18"/>
          <w:szCs w:val="18"/>
        </w:rPr>
        <w:t>500 to &lt; 5,000</w:t>
      </w:r>
      <w:r w:rsidR="005554D5" w:rsidRPr="0098660A">
        <w:rPr>
          <w:rFonts w:ascii="Arial Narrow" w:hAnsi="Arial Narrow"/>
          <w:i/>
          <w:sz w:val="18"/>
          <w:szCs w:val="18"/>
        </w:rPr>
        <w:t xml:space="preserve">; </w:t>
      </w:r>
      <w:r w:rsidRPr="0098660A">
        <w:rPr>
          <w:rFonts w:ascii="Arial Narrow" w:hAnsi="Arial Narrow"/>
          <w:i/>
          <w:sz w:val="18"/>
          <w:szCs w:val="18"/>
          <w:vertAlign w:val="superscript"/>
        </w:rPr>
        <w:t>2</w:t>
      </w:r>
      <w:r w:rsidRPr="0098660A">
        <w:rPr>
          <w:rFonts w:ascii="Arial Narrow" w:hAnsi="Arial Narrow"/>
          <w:i/>
          <w:sz w:val="18"/>
          <w:szCs w:val="18"/>
        </w:rPr>
        <w:t xml:space="preserve"> </w:t>
      </w:r>
      <w:r w:rsidR="00BE268D" w:rsidRPr="0098660A">
        <w:rPr>
          <w:rFonts w:ascii="Arial Narrow" w:hAnsi="Arial Narrow"/>
          <w:i/>
          <w:sz w:val="18"/>
          <w:szCs w:val="18"/>
        </w:rPr>
        <w:t>&lt; 500</w:t>
      </w:r>
      <w:r w:rsidR="005554D5" w:rsidRPr="0098660A">
        <w:rPr>
          <w:rFonts w:ascii="Arial Narrow" w:hAnsi="Arial Narrow"/>
          <w:i/>
          <w:sz w:val="18"/>
          <w:szCs w:val="18"/>
        </w:rPr>
        <w:t xml:space="preserve">; </w:t>
      </w:r>
      <w:r w:rsidRPr="0098660A">
        <w:rPr>
          <w:rFonts w:ascii="Arial Narrow" w:hAnsi="Arial Narrow"/>
          <w:i/>
          <w:sz w:val="18"/>
          <w:szCs w:val="18"/>
          <w:vertAlign w:val="superscript"/>
        </w:rPr>
        <w:t>3</w:t>
      </w:r>
      <w:r w:rsidRPr="0098660A">
        <w:rPr>
          <w:rFonts w:ascii="Arial Narrow" w:hAnsi="Arial Narrow"/>
          <w:i/>
          <w:sz w:val="18"/>
          <w:szCs w:val="18"/>
        </w:rPr>
        <w:t xml:space="preserve"> </w:t>
      </w:r>
      <w:r w:rsidR="000B6FFC" w:rsidRPr="0098660A">
        <w:rPr>
          <w:rFonts w:ascii="Arial Narrow" w:hAnsi="Arial Narrow"/>
          <w:i/>
          <w:sz w:val="18"/>
          <w:szCs w:val="18"/>
        </w:rPr>
        <w:t>$0 to &lt; $10 million</w:t>
      </w:r>
      <w:r w:rsidR="005554D5" w:rsidRPr="0098660A">
        <w:rPr>
          <w:rFonts w:ascii="Arial Narrow" w:hAnsi="Arial Narrow"/>
          <w:i/>
          <w:sz w:val="18"/>
          <w:szCs w:val="18"/>
        </w:rPr>
        <w:t xml:space="preserve">; </w:t>
      </w:r>
      <w:r w:rsidRPr="0098660A">
        <w:rPr>
          <w:rFonts w:ascii="Arial Narrow" w:hAnsi="Arial Narrow"/>
          <w:i/>
          <w:sz w:val="18"/>
          <w:szCs w:val="18"/>
          <w:vertAlign w:val="superscript"/>
        </w:rPr>
        <w:t>4</w:t>
      </w:r>
      <w:r w:rsidRPr="0098660A">
        <w:rPr>
          <w:rFonts w:ascii="Arial Narrow" w:hAnsi="Arial Narrow"/>
          <w:i/>
          <w:sz w:val="18"/>
          <w:szCs w:val="18"/>
        </w:rPr>
        <w:t xml:space="preserve"> </w:t>
      </w:r>
      <w:r w:rsidR="00B34BF9" w:rsidRPr="0098660A">
        <w:rPr>
          <w:rFonts w:ascii="Arial Narrow" w:hAnsi="Arial Narrow"/>
          <w:i/>
          <w:sz w:val="18"/>
          <w:szCs w:val="18"/>
        </w:rPr>
        <w:t>$10 million to &lt; $20 million</w:t>
      </w:r>
      <w:r w:rsidR="00B83EF8" w:rsidRPr="0098660A">
        <w:rPr>
          <w:rFonts w:ascii="Arial Narrow" w:hAnsi="Arial Narrow"/>
          <w:i/>
          <w:sz w:val="18"/>
          <w:szCs w:val="18"/>
        </w:rPr>
        <w:t xml:space="preserve">; </w:t>
      </w:r>
      <w:r w:rsidRPr="0098660A">
        <w:rPr>
          <w:rFonts w:ascii="Arial Narrow" w:hAnsi="Arial Narrow"/>
          <w:i/>
          <w:sz w:val="18"/>
          <w:szCs w:val="18"/>
          <w:vertAlign w:val="superscript"/>
        </w:rPr>
        <w:t>5</w:t>
      </w:r>
      <w:r w:rsidRPr="0098660A">
        <w:rPr>
          <w:rFonts w:ascii="Arial Narrow" w:hAnsi="Arial Narrow"/>
          <w:i/>
          <w:sz w:val="18"/>
          <w:szCs w:val="18"/>
        </w:rPr>
        <w:t xml:space="preserve"> </w:t>
      </w:r>
      <w:r w:rsidR="00B34BF9" w:rsidRPr="0098660A">
        <w:rPr>
          <w:rFonts w:ascii="Arial Narrow" w:hAnsi="Arial Narrow"/>
          <w:i/>
          <w:sz w:val="18"/>
          <w:szCs w:val="18"/>
        </w:rPr>
        <w:t>net cost saving</w:t>
      </w:r>
    </w:p>
    <w:bookmarkEnd w:id="89"/>
    <w:p w14:paraId="4C1146E4" w14:textId="1C9DA7E8" w:rsidR="00E54685" w:rsidRPr="0098660A" w:rsidRDefault="00E54685" w:rsidP="00E54685">
      <w:pPr>
        <w:pStyle w:val="3-BodyText"/>
        <w:rPr>
          <w:iCs/>
        </w:rPr>
      </w:pPr>
      <w:r w:rsidRPr="0098660A">
        <w:lastRenderedPageBreak/>
        <w:t xml:space="preserve">The submission estimated a cost saving to the PBS in Year 6 and a total </w:t>
      </w:r>
      <w:r w:rsidR="00B83EF8" w:rsidRPr="0098660A">
        <w:t xml:space="preserve">net </w:t>
      </w:r>
      <w:r w:rsidRPr="0098660A">
        <w:t>cost saving over the first six years of listing. This cost saving is driven by the proposed AEMP of pegcetacoplan being lower than the cost-minimised price (see paragraph</w:t>
      </w:r>
      <w:r w:rsidR="00BE2FD9" w:rsidRPr="0098660A">
        <w:t xml:space="preserve"> </w:t>
      </w:r>
      <w:r w:rsidR="006A4AC0" w:rsidRPr="0098660A">
        <w:fldChar w:fldCharType="begin"/>
      </w:r>
      <w:r w:rsidR="006A4AC0" w:rsidRPr="0098660A">
        <w:instrText xml:space="preserve"> REF _Ref196209452 \r \h </w:instrText>
      </w:r>
      <w:r w:rsidR="006A4AC0" w:rsidRPr="0098660A">
        <w:fldChar w:fldCharType="separate"/>
      </w:r>
      <w:r w:rsidR="00134128">
        <w:t>6.50</w:t>
      </w:r>
      <w:r w:rsidR="006A4AC0" w:rsidRPr="0098660A">
        <w:fldChar w:fldCharType="end"/>
      </w:r>
      <w:r w:rsidRPr="0098660A">
        <w:t>).</w:t>
      </w:r>
      <w:r w:rsidR="00FB31AC" w:rsidRPr="0098660A">
        <w:t xml:space="preserve"> </w:t>
      </w:r>
    </w:p>
    <w:p w14:paraId="4DD97EF4" w14:textId="7E30669C" w:rsidR="00E54685" w:rsidRPr="0098660A" w:rsidRDefault="00E54685" w:rsidP="00E54685">
      <w:pPr>
        <w:pStyle w:val="3-BodyText"/>
      </w:pPr>
      <w:bookmarkStart w:id="90" w:name="_Ref188954142"/>
      <w:r w:rsidRPr="0098660A">
        <w:t xml:space="preserve">To calculate the script replacement rate, the submission assumed that each script of ravulizumab and eculizumab was equivalent to one administration. Although different vial sizes (which are listed under different PBS items) are available for ravulizumab, for maintenance doses, only patients who have a body weight of </w:t>
      </w:r>
      <w:r w:rsidRPr="0098660A">
        <w:rPr>
          <w:rFonts w:cstheme="minorHAnsi"/>
        </w:rPr>
        <w:t>≥</w:t>
      </w:r>
      <w:r w:rsidRPr="0098660A">
        <w:t xml:space="preserve">100 kg would require two vial sizes per administration (and hence two scripts) as per the ravulizumab PSD (Table 16, ravulizumab PSD, July 2021 PBAC </w:t>
      </w:r>
      <w:r w:rsidR="00605BDC" w:rsidRPr="0098660A">
        <w:t>m</w:t>
      </w:r>
      <w:r w:rsidRPr="0098660A">
        <w:t>eeting). A normal distribution using the mean weight and standard deviation of ravulizumab patients enrolled in the ALXN1210-PNH-301 study (the key ravulizumab trial), indicates that this represents only 2% of patients.</w:t>
      </w:r>
      <w:r w:rsidRPr="0098660A">
        <w:fldChar w:fldCharType="begin"/>
      </w:r>
      <w:r w:rsidRPr="0098660A">
        <w:instrText xml:space="preserve"> NOTEREF _Ref189058342 \f \h  \* MERGEFORMAT </w:instrText>
      </w:r>
      <w:r w:rsidRPr="0098660A">
        <w:fldChar w:fldCharType="separate"/>
      </w:r>
      <w:r w:rsidR="00134128" w:rsidRPr="00134128">
        <w:rPr>
          <w:rStyle w:val="FootnoteReference"/>
        </w:rPr>
        <w:t>18</w:t>
      </w:r>
      <w:r w:rsidRPr="0098660A">
        <w:fldChar w:fldCharType="end"/>
      </w:r>
      <w:r w:rsidRPr="0098660A">
        <w:t xml:space="preserve"> Hence , the submission’s assumption appears reasonable.</w:t>
      </w:r>
    </w:p>
    <w:bookmarkEnd w:id="90"/>
    <w:p w14:paraId="2BE84696" w14:textId="59463FA4" w:rsidR="00E54685" w:rsidRPr="0098660A" w:rsidRDefault="00E54685" w:rsidP="00E54685">
      <w:pPr>
        <w:pStyle w:val="3-BodyText"/>
      </w:pPr>
      <w:r w:rsidRPr="0098660A">
        <w:t xml:space="preserve">The submission estimated cost reductions to the PBS associated with the replaced ravulizumab and eculizumab scripts. While the cost of initiating ravulizumab and eculizumab scripts were not estimated, this did not have a substantial impact on the net financial estimates. </w:t>
      </w:r>
    </w:p>
    <w:p w14:paraId="08E8AA35" w14:textId="2F293DFB" w:rsidR="00E54685" w:rsidRPr="0098660A" w:rsidRDefault="00E54685" w:rsidP="00E54685">
      <w:pPr>
        <w:pStyle w:val="3-BodyText"/>
        <w:rPr>
          <w:color w:val="0066FF"/>
        </w:rPr>
      </w:pPr>
      <w:r w:rsidRPr="0098660A">
        <w:t xml:space="preserve">The submission also estimated cost reductions to the MBS based on pegcetacoplan being self-administered and ravulizumab and eculizumab requiring infusion services. The submission estimated that infusions would be required for each ravulizumab and eculizumab script and each administration was assumed to incur the cost of MBS item 14245 (full cost $111.60, applied with </w:t>
      </w:r>
      <w:proofErr w:type="gramStart"/>
      <w:r w:rsidRPr="0098660A">
        <w:t>a</w:t>
      </w:r>
      <w:proofErr w:type="gramEnd"/>
      <w:r w:rsidRPr="0098660A">
        <w:t xml:space="preserve"> 80% MBS rebate). However, the submission had erroneously double counted the number of replaced ravulizumab and eculizumab scripts. Nonetheless, the PBAC did not previously accept that administration costs would be offset in the previous pegcetacoplan submission for use in the second line (para 7.1</w:t>
      </w:r>
      <w:r w:rsidR="00E03225" w:rsidRPr="0098660A">
        <w:t>2</w:t>
      </w:r>
      <w:r w:rsidRPr="0098660A">
        <w:t xml:space="preserve">, pegcetacoplan PSD, March 2022 PBAC </w:t>
      </w:r>
      <w:r w:rsidR="00605BDC" w:rsidRPr="0098660A">
        <w:t>m</w:t>
      </w:r>
      <w:r w:rsidRPr="0098660A">
        <w:t xml:space="preserve">eeting). In line with the pegcetacoplan financial estimates that were accepted by the PBAC, MBS cost offsets associated with reduced administration costs have been removed from the evaluation’s revised estimates (Table 1, pegcetacoplan PSD, July 2022 PBAC </w:t>
      </w:r>
      <w:r w:rsidR="00605BDC" w:rsidRPr="0098660A">
        <w:t>m</w:t>
      </w:r>
      <w:r w:rsidRPr="0098660A">
        <w:t>eeting).</w:t>
      </w:r>
    </w:p>
    <w:p w14:paraId="60D67231" w14:textId="43B77E5E" w:rsidR="00E54685" w:rsidRPr="0098660A" w:rsidRDefault="00E54685" w:rsidP="00E54685">
      <w:pPr>
        <w:pStyle w:val="3-BodyText"/>
      </w:pPr>
      <w:bookmarkStart w:id="91" w:name="_Ref188535961"/>
      <w:r w:rsidRPr="0098660A">
        <w:t xml:space="preserve">The submission did not include costs associated with the NIP. This was not reasonable as additional vaccinations are required for pegcetacoplan over ravulizumab and eculizumab (see paragraph </w:t>
      </w:r>
      <w:r w:rsidR="00BE4C99" w:rsidRPr="0098660A">
        <w:fldChar w:fldCharType="begin"/>
      </w:r>
      <w:r w:rsidR="00BE4C99" w:rsidRPr="0098660A">
        <w:instrText xml:space="preserve"> REF _Ref196210274 \r \h </w:instrText>
      </w:r>
      <w:r w:rsidR="00BE4C99" w:rsidRPr="0098660A">
        <w:fldChar w:fldCharType="separate"/>
      </w:r>
      <w:r w:rsidR="00134128">
        <w:t>6.41</w:t>
      </w:r>
      <w:r w:rsidR="00BE4C99" w:rsidRPr="0098660A">
        <w:fldChar w:fldCharType="end"/>
      </w:r>
      <w:r w:rsidRPr="0098660A">
        <w:t xml:space="preserve">) and these vaccines </w:t>
      </w:r>
      <w:r w:rsidR="006104F9" w:rsidRPr="0098660A">
        <w:t>will be accessed from</w:t>
      </w:r>
      <w:r w:rsidRPr="0098660A">
        <w:t xml:space="preserve"> the NIP. The evaluation has included these costs based on the cost per vaccine and administration outlined in the CMA and the number of initiating patients based on the projected number of initial ravulizumab and eculizumab scripts.</w:t>
      </w:r>
      <w:bookmarkEnd w:id="91"/>
      <w:r w:rsidR="009674E7" w:rsidRPr="0098660A">
        <w:t xml:space="preserve"> </w:t>
      </w:r>
      <w:r w:rsidR="009674E7" w:rsidRPr="0098660A">
        <w:rPr>
          <w:iCs/>
        </w:rPr>
        <w:t>The PSCR noted c</w:t>
      </w:r>
      <w:r w:rsidR="009674E7" w:rsidRPr="0098660A">
        <w:rPr>
          <w:rFonts w:cstheme="minorHAnsi"/>
          <w:iCs/>
        </w:rPr>
        <w:t xml:space="preserve">osts to the NIP have not been considered in the cost and utilisation estimates of any previous PBAC submissions for PNH. The PSCR </w:t>
      </w:r>
      <w:r w:rsidR="009674E7" w:rsidRPr="0098660A">
        <w:rPr>
          <w:iCs/>
        </w:rPr>
        <w:t>considered the a</w:t>
      </w:r>
      <w:r w:rsidR="005D1B80" w:rsidRPr="0098660A">
        <w:rPr>
          <w:rFonts w:eastAsia="Times New Roman"/>
          <w:iCs/>
        </w:rPr>
        <w:t>dditional vaccinations will result in minimal additional costs</w:t>
      </w:r>
      <w:r w:rsidR="009674E7" w:rsidRPr="0098660A">
        <w:rPr>
          <w:iCs/>
        </w:rPr>
        <w:t xml:space="preserve"> and</w:t>
      </w:r>
      <w:r w:rsidR="005D1B80" w:rsidRPr="0098660A">
        <w:rPr>
          <w:rFonts w:eastAsia="Times New Roman"/>
          <w:iCs/>
        </w:rPr>
        <w:t xml:space="preserve"> maintains </w:t>
      </w:r>
      <w:r w:rsidR="009674E7" w:rsidRPr="0098660A">
        <w:rPr>
          <w:iCs/>
        </w:rPr>
        <w:t xml:space="preserve">they </w:t>
      </w:r>
      <w:r w:rsidR="005D1B80" w:rsidRPr="0098660A">
        <w:rPr>
          <w:rFonts w:eastAsia="Times New Roman"/>
          <w:iCs/>
        </w:rPr>
        <w:t>should not be considered in</w:t>
      </w:r>
      <w:r w:rsidR="009674E7" w:rsidRPr="0098660A">
        <w:rPr>
          <w:iCs/>
        </w:rPr>
        <w:t xml:space="preserve"> the</w:t>
      </w:r>
      <w:r w:rsidR="005D1B80" w:rsidRPr="0098660A">
        <w:rPr>
          <w:rFonts w:eastAsia="Times New Roman"/>
          <w:iCs/>
        </w:rPr>
        <w:t xml:space="preserve"> financial estimates</w:t>
      </w:r>
      <w:r w:rsidR="009674E7" w:rsidRPr="0098660A">
        <w:rPr>
          <w:iCs/>
        </w:rPr>
        <w:t>.</w:t>
      </w:r>
    </w:p>
    <w:p w14:paraId="1DE7B1D2" w14:textId="4D880448" w:rsidR="00E54685" w:rsidRPr="0098660A" w:rsidRDefault="00E54685" w:rsidP="00E54685">
      <w:pPr>
        <w:pStyle w:val="3-BodyText"/>
      </w:pPr>
      <w:r w:rsidRPr="0098660A">
        <w:t>Sensitivity analyses were performed on the financial estimates (</w:t>
      </w:r>
      <w:r w:rsidRPr="0098660A">
        <w:fldChar w:fldCharType="begin"/>
      </w:r>
      <w:r w:rsidRPr="0098660A">
        <w:instrText xml:space="preserve"> REF _Ref188613686 \h  \* MERGEFORMAT </w:instrText>
      </w:r>
      <w:r w:rsidRPr="0098660A">
        <w:fldChar w:fldCharType="separate"/>
      </w:r>
      <w:r w:rsidR="00134128" w:rsidRPr="0098660A">
        <w:t xml:space="preserve">Table </w:t>
      </w:r>
      <w:r w:rsidR="00134128">
        <w:t>15</w:t>
      </w:r>
      <w:r w:rsidRPr="0098660A">
        <w:fldChar w:fldCharType="end"/>
      </w:r>
      <w:r w:rsidRPr="0098660A">
        <w:t xml:space="preserve">). The only variable which resulted in additional costs to the PBS was varying the proportion of </w:t>
      </w:r>
      <w:r w:rsidRPr="0098660A">
        <w:lastRenderedPageBreak/>
        <w:t>patients who require an infusions once every three days (as opposed to the standard PI dose of twice a week).</w:t>
      </w:r>
    </w:p>
    <w:p w14:paraId="5C9D8DF8" w14:textId="24A08C91" w:rsidR="00E54685" w:rsidRPr="0098660A" w:rsidRDefault="00E54685" w:rsidP="00E54685">
      <w:pPr>
        <w:pStyle w:val="Caption"/>
      </w:pPr>
      <w:bookmarkStart w:id="92" w:name="_Ref188613686"/>
      <w:r w:rsidRPr="0098660A">
        <w:t xml:space="preserve">Table </w:t>
      </w:r>
      <w:r w:rsidR="00ED489E" w:rsidRPr="0098660A">
        <w:fldChar w:fldCharType="begin"/>
      </w:r>
      <w:r w:rsidR="00ED489E" w:rsidRPr="0098660A">
        <w:instrText xml:space="preserve"> SEQ Table \* ARABIC </w:instrText>
      </w:r>
      <w:r w:rsidR="00ED489E" w:rsidRPr="0098660A">
        <w:fldChar w:fldCharType="separate"/>
      </w:r>
      <w:r w:rsidR="00134128">
        <w:rPr>
          <w:noProof/>
        </w:rPr>
        <w:t>15</w:t>
      </w:r>
      <w:r w:rsidR="00ED489E" w:rsidRPr="0098660A">
        <w:fldChar w:fldCharType="end"/>
      </w:r>
      <w:bookmarkEnd w:id="92"/>
      <w:r w:rsidRPr="0098660A">
        <w:t>: Results of the key sensitivity analyses performed on the financial impact to the PBS</w:t>
      </w:r>
    </w:p>
    <w:tbl>
      <w:tblPr>
        <w:tblStyle w:val="TableGrid"/>
        <w:tblW w:w="9067" w:type="dxa"/>
        <w:tblCellMar>
          <w:left w:w="57" w:type="dxa"/>
          <w:right w:w="57" w:type="dxa"/>
        </w:tblCellMar>
        <w:tblLook w:val="04A0" w:firstRow="1" w:lastRow="0" w:firstColumn="1" w:lastColumn="0" w:noHBand="0" w:noVBand="1"/>
      </w:tblPr>
      <w:tblGrid>
        <w:gridCol w:w="1975"/>
        <w:gridCol w:w="1013"/>
        <w:gridCol w:w="1013"/>
        <w:gridCol w:w="1013"/>
        <w:gridCol w:w="1013"/>
        <w:gridCol w:w="1013"/>
        <w:gridCol w:w="1013"/>
        <w:gridCol w:w="1014"/>
      </w:tblGrid>
      <w:tr w:rsidR="00E54685" w:rsidRPr="0098660A" w14:paraId="721DB6EB" w14:textId="77777777" w:rsidTr="006D0CBD">
        <w:trPr>
          <w:trHeight w:val="227"/>
        </w:trPr>
        <w:tc>
          <w:tcPr>
            <w:tcW w:w="1975" w:type="dxa"/>
            <w:vAlign w:val="center"/>
          </w:tcPr>
          <w:p w14:paraId="235C4447" w14:textId="77777777" w:rsidR="00E54685" w:rsidRPr="0098660A" w:rsidRDefault="00E54685" w:rsidP="006D0CBD">
            <w:pPr>
              <w:pStyle w:val="TableText0"/>
              <w:rPr>
                <w:b/>
                <w:bCs w:val="0"/>
              </w:rPr>
            </w:pPr>
            <w:bookmarkStart w:id="93" w:name="_Toc22897648"/>
            <w:r w:rsidRPr="0098660A">
              <w:rPr>
                <w:b/>
                <w:bCs w:val="0"/>
              </w:rPr>
              <w:t>Analyses</w:t>
            </w:r>
          </w:p>
        </w:tc>
        <w:tc>
          <w:tcPr>
            <w:tcW w:w="1013" w:type="dxa"/>
            <w:vAlign w:val="center"/>
          </w:tcPr>
          <w:p w14:paraId="25B421D3" w14:textId="77777777" w:rsidR="00E54685" w:rsidRPr="0098660A" w:rsidRDefault="00E54685" w:rsidP="006D0CBD">
            <w:pPr>
              <w:pStyle w:val="TableText0"/>
              <w:jc w:val="center"/>
              <w:rPr>
                <w:b/>
                <w:bCs w:val="0"/>
              </w:rPr>
            </w:pPr>
            <w:r w:rsidRPr="0098660A">
              <w:rPr>
                <w:b/>
                <w:bCs w:val="0"/>
              </w:rPr>
              <w:t>2025</w:t>
            </w:r>
          </w:p>
        </w:tc>
        <w:tc>
          <w:tcPr>
            <w:tcW w:w="1013" w:type="dxa"/>
            <w:vAlign w:val="center"/>
          </w:tcPr>
          <w:p w14:paraId="0A8260D1" w14:textId="77777777" w:rsidR="00E54685" w:rsidRPr="0098660A" w:rsidRDefault="00E54685" w:rsidP="006D0CBD">
            <w:pPr>
              <w:pStyle w:val="TableText0"/>
              <w:jc w:val="center"/>
              <w:rPr>
                <w:b/>
                <w:bCs w:val="0"/>
              </w:rPr>
            </w:pPr>
            <w:r w:rsidRPr="0098660A">
              <w:rPr>
                <w:b/>
                <w:bCs w:val="0"/>
              </w:rPr>
              <w:t>2026</w:t>
            </w:r>
          </w:p>
        </w:tc>
        <w:tc>
          <w:tcPr>
            <w:tcW w:w="1013" w:type="dxa"/>
            <w:vAlign w:val="center"/>
          </w:tcPr>
          <w:p w14:paraId="46C8D824" w14:textId="77777777" w:rsidR="00E54685" w:rsidRPr="0098660A" w:rsidRDefault="00E54685" w:rsidP="006D0CBD">
            <w:pPr>
              <w:pStyle w:val="TableText0"/>
              <w:jc w:val="center"/>
              <w:rPr>
                <w:b/>
                <w:bCs w:val="0"/>
              </w:rPr>
            </w:pPr>
            <w:r w:rsidRPr="0098660A">
              <w:rPr>
                <w:b/>
                <w:bCs w:val="0"/>
              </w:rPr>
              <w:t>2027</w:t>
            </w:r>
          </w:p>
        </w:tc>
        <w:tc>
          <w:tcPr>
            <w:tcW w:w="1013" w:type="dxa"/>
            <w:vAlign w:val="center"/>
          </w:tcPr>
          <w:p w14:paraId="2218A8FC" w14:textId="77777777" w:rsidR="00E54685" w:rsidRPr="0098660A" w:rsidRDefault="00E54685" w:rsidP="006D0CBD">
            <w:pPr>
              <w:pStyle w:val="TableText0"/>
              <w:jc w:val="center"/>
              <w:rPr>
                <w:b/>
                <w:bCs w:val="0"/>
              </w:rPr>
            </w:pPr>
            <w:r w:rsidRPr="0098660A">
              <w:rPr>
                <w:b/>
                <w:bCs w:val="0"/>
              </w:rPr>
              <w:t>2028</w:t>
            </w:r>
          </w:p>
        </w:tc>
        <w:tc>
          <w:tcPr>
            <w:tcW w:w="1013" w:type="dxa"/>
            <w:vAlign w:val="center"/>
          </w:tcPr>
          <w:p w14:paraId="27177F19" w14:textId="77777777" w:rsidR="00E54685" w:rsidRPr="0098660A" w:rsidRDefault="00E54685" w:rsidP="006D0CBD">
            <w:pPr>
              <w:pStyle w:val="TableText0"/>
              <w:jc w:val="center"/>
              <w:rPr>
                <w:b/>
                <w:bCs w:val="0"/>
              </w:rPr>
            </w:pPr>
            <w:r w:rsidRPr="0098660A">
              <w:rPr>
                <w:b/>
                <w:bCs w:val="0"/>
              </w:rPr>
              <w:t>2029</w:t>
            </w:r>
          </w:p>
        </w:tc>
        <w:tc>
          <w:tcPr>
            <w:tcW w:w="1013" w:type="dxa"/>
            <w:vAlign w:val="center"/>
          </w:tcPr>
          <w:p w14:paraId="4B73BAB9" w14:textId="77777777" w:rsidR="00E54685" w:rsidRPr="0098660A" w:rsidRDefault="00E54685" w:rsidP="006D0CBD">
            <w:pPr>
              <w:pStyle w:val="TableText0"/>
              <w:jc w:val="center"/>
              <w:rPr>
                <w:b/>
                <w:bCs w:val="0"/>
              </w:rPr>
            </w:pPr>
            <w:r w:rsidRPr="0098660A">
              <w:rPr>
                <w:b/>
                <w:bCs w:val="0"/>
              </w:rPr>
              <w:t>2030</w:t>
            </w:r>
          </w:p>
        </w:tc>
        <w:tc>
          <w:tcPr>
            <w:tcW w:w="1014" w:type="dxa"/>
            <w:vAlign w:val="center"/>
          </w:tcPr>
          <w:p w14:paraId="31CF207A" w14:textId="2312A7C2" w:rsidR="00E54685" w:rsidRPr="0098660A" w:rsidRDefault="001C7741" w:rsidP="006D0CBD">
            <w:pPr>
              <w:pStyle w:val="TableText0"/>
              <w:jc w:val="center"/>
              <w:rPr>
                <w:b/>
                <w:bCs w:val="0"/>
              </w:rPr>
            </w:pPr>
            <w:r w:rsidRPr="0098660A">
              <w:rPr>
                <w:b/>
                <w:bCs w:val="0"/>
              </w:rPr>
              <w:t>Cost saving</w:t>
            </w:r>
          </w:p>
        </w:tc>
      </w:tr>
      <w:tr w:rsidR="00E54685" w:rsidRPr="0098660A" w14:paraId="6A22AE71" w14:textId="77777777" w:rsidTr="006D0CBD">
        <w:trPr>
          <w:trHeight w:val="227"/>
        </w:trPr>
        <w:tc>
          <w:tcPr>
            <w:tcW w:w="1975" w:type="dxa"/>
            <w:vAlign w:val="center"/>
          </w:tcPr>
          <w:p w14:paraId="78FF43F6" w14:textId="77777777" w:rsidR="00E54685" w:rsidRPr="0098660A" w:rsidRDefault="00E54685" w:rsidP="006D0CBD">
            <w:pPr>
              <w:pStyle w:val="TableText0"/>
            </w:pPr>
            <w:r w:rsidRPr="0098660A">
              <w:t>Base case</w:t>
            </w:r>
          </w:p>
        </w:tc>
        <w:tc>
          <w:tcPr>
            <w:tcW w:w="1013" w:type="dxa"/>
            <w:vAlign w:val="center"/>
          </w:tcPr>
          <w:p w14:paraId="73DF3877" w14:textId="106AD8C5" w:rsidR="00E54685" w:rsidRPr="0098660A" w:rsidRDefault="00E54685" w:rsidP="006D0CBD">
            <w:pPr>
              <w:pStyle w:val="TableText0"/>
              <w:jc w:val="center"/>
              <w:rPr>
                <w:i/>
                <w:iCs/>
                <w:vertAlign w:val="superscript"/>
              </w:rPr>
            </w:pPr>
            <w:r w:rsidRPr="0098660A">
              <w:t>-$</w:t>
            </w:r>
            <w:r w:rsidR="00910397" w:rsidRPr="00910397">
              <w:rPr>
                <w:color w:val="000000"/>
                <w:spacing w:val="53"/>
                <w:shd w:val="solid" w:color="000000" w:fill="000000"/>
                <w:fitText w:val="330" w:id="-663462640"/>
                <w14:textFill>
                  <w14:solidFill>
                    <w14:srgbClr w14:val="000000">
                      <w14:alpha w14:val="100000"/>
                    </w14:srgbClr>
                  </w14:solidFill>
                </w14:textFill>
              </w:rPr>
              <w:t>|||</w:t>
            </w:r>
            <w:r w:rsidR="00910397" w:rsidRPr="00910397">
              <w:rPr>
                <w:color w:val="000000"/>
                <w:spacing w:val="1"/>
                <w:shd w:val="solid" w:color="000000" w:fill="000000"/>
                <w:fitText w:val="330" w:id="-663462640"/>
                <w14:textFill>
                  <w14:solidFill>
                    <w14:srgbClr w14:val="000000">
                      <w14:alpha w14:val="100000"/>
                    </w14:srgbClr>
                  </w14:solidFill>
                </w14:textFill>
              </w:rPr>
              <w:t>|</w:t>
            </w:r>
            <w:r w:rsidR="00C34C65" w:rsidRPr="0098660A">
              <w:t xml:space="preserve"> </w:t>
            </w:r>
            <w:r w:rsidR="0083721E" w:rsidRPr="0098660A">
              <w:rPr>
                <w:vertAlign w:val="superscript"/>
              </w:rPr>
              <w:t>1</w:t>
            </w:r>
          </w:p>
        </w:tc>
        <w:tc>
          <w:tcPr>
            <w:tcW w:w="1013" w:type="dxa"/>
            <w:vAlign w:val="center"/>
          </w:tcPr>
          <w:p w14:paraId="5586100F" w14:textId="0D36526D"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56"/>
                <w14:textFill>
                  <w14:solidFill>
                    <w14:srgbClr w14:val="000000">
                      <w14:alpha w14:val="100000"/>
                    </w14:srgbClr>
                  </w14:solidFill>
                </w14:textFill>
              </w:rPr>
              <w:t>|||</w:t>
            </w:r>
            <w:r w:rsidR="00910397" w:rsidRPr="00910397">
              <w:rPr>
                <w:color w:val="000000"/>
                <w:spacing w:val="1"/>
                <w:shd w:val="solid" w:color="000000" w:fill="000000"/>
                <w:fitText w:val="330" w:id="-663462656"/>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1322FFC5" w14:textId="1B74C3D3"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55"/>
                <w14:textFill>
                  <w14:solidFill>
                    <w14:srgbClr w14:val="000000">
                      <w14:alpha w14:val="100000"/>
                    </w14:srgbClr>
                  </w14:solidFill>
                </w14:textFill>
              </w:rPr>
              <w:t>|||</w:t>
            </w:r>
            <w:r w:rsidR="00910397" w:rsidRPr="00910397">
              <w:rPr>
                <w:color w:val="000000"/>
                <w:spacing w:val="1"/>
                <w:shd w:val="solid" w:color="000000" w:fill="000000"/>
                <w:fitText w:val="330" w:id="-663462655"/>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40BAE6C2" w14:textId="6F9A37E5"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54"/>
                <w14:textFill>
                  <w14:solidFill>
                    <w14:srgbClr w14:val="000000">
                      <w14:alpha w14:val="100000"/>
                    </w14:srgbClr>
                  </w14:solidFill>
                </w14:textFill>
              </w:rPr>
              <w:t>|||</w:t>
            </w:r>
            <w:r w:rsidR="00910397" w:rsidRPr="00910397">
              <w:rPr>
                <w:color w:val="000000"/>
                <w:spacing w:val="1"/>
                <w:shd w:val="solid" w:color="000000" w:fill="000000"/>
                <w:fitText w:val="330" w:id="-663462654"/>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5D33712C" w14:textId="2F8A70A1"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53"/>
                <w14:textFill>
                  <w14:solidFill>
                    <w14:srgbClr w14:val="000000">
                      <w14:alpha w14:val="100000"/>
                    </w14:srgbClr>
                  </w14:solidFill>
                </w14:textFill>
              </w:rPr>
              <w:t>|||</w:t>
            </w:r>
            <w:r w:rsidR="00910397" w:rsidRPr="00910397">
              <w:rPr>
                <w:color w:val="000000"/>
                <w:spacing w:val="1"/>
                <w:shd w:val="solid" w:color="000000" w:fill="000000"/>
                <w:fitText w:val="330" w:id="-663462653"/>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198996E1" w14:textId="2C0CAF6C"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52"/>
                <w14:textFill>
                  <w14:solidFill>
                    <w14:srgbClr w14:val="000000">
                      <w14:alpha w14:val="100000"/>
                    </w14:srgbClr>
                  </w14:solidFill>
                </w14:textFill>
              </w:rPr>
              <w:t>|||</w:t>
            </w:r>
            <w:r w:rsidR="00910397" w:rsidRPr="00910397">
              <w:rPr>
                <w:color w:val="000000"/>
                <w:spacing w:val="1"/>
                <w:shd w:val="solid" w:color="000000" w:fill="000000"/>
                <w:fitText w:val="330" w:id="-663462652"/>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4" w:type="dxa"/>
            <w:vAlign w:val="center"/>
          </w:tcPr>
          <w:p w14:paraId="4E6DECCF" w14:textId="183AE7E5" w:rsidR="00E54685" w:rsidRPr="0098660A" w:rsidRDefault="001C7741" w:rsidP="006D0CBD">
            <w:pPr>
              <w:pStyle w:val="TableText0"/>
              <w:jc w:val="center"/>
            </w:pPr>
            <w:r w:rsidRPr="0098660A">
              <w:t>-</w:t>
            </w:r>
          </w:p>
        </w:tc>
      </w:tr>
      <w:tr w:rsidR="00E54685" w:rsidRPr="0098660A" w14:paraId="2729CB69" w14:textId="77777777" w:rsidTr="006D0CBD">
        <w:trPr>
          <w:trHeight w:val="227"/>
        </w:trPr>
        <w:tc>
          <w:tcPr>
            <w:tcW w:w="9067" w:type="dxa"/>
            <w:gridSpan w:val="8"/>
          </w:tcPr>
          <w:p w14:paraId="4F8B1ECF" w14:textId="77777777" w:rsidR="00E54685" w:rsidRPr="0098660A" w:rsidRDefault="00E54685" w:rsidP="006D0CBD">
            <w:pPr>
              <w:pStyle w:val="TableText0"/>
              <w:rPr>
                <w:vertAlign w:val="superscript"/>
              </w:rPr>
            </w:pPr>
            <w:r w:rsidRPr="0098660A">
              <w:t>Annual growth rate of ravulizumab and eculizumab scripts (base case: 2.5%)</w:t>
            </w:r>
            <w:r w:rsidRPr="0098660A">
              <w:rPr>
                <w:vertAlign w:val="superscript"/>
              </w:rPr>
              <w:t>a</w:t>
            </w:r>
          </w:p>
        </w:tc>
      </w:tr>
      <w:tr w:rsidR="00E54685" w:rsidRPr="0098660A" w14:paraId="7B6A5EF7" w14:textId="77777777" w:rsidTr="006D0CBD">
        <w:trPr>
          <w:trHeight w:val="227"/>
        </w:trPr>
        <w:tc>
          <w:tcPr>
            <w:tcW w:w="1975" w:type="dxa"/>
            <w:vAlign w:val="center"/>
          </w:tcPr>
          <w:p w14:paraId="096D3751" w14:textId="77777777" w:rsidR="00E54685" w:rsidRPr="0098660A" w:rsidRDefault="00E54685" w:rsidP="006D0CBD">
            <w:pPr>
              <w:pStyle w:val="TableText0"/>
              <w:rPr>
                <w:vertAlign w:val="superscript"/>
              </w:rPr>
            </w:pPr>
            <w:r w:rsidRPr="0098660A">
              <w:t>1.2%</w:t>
            </w:r>
            <w:r w:rsidRPr="0098660A">
              <w:rPr>
                <w:vertAlign w:val="superscript"/>
              </w:rPr>
              <w:t>b</w:t>
            </w:r>
          </w:p>
        </w:tc>
        <w:tc>
          <w:tcPr>
            <w:tcW w:w="1013" w:type="dxa"/>
            <w:vAlign w:val="center"/>
          </w:tcPr>
          <w:p w14:paraId="3DEFCC6F" w14:textId="71B0073B" w:rsidR="00E54685" w:rsidRPr="0098660A" w:rsidRDefault="00E54685" w:rsidP="006D0CBD">
            <w:pPr>
              <w:pStyle w:val="TableText0"/>
              <w:jc w:val="center"/>
            </w:pPr>
            <w:r w:rsidRPr="0098660A">
              <w:t>-$</w:t>
            </w:r>
            <w:r w:rsidR="00910397" w:rsidRPr="00910397">
              <w:rPr>
                <w:color w:val="000000"/>
                <w:spacing w:val="53"/>
                <w:shd w:val="solid" w:color="000000" w:fill="000000"/>
                <w:fitText w:val="330" w:id="-663462651"/>
                <w14:textFill>
                  <w14:solidFill>
                    <w14:srgbClr w14:val="000000">
                      <w14:alpha w14:val="100000"/>
                    </w14:srgbClr>
                  </w14:solidFill>
                </w14:textFill>
              </w:rPr>
              <w:t>|||</w:t>
            </w:r>
            <w:r w:rsidR="00910397" w:rsidRPr="00910397">
              <w:rPr>
                <w:color w:val="000000"/>
                <w:spacing w:val="1"/>
                <w:shd w:val="solid" w:color="000000" w:fill="000000"/>
                <w:fitText w:val="330" w:id="-663462651"/>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33828608" w14:textId="3B84177F" w:rsidR="00E54685" w:rsidRPr="0098660A" w:rsidRDefault="00E54685" w:rsidP="006D0CBD">
            <w:pPr>
              <w:pStyle w:val="TableText0"/>
              <w:jc w:val="center"/>
            </w:pPr>
            <w:r w:rsidRPr="0098660A">
              <w:t>-$</w:t>
            </w:r>
            <w:r w:rsidR="00910397" w:rsidRPr="00910397">
              <w:rPr>
                <w:color w:val="000000"/>
                <w:spacing w:val="53"/>
                <w:shd w:val="solid" w:color="000000" w:fill="000000"/>
                <w:fitText w:val="330" w:id="-663462650"/>
                <w14:textFill>
                  <w14:solidFill>
                    <w14:srgbClr w14:val="000000">
                      <w14:alpha w14:val="100000"/>
                    </w14:srgbClr>
                  </w14:solidFill>
                </w14:textFill>
              </w:rPr>
              <w:t>|||</w:t>
            </w:r>
            <w:r w:rsidR="00910397" w:rsidRPr="00910397">
              <w:rPr>
                <w:color w:val="000000"/>
                <w:spacing w:val="1"/>
                <w:shd w:val="solid" w:color="000000" w:fill="000000"/>
                <w:fitText w:val="330" w:id="-663462650"/>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315CB43A" w14:textId="59AC5199" w:rsidR="00E54685" w:rsidRPr="0098660A" w:rsidRDefault="00E54685" w:rsidP="006D0CBD">
            <w:pPr>
              <w:pStyle w:val="TableText0"/>
              <w:jc w:val="center"/>
            </w:pPr>
            <w:r w:rsidRPr="0098660A">
              <w:t>-$</w:t>
            </w:r>
            <w:r w:rsidR="00910397" w:rsidRPr="00910397">
              <w:rPr>
                <w:color w:val="000000"/>
                <w:spacing w:val="53"/>
                <w:shd w:val="solid" w:color="000000" w:fill="000000"/>
                <w:fitText w:val="330" w:id="-663462649"/>
                <w14:textFill>
                  <w14:solidFill>
                    <w14:srgbClr w14:val="000000">
                      <w14:alpha w14:val="100000"/>
                    </w14:srgbClr>
                  </w14:solidFill>
                </w14:textFill>
              </w:rPr>
              <w:t>|||</w:t>
            </w:r>
            <w:r w:rsidR="00910397" w:rsidRPr="00910397">
              <w:rPr>
                <w:color w:val="000000"/>
                <w:spacing w:val="1"/>
                <w:shd w:val="solid" w:color="000000" w:fill="000000"/>
                <w:fitText w:val="330" w:id="-663462649"/>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4C7AEE4F" w14:textId="77B4BC11" w:rsidR="00E54685" w:rsidRPr="0098660A" w:rsidRDefault="00E54685" w:rsidP="006D0CBD">
            <w:pPr>
              <w:pStyle w:val="TableText0"/>
              <w:jc w:val="center"/>
            </w:pPr>
            <w:r w:rsidRPr="0098660A">
              <w:t>-$</w:t>
            </w:r>
            <w:r w:rsidR="00910397" w:rsidRPr="00910397">
              <w:rPr>
                <w:color w:val="000000"/>
                <w:spacing w:val="53"/>
                <w:shd w:val="solid" w:color="000000" w:fill="000000"/>
                <w:fitText w:val="330" w:id="-663462648"/>
                <w14:textFill>
                  <w14:solidFill>
                    <w14:srgbClr w14:val="000000">
                      <w14:alpha w14:val="100000"/>
                    </w14:srgbClr>
                  </w14:solidFill>
                </w14:textFill>
              </w:rPr>
              <w:t>|||</w:t>
            </w:r>
            <w:r w:rsidR="00910397" w:rsidRPr="00910397">
              <w:rPr>
                <w:color w:val="000000"/>
                <w:spacing w:val="1"/>
                <w:shd w:val="solid" w:color="000000" w:fill="000000"/>
                <w:fitText w:val="330" w:id="-663462648"/>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2315335A" w14:textId="53364EA1" w:rsidR="00E54685" w:rsidRPr="0098660A" w:rsidRDefault="00E54685" w:rsidP="006D0CBD">
            <w:pPr>
              <w:pStyle w:val="TableText0"/>
              <w:jc w:val="center"/>
            </w:pPr>
            <w:r w:rsidRPr="0098660A">
              <w:t>-$</w:t>
            </w:r>
            <w:r w:rsidR="00910397" w:rsidRPr="00910397">
              <w:rPr>
                <w:color w:val="000000"/>
                <w:spacing w:val="53"/>
                <w:shd w:val="solid" w:color="000000" w:fill="000000"/>
                <w:fitText w:val="330" w:id="-663462647"/>
                <w14:textFill>
                  <w14:solidFill>
                    <w14:srgbClr w14:val="000000">
                      <w14:alpha w14:val="100000"/>
                    </w14:srgbClr>
                  </w14:solidFill>
                </w14:textFill>
              </w:rPr>
              <w:t>|||</w:t>
            </w:r>
            <w:r w:rsidR="00910397" w:rsidRPr="00910397">
              <w:rPr>
                <w:color w:val="000000"/>
                <w:spacing w:val="1"/>
                <w:shd w:val="solid" w:color="000000" w:fill="000000"/>
                <w:fitText w:val="330" w:id="-663462647"/>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7F5FD7B0" w14:textId="3F21AE13" w:rsidR="00E54685" w:rsidRPr="0098660A" w:rsidRDefault="00E54685" w:rsidP="006D0CBD">
            <w:pPr>
              <w:pStyle w:val="TableText0"/>
              <w:jc w:val="center"/>
            </w:pPr>
            <w:r w:rsidRPr="0098660A">
              <w:t>-$</w:t>
            </w:r>
            <w:r w:rsidR="00910397" w:rsidRPr="00910397">
              <w:rPr>
                <w:color w:val="000000"/>
                <w:spacing w:val="53"/>
                <w:shd w:val="solid" w:color="000000" w:fill="000000"/>
                <w:fitText w:val="330" w:id="-663462646"/>
                <w14:textFill>
                  <w14:solidFill>
                    <w14:srgbClr w14:val="000000">
                      <w14:alpha w14:val="100000"/>
                    </w14:srgbClr>
                  </w14:solidFill>
                </w14:textFill>
              </w:rPr>
              <w:t>|||</w:t>
            </w:r>
            <w:r w:rsidR="00910397" w:rsidRPr="00910397">
              <w:rPr>
                <w:color w:val="000000"/>
                <w:spacing w:val="1"/>
                <w:shd w:val="solid" w:color="000000" w:fill="000000"/>
                <w:fitText w:val="330" w:id="-663462646"/>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4" w:type="dxa"/>
            <w:vAlign w:val="center"/>
          </w:tcPr>
          <w:p w14:paraId="1AE26C88" w14:textId="238E601D" w:rsidR="00E54685" w:rsidRPr="0098660A" w:rsidRDefault="001C7741" w:rsidP="006D0CBD">
            <w:pPr>
              <w:pStyle w:val="TableText0"/>
              <w:jc w:val="center"/>
            </w:pPr>
            <w:r w:rsidRPr="0098660A">
              <w:t>Less cost savings</w:t>
            </w:r>
          </w:p>
        </w:tc>
      </w:tr>
      <w:tr w:rsidR="00E54685" w:rsidRPr="0098660A" w14:paraId="093AE370" w14:textId="77777777" w:rsidTr="006D0CBD">
        <w:trPr>
          <w:trHeight w:val="227"/>
        </w:trPr>
        <w:tc>
          <w:tcPr>
            <w:tcW w:w="1975" w:type="dxa"/>
            <w:vAlign w:val="center"/>
          </w:tcPr>
          <w:p w14:paraId="3ACA2776" w14:textId="77777777" w:rsidR="00E54685" w:rsidRPr="0098660A" w:rsidRDefault="00E54685" w:rsidP="006D0CBD">
            <w:pPr>
              <w:pStyle w:val="TableText0"/>
              <w:rPr>
                <w:vertAlign w:val="superscript"/>
              </w:rPr>
            </w:pPr>
            <w:r w:rsidRPr="0098660A">
              <w:t>1.7%</w:t>
            </w:r>
            <w:r w:rsidRPr="0098660A">
              <w:rPr>
                <w:vertAlign w:val="superscript"/>
              </w:rPr>
              <w:t>c</w:t>
            </w:r>
          </w:p>
        </w:tc>
        <w:tc>
          <w:tcPr>
            <w:tcW w:w="1013" w:type="dxa"/>
            <w:vAlign w:val="center"/>
          </w:tcPr>
          <w:p w14:paraId="7858ABE9" w14:textId="2DAE6027" w:rsidR="00E54685" w:rsidRPr="0098660A" w:rsidRDefault="00E54685" w:rsidP="006D0CBD">
            <w:pPr>
              <w:pStyle w:val="TableText0"/>
              <w:jc w:val="center"/>
            </w:pPr>
            <w:r w:rsidRPr="0098660A">
              <w:t>-$</w:t>
            </w:r>
            <w:r w:rsidR="00910397" w:rsidRPr="00910397">
              <w:rPr>
                <w:color w:val="000000"/>
                <w:spacing w:val="53"/>
                <w:shd w:val="solid" w:color="000000" w:fill="000000"/>
                <w:fitText w:val="330" w:id="-663462645"/>
                <w14:textFill>
                  <w14:solidFill>
                    <w14:srgbClr w14:val="000000">
                      <w14:alpha w14:val="100000"/>
                    </w14:srgbClr>
                  </w14:solidFill>
                </w14:textFill>
              </w:rPr>
              <w:t>|||</w:t>
            </w:r>
            <w:r w:rsidR="00910397" w:rsidRPr="00910397">
              <w:rPr>
                <w:color w:val="000000"/>
                <w:spacing w:val="1"/>
                <w:shd w:val="solid" w:color="000000" w:fill="000000"/>
                <w:fitText w:val="330" w:id="-663462645"/>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7CC805DF" w14:textId="0DB4F63C" w:rsidR="00E54685" w:rsidRPr="0098660A" w:rsidRDefault="00E54685" w:rsidP="006D0CBD">
            <w:pPr>
              <w:pStyle w:val="TableText0"/>
              <w:jc w:val="center"/>
            </w:pPr>
            <w:r w:rsidRPr="0098660A">
              <w:t>-$</w:t>
            </w:r>
            <w:r w:rsidR="00910397" w:rsidRPr="00910397">
              <w:rPr>
                <w:color w:val="000000"/>
                <w:spacing w:val="53"/>
                <w:shd w:val="solid" w:color="000000" w:fill="000000"/>
                <w:fitText w:val="330" w:id="-663462644"/>
                <w14:textFill>
                  <w14:solidFill>
                    <w14:srgbClr w14:val="000000">
                      <w14:alpha w14:val="100000"/>
                    </w14:srgbClr>
                  </w14:solidFill>
                </w14:textFill>
              </w:rPr>
              <w:t>|||</w:t>
            </w:r>
            <w:r w:rsidR="00910397" w:rsidRPr="00910397">
              <w:rPr>
                <w:color w:val="000000"/>
                <w:spacing w:val="1"/>
                <w:shd w:val="solid" w:color="000000" w:fill="000000"/>
                <w:fitText w:val="330" w:id="-663462644"/>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20964283" w14:textId="0A6270B2" w:rsidR="00E54685" w:rsidRPr="0098660A" w:rsidRDefault="00E54685" w:rsidP="006D0CBD">
            <w:pPr>
              <w:pStyle w:val="TableText0"/>
              <w:jc w:val="center"/>
            </w:pPr>
            <w:r w:rsidRPr="0098660A">
              <w:t>-$</w:t>
            </w:r>
            <w:r w:rsidR="00910397" w:rsidRPr="00910397">
              <w:rPr>
                <w:color w:val="000000"/>
                <w:spacing w:val="53"/>
                <w:shd w:val="solid" w:color="000000" w:fill="000000"/>
                <w:fitText w:val="330" w:id="-663462643"/>
                <w14:textFill>
                  <w14:solidFill>
                    <w14:srgbClr w14:val="000000">
                      <w14:alpha w14:val="100000"/>
                    </w14:srgbClr>
                  </w14:solidFill>
                </w14:textFill>
              </w:rPr>
              <w:t>|||</w:t>
            </w:r>
            <w:r w:rsidR="00910397" w:rsidRPr="00910397">
              <w:rPr>
                <w:color w:val="000000"/>
                <w:spacing w:val="1"/>
                <w:shd w:val="solid" w:color="000000" w:fill="000000"/>
                <w:fitText w:val="330" w:id="-663462643"/>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3F8250DD" w14:textId="1D17F6BE" w:rsidR="00E54685" w:rsidRPr="0098660A" w:rsidRDefault="00E54685" w:rsidP="006D0CBD">
            <w:pPr>
              <w:pStyle w:val="TableText0"/>
              <w:jc w:val="center"/>
            </w:pPr>
            <w:r w:rsidRPr="0098660A">
              <w:t>-$</w:t>
            </w:r>
            <w:r w:rsidR="00910397" w:rsidRPr="00910397">
              <w:rPr>
                <w:color w:val="000000"/>
                <w:spacing w:val="53"/>
                <w:shd w:val="solid" w:color="000000" w:fill="000000"/>
                <w:fitText w:val="330" w:id="-663462642"/>
                <w14:textFill>
                  <w14:solidFill>
                    <w14:srgbClr w14:val="000000">
                      <w14:alpha w14:val="100000"/>
                    </w14:srgbClr>
                  </w14:solidFill>
                </w14:textFill>
              </w:rPr>
              <w:t>|||</w:t>
            </w:r>
            <w:r w:rsidR="00910397" w:rsidRPr="00910397">
              <w:rPr>
                <w:color w:val="000000"/>
                <w:spacing w:val="1"/>
                <w:shd w:val="solid" w:color="000000" w:fill="000000"/>
                <w:fitText w:val="330" w:id="-663462642"/>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05650DBF" w14:textId="1B5F2D82" w:rsidR="00E54685" w:rsidRPr="0098660A" w:rsidRDefault="00E54685" w:rsidP="006D0CBD">
            <w:pPr>
              <w:pStyle w:val="TableText0"/>
              <w:jc w:val="center"/>
            </w:pPr>
            <w:r w:rsidRPr="0098660A">
              <w:t>-$</w:t>
            </w:r>
            <w:r w:rsidR="00910397" w:rsidRPr="00910397">
              <w:rPr>
                <w:color w:val="000000"/>
                <w:spacing w:val="53"/>
                <w:shd w:val="solid" w:color="000000" w:fill="000000"/>
                <w:fitText w:val="330" w:id="-663462641"/>
                <w14:textFill>
                  <w14:solidFill>
                    <w14:srgbClr w14:val="000000">
                      <w14:alpha w14:val="100000"/>
                    </w14:srgbClr>
                  </w14:solidFill>
                </w14:textFill>
              </w:rPr>
              <w:t>|||</w:t>
            </w:r>
            <w:r w:rsidR="00910397" w:rsidRPr="00910397">
              <w:rPr>
                <w:color w:val="000000"/>
                <w:spacing w:val="1"/>
                <w:shd w:val="solid" w:color="000000" w:fill="000000"/>
                <w:fitText w:val="330" w:id="-663462641"/>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10CD1B9A" w14:textId="063357DB" w:rsidR="00E54685" w:rsidRPr="0098660A" w:rsidRDefault="00E54685" w:rsidP="006D0CBD">
            <w:pPr>
              <w:pStyle w:val="TableText0"/>
              <w:jc w:val="center"/>
            </w:pPr>
            <w:r w:rsidRPr="0098660A">
              <w:t>-$</w:t>
            </w:r>
            <w:r w:rsidR="00910397" w:rsidRPr="00910397">
              <w:rPr>
                <w:color w:val="000000"/>
                <w:spacing w:val="53"/>
                <w:shd w:val="solid" w:color="000000" w:fill="000000"/>
                <w:fitText w:val="330" w:id="-663462640"/>
                <w14:textFill>
                  <w14:solidFill>
                    <w14:srgbClr w14:val="000000">
                      <w14:alpha w14:val="100000"/>
                    </w14:srgbClr>
                  </w14:solidFill>
                </w14:textFill>
              </w:rPr>
              <w:t>|||</w:t>
            </w:r>
            <w:r w:rsidR="00910397" w:rsidRPr="00910397">
              <w:rPr>
                <w:color w:val="000000"/>
                <w:spacing w:val="1"/>
                <w:shd w:val="solid" w:color="000000" w:fill="000000"/>
                <w:fitText w:val="330" w:id="-663462640"/>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4" w:type="dxa"/>
            <w:vAlign w:val="center"/>
          </w:tcPr>
          <w:p w14:paraId="27A893CD" w14:textId="523E135D" w:rsidR="00E54685" w:rsidRPr="0098660A" w:rsidRDefault="001C7741" w:rsidP="006D0CBD">
            <w:pPr>
              <w:pStyle w:val="TableText0"/>
              <w:jc w:val="center"/>
            </w:pPr>
            <w:r w:rsidRPr="0098660A">
              <w:t>Less cost savings</w:t>
            </w:r>
          </w:p>
        </w:tc>
      </w:tr>
      <w:tr w:rsidR="00E54685" w:rsidRPr="0098660A" w14:paraId="6991949C" w14:textId="77777777" w:rsidTr="006D0CBD">
        <w:trPr>
          <w:trHeight w:val="227"/>
        </w:trPr>
        <w:tc>
          <w:tcPr>
            <w:tcW w:w="9067" w:type="dxa"/>
            <w:gridSpan w:val="8"/>
          </w:tcPr>
          <w:p w14:paraId="3333E980" w14:textId="06E94FCE" w:rsidR="00E54685" w:rsidRPr="0098660A" w:rsidRDefault="00E54685" w:rsidP="006D0CBD">
            <w:pPr>
              <w:pStyle w:val="TableText0"/>
              <w:rPr>
                <w:vertAlign w:val="superscript"/>
              </w:rPr>
            </w:pPr>
            <w:r w:rsidRPr="0098660A">
              <w:t xml:space="preserve">Uptake rate of pegcetacoplan (base case: </w:t>
            </w:r>
            <w:r w:rsidR="00910397" w:rsidRPr="00910397">
              <w:rPr>
                <w:color w:val="000000"/>
                <w:spacing w:val="53"/>
                <w:shd w:val="solid" w:color="000000" w:fill="000000"/>
                <w:fitText w:val="330" w:id="-663462656"/>
                <w14:textFill>
                  <w14:solidFill>
                    <w14:srgbClr w14:val="000000">
                      <w14:alpha w14:val="100000"/>
                    </w14:srgbClr>
                  </w14:solidFill>
                </w14:textFill>
              </w:rPr>
              <w:t>|||</w:t>
            </w:r>
            <w:r w:rsidR="00910397" w:rsidRPr="00910397">
              <w:rPr>
                <w:color w:val="000000"/>
                <w:spacing w:val="1"/>
                <w:shd w:val="solid" w:color="000000" w:fill="000000"/>
                <w:fitText w:val="330" w:id="-663462656"/>
                <w14:textFill>
                  <w14:solidFill>
                    <w14:srgbClr w14:val="000000">
                      <w14:alpha w14:val="100000"/>
                    </w14:srgbClr>
                  </w14:solidFill>
                </w14:textFill>
              </w:rPr>
              <w:t>|</w:t>
            </w:r>
            <w:r w:rsidRPr="0098660A">
              <w:t xml:space="preserve">% in Year 1 increasing to </w:t>
            </w:r>
            <w:r w:rsidR="00910397" w:rsidRPr="00910397">
              <w:rPr>
                <w:color w:val="000000"/>
                <w:spacing w:val="53"/>
                <w:shd w:val="solid" w:color="000000" w:fill="000000"/>
                <w:fitText w:val="330" w:id="-663462655"/>
                <w14:textFill>
                  <w14:solidFill>
                    <w14:srgbClr w14:val="000000">
                      <w14:alpha w14:val="100000"/>
                    </w14:srgbClr>
                  </w14:solidFill>
                </w14:textFill>
              </w:rPr>
              <w:t>|||</w:t>
            </w:r>
            <w:r w:rsidR="00910397" w:rsidRPr="00910397">
              <w:rPr>
                <w:color w:val="000000"/>
                <w:spacing w:val="1"/>
                <w:shd w:val="solid" w:color="000000" w:fill="000000"/>
                <w:fitText w:val="330" w:id="-663462655"/>
                <w14:textFill>
                  <w14:solidFill>
                    <w14:srgbClr w14:val="000000">
                      <w14:alpha w14:val="100000"/>
                    </w14:srgbClr>
                  </w14:solidFill>
                </w14:textFill>
              </w:rPr>
              <w:t>|</w:t>
            </w:r>
            <w:r w:rsidRPr="0098660A">
              <w:t>% in Year 6)</w:t>
            </w:r>
            <w:r w:rsidRPr="0098660A">
              <w:rPr>
                <w:vertAlign w:val="superscript"/>
              </w:rPr>
              <w:t>d</w:t>
            </w:r>
          </w:p>
        </w:tc>
      </w:tr>
      <w:tr w:rsidR="00E54685" w:rsidRPr="0098660A" w14:paraId="52D30B45" w14:textId="77777777" w:rsidTr="006D0CBD">
        <w:trPr>
          <w:trHeight w:val="227"/>
        </w:trPr>
        <w:tc>
          <w:tcPr>
            <w:tcW w:w="1975" w:type="dxa"/>
            <w:vAlign w:val="center"/>
          </w:tcPr>
          <w:p w14:paraId="10FF1EF5" w14:textId="77777777" w:rsidR="00E54685" w:rsidRPr="0098660A" w:rsidRDefault="00E54685" w:rsidP="006D0CBD">
            <w:pPr>
              <w:pStyle w:val="TableText0"/>
              <w:rPr>
                <w:vertAlign w:val="superscript"/>
              </w:rPr>
            </w:pPr>
            <w:r w:rsidRPr="00A9618B">
              <w:t>2%</w:t>
            </w:r>
            <w:r w:rsidRPr="0098660A">
              <w:t xml:space="preserve"> </w:t>
            </w:r>
            <w:r w:rsidRPr="00A9618B">
              <w:t>- 15%</w:t>
            </w:r>
            <w:r w:rsidRPr="0098660A">
              <w:rPr>
                <w:vertAlign w:val="superscript"/>
              </w:rPr>
              <w:t>e</w:t>
            </w:r>
          </w:p>
        </w:tc>
        <w:tc>
          <w:tcPr>
            <w:tcW w:w="1013" w:type="dxa"/>
            <w:vAlign w:val="center"/>
          </w:tcPr>
          <w:p w14:paraId="26536144" w14:textId="0901F218"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54"/>
                <w14:textFill>
                  <w14:solidFill>
                    <w14:srgbClr w14:val="000000">
                      <w14:alpha w14:val="100000"/>
                    </w14:srgbClr>
                  </w14:solidFill>
                </w14:textFill>
              </w:rPr>
              <w:t>|||</w:t>
            </w:r>
            <w:r w:rsidR="00910397" w:rsidRPr="00910397">
              <w:rPr>
                <w:color w:val="000000"/>
                <w:spacing w:val="1"/>
                <w:shd w:val="solid" w:color="000000" w:fill="000000"/>
                <w:fitText w:val="330" w:id="-663462654"/>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67C73362" w14:textId="18E04E05"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53"/>
                <w14:textFill>
                  <w14:solidFill>
                    <w14:srgbClr w14:val="000000">
                      <w14:alpha w14:val="100000"/>
                    </w14:srgbClr>
                  </w14:solidFill>
                </w14:textFill>
              </w:rPr>
              <w:t>|||</w:t>
            </w:r>
            <w:r w:rsidR="00910397" w:rsidRPr="00910397">
              <w:rPr>
                <w:color w:val="000000"/>
                <w:spacing w:val="1"/>
                <w:shd w:val="solid" w:color="000000" w:fill="000000"/>
                <w:fitText w:val="330" w:id="-663462653"/>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600B33F4" w14:textId="03C90B6F"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52"/>
                <w14:textFill>
                  <w14:solidFill>
                    <w14:srgbClr w14:val="000000">
                      <w14:alpha w14:val="100000"/>
                    </w14:srgbClr>
                  </w14:solidFill>
                </w14:textFill>
              </w:rPr>
              <w:t>|||</w:t>
            </w:r>
            <w:r w:rsidR="00910397" w:rsidRPr="00910397">
              <w:rPr>
                <w:color w:val="000000"/>
                <w:spacing w:val="1"/>
                <w:shd w:val="solid" w:color="000000" w:fill="000000"/>
                <w:fitText w:val="330" w:id="-663462652"/>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28D5136D" w14:textId="3DE69A64"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51"/>
                <w14:textFill>
                  <w14:solidFill>
                    <w14:srgbClr w14:val="000000">
                      <w14:alpha w14:val="100000"/>
                    </w14:srgbClr>
                  </w14:solidFill>
                </w14:textFill>
              </w:rPr>
              <w:t>|||</w:t>
            </w:r>
            <w:r w:rsidR="00910397" w:rsidRPr="00910397">
              <w:rPr>
                <w:color w:val="000000"/>
                <w:spacing w:val="1"/>
                <w:shd w:val="solid" w:color="000000" w:fill="000000"/>
                <w:fitText w:val="330" w:id="-663462651"/>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1156F2C6" w14:textId="78A518A3"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50"/>
                <w14:textFill>
                  <w14:solidFill>
                    <w14:srgbClr w14:val="000000">
                      <w14:alpha w14:val="100000"/>
                    </w14:srgbClr>
                  </w14:solidFill>
                </w14:textFill>
              </w:rPr>
              <w:t>|||</w:t>
            </w:r>
            <w:r w:rsidR="00910397" w:rsidRPr="00910397">
              <w:rPr>
                <w:color w:val="000000"/>
                <w:spacing w:val="1"/>
                <w:shd w:val="solid" w:color="000000" w:fill="000000"/>
                <w:fitText w:val="330" w:id="-663462650"/>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4FAC55EB" w14:textId="7933E113"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49"/>
                <w14:textFill>
                  <w14:solidFill>
                    <w14:srgbClr w14:val="000000">
                      <w14:alpha w14:val="100000"/>
                    </w14:srgbClr>
                  </w14:solidFill>
                </w14:textFill>
              </w:rPr>
              <w:t>|||</w:t>
            </w:r>
            <w:r w:rsidR="00910397" w:rsidRPr="00910397">
              <w:rPr>
                <w:color w:val="000000"/>
                <w:spacing w:val="1"/>
                <w:shd w:val="solid" w:color="000000" w:fill="000000"/>
                <w:fitText w:val="330" w:id="-663462649"/>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4" w:type="dxa"/>
            <w:vAlign w:val="center"/>
          </w:tcPr>
          <w:p w14:paraId="2168F6DC" w14:textId="02C44CEE" w:rsidR="00E54685" w:rsidRPr="0098660A" w:rsidRDefault="001C7741" w:rsidP="006D0CBD">
            <w:pPr>
              <w:pStyle w:val="TableText0"/>
              <w:jc w:val="center"/>
            </w:pPr>
            <w:r w:rsidRPr="0098660A">
              <w:t>Less cost savings</w:t>
            </w:r>
          </w:p>
        </w:tc>
      </w:tr>
      <w:tr w:rsidR="00E54685" w:rsidRPr="0098660A" w14:paraId="5F7DB645" w14:textId="77777777" w:rsidTr="006D0CBD">
        <w:trPr>
          <w:trHeight w:val="227"/>
        </w:trPr>
        <w:tc>
          <w:tcPr>
            <w:tcW w:w="1975" w:type="dxa"/>
            <w:vAlign w:val="center"/>
          </w:tcPr>
          <w:p w14:paraId="05643C7F" w14:textId="77777777" w:rsidR="00E54685" w:rsidRPr="0098660A" w:rsidRDefault="00E54685" w:rsidP="006D0CBD">
            <w:pPr>
              <w:pStyle w:val="TableText0"/>
              <w:rPr>
                <w:vertAlign w:val="superscript"/>
              </w:rPr>
            </w:pPr>
            <w:r w:rsidRPr="0098660A">
              <w:t>10% - 50%</w:t>
            </w:r>
            <w:r w:rsidRPr="0098660A">
              <w:rPr>
                <w:vertAlign w:val="superscript"/>
              </w:rPr>
              <w:t>f</w:t>
            </w:r>
          </w:p>
        </w:tc>
        <w:tc>
          <w:tcPr>
            <w:tcW w:w="1013" w:type="dxa"/>
            <w:vAlign w:val="center"/>
          </w:tcPr>
          <w:p w14:paraId="71719339" w14:textId="0734E938"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48"/>
                <w14:textFill>
                  <w14:solidFill>
                    <w14:srgbClr w14:val="000000">
                      <w14:alpha w14:val="100000"/>
                    </w14:srgbClr>
                  </w14:solidFill>
                </w14:textFill>
              </w:rPr>
              <w:t>|||</w:t>
            </w:r>
            <w:r w:rsidR="00910397" w:rsidRPr="00910397">
              <w:rPr>
                <w:color w:val="000000"/>
                <w:spacing w:val="1"/>
                <w:shd w:val="solid" w:color="000000" w:fill="000000"/>
                <w:fitText w:val="330" w:id="-663462648"/>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2D29EFAA" w14:textId="7C7A2C4D"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47"/>
                <w14:textFill>
                  <w14:solidFill>
                    <w14:srgbClr w14:val="000000">
                      <w14:alpha w14:val="100000"/>
                    </w14:srgbClr>
                  </w14:solidFill>
                </w14:textFill>
              </w:rPr>
              <w:t>|||</w:t>
            </w:r>
            <w:r w:rsidR="00910397" w:rsidRPr="00910397">
              <w:rPr>
                <w:color w:val="000000"/>
                <w:spacing w:val="1"/>
                <w:shd w:val="solid" w:color="000000" w:fill="000000"/>
                <w:fitText w:val="330" w:id="-663462647"/>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3CDC0D46" w14:textId="0200EF1F"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46"/>
                <w14:textFill>
                  <w14:solidFill>
                    <w14:srgbClr w14:val="000000">
                      <w14:alpha w14:val="100000"/>
                    </w14:srgbClr>
                  </w14:solidFill>
                </w14:textFill>
              </w:rPr>
              <w:t>|||</w:t>
            </w:r>
            <w:r w:rsidR="00910397" w:rsidRPr="00910397">
              <w:rPr>
                <w:color w:val="000000"/>
                <w:spacing w:val="1"/>
                <w:shd w:val="solid" w:color="000000" w:fill="000000"/>
                <w:fitText w:val="330" w:id="-663462646"/>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60F5F8F7" w14:textId="494D8311"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45"/>
                <w14:textFill>
                  <w14:solidFill>
                    <w14:srgbClr w14:val="000000">
                      <w14:alpha w14:val="100000"/>
                    </w14:srgbClr>
                  </w14:solidFill>
                </w14:textFill>
              </w:rPr>
              <w:t>|||</w:t>
            </w:r>
            <w:r w:rsidR="00910397" w:rsidRPr="00910397">
              <w:rPr>
                <w:color w:val="000000"/>
                <w:spacing w:val="1"/>
                <w:shd w:val="solid" w:color="000000" w:fill="000000"/>
                <w:fitText w:val="330" w:id="-663462645"/>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575D00F5" w14:textId="256AB869"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44"/>
                <w14:textFill>
                  <w14:solidFill>
                    <w14:srgbClr w14:val="000000">
                      <w14:alpha w14:val="100000"/>
                    </w14:srgbClr>
                  </w14:solidFill>
                </w14:textFill>
              </w:rPr>
              <w:t>|||</w:t>
            </w:r>
            <w:r w:rsidR="00910397" w:rsidRPr="00910397">
              <w:rPr>
                <w:color w:val="000000"/>
                <w:spacing w:val="1"/>
                <w:shd w:val="solid" w:color="000000" w:fill="000000"/>
                <w:fitText w:val="330" w:id="-663462644"/>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25FAA00E" w14:textId="60D84C06"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43"/>
                <w14:textFill>
                  <w14:solidFill>
                    <w14:srgbClr w14:val="000000">
                      <w14:alpha w14:val="100000"/>
                    </w14:srgbClr>
                  </w14:solidFill>
                </w14:textFill>
              </w:rPr>
              <w:t>|||</w:t>
            </w:r>
            <w:r w:rsidR="00910397" w:rsidRPr="00910397">
              <w:rPr>
                <w:color w:val="000000"/>
                <w:spacing w:val="1"/>
                <w:shd w:val="solid" w:color="000000" w:fill="000000"/>
                <w:fitText w:val="330" w:id="-663462643"/>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4" w:type="dxa"/>
            <w:vAlign w:val="center"/>
          </w:tcPr>
          <w:p w14:paraId="1ADB05E4" w14:textId="268BD726" w:rsidR="00E54685" w:rsidRPr="0098660A" w:rsidRDefault="001C7741" w:rsidP="006D0CBD">
            <w:pPr>
              <w:pStyle w:val="TableText0"/>
              <w:jc w:val="center"/>
            </w:pPr>
            <w:r w:rsidRPr="0098660A">
              <w:t>More cost savings</w:t>
            </w:r>
          </w:p>
        </w:tc>
      </w:tr>
      <w:tr w:rsidR="00E54685" w:rsidRPr="0098660A" w14:paraId="7AB63EF2" w14:textId="77777777" w:rsidTr="006D0CBD">
        <w:trPr>
          <w:trHeight w:val="227"/>
        </w:trPr>
        <w:tc>
          <w:tcPr>
            <w:tcW w:w="9067" w:type="dxa"/>
            <w:gridSpan w:val="8"/>
          </w:tcPr>
          <w:p w14:paraId="74C668FA" w14:textId="77777777" w:rsidR="00E54685" w:rsidRPr="0098660A" w:rsidRDefault="00E54685" w:rsidP="006D0CBD">
            <w:pPr>
              <w:pStyle w:val="TableText0"/>
              <w:rPr>
                <w:vertAlign w:val="superscript"/>
              </w:rPr>
            </w:pPr>
            <w:r w:rsidRPr="0098660A">
              <w:t>Proportion of pegcetacoplan patients requiring an infusion once every three days (base case: 6.5%)</w:t>
            </w:r>
            <w:r w:rsidRPr="0098660A">
              <w:rPr>
                <w:vertAlign w:val="superscript"/>
              </w:rPr>
              <w:t>g</w:t>
            </w:r>
          </w:p>
        </w:tc>
      </w:tr>
      <w:tr w:rsidR="00E54685" w:rsidRPr="0098660A" w14:paraId="75494659" w14:textId="77777777" w:rsidTr="006D0CBD">
        <w:trPr>
          <w:trHeight w:val="227"/>
        </w:trPr>
        <w:tc>
          <w:tcPr>
            <w:tcW w:w="1975" w:type="dxa"/>
            <w:vAlign w:val="center"/>
          </w:tcPr>
          <w:p w14:paraId="3C99BB22" w14:textId="77777777" w:rsidR="00E54685" w:rsidRPr="0098660A" w:rsidRDefault="00E54685" w:rsidP="006D0CBD">
            <w:pPr>
              <w:pStyle w:val="TableText0"/>
              <w:rPr>
                <w:vertAlign w:val="superscript"/>
              </w:rPr>
            </w:pPr>
            <w:r w:rsidRPr="0098660A">
              <w:t>19.5%</w:t>
            </w:r>
            <w:r w:rsidRPr="0098660A">
              <w:rPr>
                <w:vertAlign w:val="superscript"/>
              </w:rPr>
              <w:t>h</w:t>
            </w:r>
          </w:p>
        </w:tc>
        <w:tc>
          <w:tcPr>
            <w:tcW w:w="1013" w:type="dxa"/>
            <w:vAlign w:val="center"/>
          </w:tcPr>
          <w:p w14:paraId="70ACCC82" w14:textId="186C79A0"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42"/>
                <w14:textFill>
                  <w14:solidFill>
                    <w14:srgbClr w14:val="000000">
                      <w14:alpha w14:val="100000"/>
                    </w14:srgbClr>
                  </w14:solidFill>
                </w14:textFill>
              </w:rPr>
              <w:t>|||</w:t>
            </w:r>
            <w:r w:rsidR="00910397" w:rsidRPr="00910397">
              <w:rPr>
                <w:color w:val="000000"/>
                <w:spacing w:val="1"/>
                <w:shd w:val="solid" w:color="000000" w:fill="000000"/>
                <w:fitText w:val="330" w:id="-663462642"/>
                <w14:textFill>
                  <w14:solidFill>
                    <w14:srgbClr w14:val="000000">
                      <w14:alpha w14:val="100000"/>
                    </w14:srgbClr>
                  </w14:solidFill>
                </w14:textFill>
              </w:rPr>
              <w:t>|</w:t>
            </w:r>
            <w:r w:rsidR="0083721E" w:rsidRPr="0098660A">
              <w:t xml:space="preserve"> </w:t>
            </w:r>
            <w:r w:rsidR="0083721E" w:rsidRPr="0098660A">
              <w:rPr>
                <w:vertAlign w:val="superscript"/>
              </w:rPr>
              <w:t>2</w:t>
            </w:r>
          </w:p>
        </w:tc>
        <w:tc>
          <w:tcPr>
            <w:tcW w:w="1013" w:type="dxa"/>
            <w:vAlign w:val="center"/>
          </w:tcPr>
          <w:p w14:paraId="302E8A2B" w14:textId="11A5672B"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41"/>
                <w14:textFill>
                  <w14:solidFill>
                    <w14:srgbClr w14:val="000000">
                      <w14:alpha w14:val="100000"/>
                    </w14:srgbClr>
                  </w14:solidFill>
                </w14:textFill>
              </w:rPr>
              <w:t>|||</w:t>
            </w:r>
            <w:r w:rsidR="00910397" w:rsidRPr="00910397">
              <w:rPr>
                <w:color w:val="000000"/>
                <w:spacing w:val="1"/>
                <w:shd w:val="solid" w:color="000000" w:fill="000000"/>
                <w:fitText w:val="330" w:id="-663462641"/>
                <w14:textFill>
                  <w14:solidFill>
                    <w14:srgbClr w14:val="000000">
                      <w14:alpha w14:val="100000"/>
                    </w14:srgbClr>
                  </w14:solidFill>
                </w14:textFill>
              </w:rPr>
              <w:t>|</w:t>
            </w:r>
            <w:r w:rsidR="0083721E" w:rsidRPr="0098660A">
              <w:t xml:space="preserve"> </w:t>
            </w:r>
            <w:r w:rsidR="0083721E" w:rsidRPr="0098660A">
              <w:rPr>
                <w:vertAlign w:val="superscript"/>
              </w:rPr>
              <w:t>2</w:t>
            </w:r>
          </w:p>
        </w:tc>
        <w:tc>
          <w:tcPr>
            <w:tcW w:w="1013" w:type="dxa"/>
            <w:vAlign w:val="center"/>
          </w:tcPr>
          <w:p w14:paraId="04775FAD" w14:textId="41882661"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40"/>
                <w14:textFill>
                  <w14:solidFill>
                    <w14:srgbClr w14:val="000000">
                      <w14:alpha w14:val="100000"/>
                    </w14:srgbClr>
                  </w14:solidFill>
                </w14:textFill>
              </w:rPr>
              <w:t>|||</w:t>
            </w:r>
            <w:r w:rsidR="00910397" w:rsidRPr="00910397">
              <w:rPr>
                <w:color w:val="000000"/>
                <w:spacing w:val="1"/>
                <w:shd w:val="solid" w:color="000000" w:fill="000000"/>
                <w:fitText w:val="330" w:id="-663462640"/>
                <w14:textFill>
                  <w14:solidFill>
                    <w14:srgbClr w14:val="000000">
                      <w14:alpha w14:val="100000"/>
                    </w14:srgbClr>
                  </w14:solidFill>
                </w14:textFill>
              </w:rPr>
              <w:t>|</w:t>
            </w:r>
            <w:r w:rsidR="0083721E" w:rsidRPr="0098660A">
              <w:t xml:space="preserve"> </w:t>
            </w:r>
            <w:r w:rsidR="0083721E" w:rsidRPr="0098660A">
              <w:rPr>
                <w:vertAlign w:val="superscript"/>
              </w:rPr>
              <w:t>2</w:t>
            </w:r>
          </w:p>
        </w:tc>
        <w:tc>
          <w:tcPr>
            <w:tcW w:w="1013" w:type="dxa"/>
            <w:vAlign w:val="center"/>
          </w:tcPr>
          <w:p w14:paraId="729E3155" w14:textId="13C3EC6B"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56"/>
                <w14:textFill>
                  <w14:solidFill>
                    <w14:srgbClr w14:val="000000">
                      <w14:alpha w14:val="100000"/>
                    </w14:srgbClr>
                  </w14:solidFill>
                </w14:textFill>
              </w:rPr>
              <w:t>|||</w:t>
            </w:r>
            <w:r w:rsidR="00910397" w:rsidRPr="00910397">
              <w:rPr>
                <w:color w:val="000000"/>
                <w:spacing w:val="1"/>
                <w:shd w:val="solid" w:color="000000" w:fill="000000"/>
                <w:fitText w:val="330" w:id="-663462656"/>
                <w14:textFill>
                  <w14:solidFill>
                    <w14:srgbClr w14:val="000000">
                      <w14:alpha w14:val="100000"/>
                    </w14:srgbClr>
                  </w14:solidFill>
                </w14:textFill>
              </w:rPr>
              <w:t>|</w:t>
            </w:r>
            <w:r w:rsidR="0083721E" w:rsidRPr="0098660A">
              <w:t xml:space="preserve"> </w:t>
            </w:r>
            <w:r w:rsidR="0083721E" w:rsidRPr="0098660A">
              <w:rPr>
                <w:vertAlign w:val="superscript"/>
              </w:rPr>
              <w:t>2</w:t>
            </w:r>
          </w:p>
        </w:tc>
        <w:tc>
          <w:tcPr>
            <w:tcW w:w="1013" w:type="dxa"/>
            <w:vAlign w:val="center"/>
          </w:tcPr>
          <w:p w14:paraId="39D780A4" w14:textId="4565BCE4"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55"/>
                <w14:textFill>
                  <w14:solidFill>
                    <w14:srgbClr w14:val="000000">
                      <w14:alpha w14:val="100000"/>
                    </w14:srgbClr>
                  </w14:solidFill>
                </w14:textFill>
              </w:rPr>
              <w:t>|||</w:t>
            </w:r>
            <w:r w:rsidR="00910397" w:rsidRPr="00910397">
              <w:rPr>
                <w:color w:val="000000"/>
                <w:spacing w:val="1"/>
                <w:shd w:val="solid" w:color="000000" w:fill="000000"/>
                <w:fitText w:val="330" w:id="-663462655"/>
                <w14:textFill>
                  <w14:solidFill>
                    <w14:srgbClr w14:val="000000">
                      <w14:alpha w14:val="100000"/>
                    </w14:srgbClr>
                  </w14:solidFill>
                </w14:textFill>
              </w:rPr>
              <w:t>|</w:t>
            </w:r>
            <w:r w:rsidR="0083721E" w:rsidRPr="0098660A">
              <w:t xml:space="preserve"> </w:t>
            </w:r>
            <w:r w:rsidR="0083721E" w:rsidRPr="0098660A">
              <w:rPr>
                <w:vertAlign w:val="superscript"/>
              </w:rPr>
              <w:t>2</w:t>
            </w:r>
          </w:p>
        </w:tc>
        <w:tc>
          <w:tcPr>
            <w:tcW w:w="1013" w:type="dxa"/>
            <w:vAlign w:val="center"/>
          </w:tcPr>
          <w:p w14:paraId="1B6EE9AC" w14:textId="59E315F2"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54"/>
                <w14:textFill>
                  <w14:solidFill>
                    <w14:srgbClr w14:val="000000">
                      <w14:alpha w14:val="100000"/>
                    </w14:srgbClr>
                  </w14:solidFill>
                </w14:textFill>
              </w:rPr>
              <w:t>|||</w:t>
            </w:r>
            <w:r w:rsidR="00910397" w:rsidRPr="00910397">
              <w:rPr>
                <w:color w:val="000000"/>
                <w:spacing w:val="1"/>
                <w:shd w:val="solid" w:color="000000" w:fill="000000"/>
                <w:fitText w:val="330" w:id="-663462654"/>
                <w14:textFill>
                  <w14:solidFill>
                    <w14:srgbClr w14:val="000000">
                      <w14:alpha w14:val="100000"/>
                    </w14:srgbClr>
                  </w14:solidFill>
                </w14:textFill>
              </w:rPr>
              <w:t>|</w:t>
            </w:r>
            <w:r w:rsidR="0083721E" w:rsidRPr="0098660A">
              <w:t xml:space="preserve"> </w:t>
            </w:r>
            <w:r w:rsidR="0083721E" w:rsidRPr="0098660A">
              <w:rPr>
                <w:vertAlign w:val="superscript"/>
              </w:rPr>
              <w:t>2</w:t>
            </w:r>
          </w:p>
        </w:tc>
        <w:tc>
          <w:tcPr>
            <w:tcW w:w="1014" w:type="dxa"/>
            <w:vAlign w:val="center"/>
          </w:tcPr>
          <w:p w14:paraId="09073A03" w14:textId="1B8DE657" w:rsidR="00E54685" w:rsidRPr="0098660A" w:rsidRDefault="001C7741" w:rsidP="006D0CBD">
            <w:pPr>
              <w:pStyle w:val="TableText0"/>
              <w:jc w:val="center"/>
            </w:pPr>
            <w:r w:rsidRPr="0098660A">
              <w:t>Cost incurring</w:t>
            </w:r>
          </w:p>
        </w:tc>
      </w:tr>
      <w:tr w:rsidR="00E54685" w:rsidRPr="0098660A" w14:paraId="6C8A5CCC" w14:textId="77777777" w:rsidTr="006D0CBD">
        <w:trPr>
          <w:trHeight w:val="227"/>
        </w:trPr>
        <w:tc>
          <w:tcPr>
            <w:tcW w:w="1975" w:type="dxa"/>
            <w:vAlign w:val="center"/>
          </w:tcPr>
          <w:p w14:paraId="171CCC8E" w14:textId="77777777" w:rsidR="00E54685" w:rsidRPr="0098660A" w:rsidRDefault="00E54685" w:rsidP="006D0CBD">
            <w:pPr>
              <w:pStyle w:val="TableText0"/>
              <w:rPr>
                <w:vertAlign w:val="superscript"/>
              </w:rPr>
            </w:pPr>
            <w:r w:rsidRPr="0098660A">
              <w:t>26.0%</w:t>
            </w:r>
            <w:r w:rsidRPr="0098660A">
              <w:rPr>
                <w:vertAlign w:val="superscript"/>
              </w:rPr>
              <w:t>i</w:t>
            </w:r>
          </w:p>
        </w:tc>
        <w:tc>
          <w:tcPr>
            <w:tcW w:w="1013" w:type="dxa"/>
            <w:vAlign w:val="center"/>
          </w:tcPr>
          <w:p w14:paraId="46E01FC1" w14:textId="39CAA76D"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53"/>
                <w14:textFill>
                  <w14:solidFill>
                    <w14:srgbClr w14:val="000000">
                      <w14:alpha w14:val="100000"/>
                    </w14:srgbClr>
                  </w14:solidFill>
                </w14:textFill>
              </w:rPr>
              <w:t>|||</w:t>
            </w:r>
            <w:r w:rsidR="00910397" w:rsidRPr="00910397">
              <w:rPr>
                <w:color w:val="000000"/>
                <w:spacing w:val="1"/>
                <w:shd w:val="solid" w:color="000000" w:fill="000000"/>
                <w:fitText w:val="330" w:id="-663462653"/>
                <w14:textFill>
                  <w14:solidFill>
                    <w14:srgbClr w14:val="000000">
                      <w14:alpha w14:val="100000"/>
                    </w14:srgbClr>
                  </w14:solidFill>
                </w14:textFill>
              </w:rPr>
              <w:t>|</w:t>
            </w:r>
            <w:r w:rsidR="0083721E" w:rsidRPr="0098660A">
              <w:t xml:space="preserve"> </w:t>
            </w:r>
            <w:r w:rsidR="0083721E" w:rsidRPr="0098660A">
              <w:rPr>
                <w:vertAlign w:val="superscript"/>
              </w:rPr>
              <w:t>2</w:t>
            </w:r>
          </w:p>
        </w:tc>
        <w:tc>
          <w:tcPr>
            <w:tcW w:w="1013" w:type="dxa"/>
            <w:vAlign w:val="center"/>
          </w:tcPr>
          <w:p w14:paraId="1F2F037C" w14:textId="6187980A"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52"/>
                <w14:textFill>
                  <w14:solidFill>
                    <w14:srgbClr w14:val="000000">
                      <w14:alpha w14:val="100000"/>
                    </w14:srgbClr>
                  </w14:solidFill>
                </w14:textFill>
              </w:rPr>
              <w:t>|||</w:t>
            </w:r>
            <w:r w:rsidR="00910397" w:rsidRPr="00910397">
              <w:rPr>
                <w:color w:val="000000"/>
                <w:spacing w:val="1"/>
                <w:shd w:val="solid" w:color="000000" w:fill="000000"/>
                <w:fitText w:val="330" w:id="-663462652"/>
                <w14:textFill>
                  <w14:solidFill>
                    <w14:srgbClr w14:val="000000">
                      <w14:alpha w14:val="100000"/>
                    </w14:srgbClr>
                  </w14:solidFill>
                </w14:textFill>
              </w:rPr>
              <w:t>|</w:t>
            </w:r>
            <w:r w:rsidR="0083721E" w:rsidRPr="0098660A">
              <w:t xml:space="preserve"> </w:t>
            </w:r>
            <w:r w:rsidR="0083721E" w:rsidRPr="0098660A">
              <w:rPr>
                <w:vertAlign w:val="superscript"/>
              </w:rPr>
              <w:t>2</w:t>
            </w:r>
          </w:p>
        </w:tc>
        <w:tc>
          <w:tcPr>
            <w:tcW w:w="1013" w:type="dxa"/>
            <w:vAlign w:val="center"/>
          </w:tcPr>
          <w:p w14:paraId="69A573C0" w14:textId="0D0C8657"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51"/>
                <w14:textFill>
                  <w14:solidFill>
                    <w14:srgbClr w14:val="000000">
                      <w14:alpha w14:val="100000"/>
                    </w14:srgbClr>
                  </w14:solidFill>
                </w14:textFill>
              </w:rPr>
              <w:t>|||</w:t>
            </w:r>
            <w:r w:rsidR="00910397" w:rsidRPr="00910397">
              <w:rPr>
                <w:color w:val="000000"/>
                <w:spacing w:val="1"/>
                <w:shd w:val="solid" w:color="000000" w:fill="000000"/>
                <w:fitText w:val="330" w:id="-663462651"/>
                <w14:textFill>
                  <w14:solidFill>
                    <w14:srgbClr w14:val="000000">
                      <w14:alpha w14:val="100000"/>
                    </w14:srgbClr>
                  </w14:solidFill>
                </w14:textFill>
              </w:rPr>
              <w:t>|</w:t>
            </w:r>
            <w:r w:rsidR="0083721E" w:rsidRPr="0098660A">
              <w:t xml:space="preserve"> </w:t>
            </w:r>
            <w:r w:rsidR="0083721E" w:rsidRPr="0098660A">
              <w:rPr>
                <w:vertAlign w:val="superscript"/>
              </w:rPr>
              <w:t>2</w:t>
            </w:r>
          </w:p>
        </w:tc>
        <w:tc>
          <w:tcPr>
            <w:tcW w:w="1013" w:type="dxa"/>
            <w:vAlign w:val="center"/>
          </w:tcPr>
          <w:p w14:paraId="0B568670" w14:textId="470EA68E"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50"/>
                <w14:textFill>
                  <w14:solidFill>
                    <w14:srgbClr w14:val="000000">
                      <w14:alpha w14:val="100000"/>
                    </w14:srgbClr>
                  </w14:solidFill>
                </w14:textFill>
              </w:rPr>
              <w:t>|||</w:t>
            </w:r>
            <w:r w:rsidR="00910397" w:rsidRPr="00910397">
              <w:rPr>
                <w:color w:val="000000"/>
                <w:spacing w:val="1"/>
                <w:shd w:val="solid" w:color="000000" w:fill="000000"/>
                <w:fitText w:val="330" w:id="-663462650"/>
                <w14:textFill>
                  <w14:solidFill>
                    <w14:srgbClr w14:val="000000">
                      <w14:alpha w14:val="100000"/>
                    </w14:srgbClr>
                  </w14:solidFill>
                </w14:textFill>
              </w:rPr>
              <w:t>|</w:t>
            </w:r>
            <w:r w:rsidR="0083721E" w:rsidRPr="0098660A">
              <w:t xml:space="preserve"> </w:t>
            </w:r>
            <w:r w:rsidR="0083721E" w:rsidRPr="0098660A">
              <w:rPr>
                <w:vertAlign w:val="superscript"/>
              </w:rPr>
              <w:t>2</w:t>
            </w:r>
          </w:p>
        </w:tc>
        <w:tc>
          <w:tcPr>
            <w:tcW w:w="1013" w:type="dxa"/>
            <w:vAlign w:val="center"/>
          </w:tcPr>
          <w:p w14:paraId="11702991" w14:textId="65D6D250"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49"/>
                <w14:textFill>
                  <w14:solidFill>
                    <w14:srgbClr w14:val="000000">
                      <w14:alpha w14:val="100000"/>
                    </w14:srgbClr>
                  </w14:solidFill>
                </w14:textFill>
              </w:rPr>
              <w:t>|||</w:t>
            </w:r>
            <w:r w:rsidR="00910397" w:rsidRPr="00910397">
              <w:rPr>
                <w:color w:val="000000"/>
                <w:spacing w:val="1"/>
                <w:shd w:val="solid" w:color="000000" w:fill="000000"/>
                <w:fitText w:val="330" w:id="-663462649"/>
                <w14:textFill>
                  <w14:solidFill>
                    <w14:srgbClr w14:val="000000">
                      <w14:alpha w14:val="100000"/>
                    </w14:srgbClr>
                  </w14:solidFill>
                </w14:textFill>
              </w:rPr>
              <w:t>|</w:t>
            </w:r>
            <w:r w:rsidR="0083721E" w:rsidRPr="0098660A">
              <w:t xml:space="preserve"> </w:t>
            </w:r>
            <w:r w:rsidR="0083721E" w:rsidRPr="0098660A">
              <w:rPr>
                <w:vertAlign w:val="superscript"/>
              </w:rPr>
              <w:t>2</w:t>
            </w:r>
          </w:p>
        </w:tc>
        <w:tc>
          <w:tcPr>
            <w:tcW w:w="1013" w:type="dxa"/>
            <w:vAlign w:val="center"/>
          </w:tcPr>
          <w:p w14:paraId="16F75FF8" w14:textId="07614A33"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48"/>
                <w14:textFill>
                  <w14:solidFill>
                    <w14:srgbClr w14:val="000000">
                      <w14:alpha w14:val="100000"/>
                    </w14:srgbClr>
                  </w14:solidFill>
                </w14:textFill>
              </w:rPr>
              <w:t>|||</w:t>
            </w:r>
            <w:r w:rsidR="00910397" w:rsidRPr="00910397">
              <w:rPr>
                <w:color w:val="000000"/>
                <w:spacing w:val="1"/>
                <w:shd w:val="solid" w:color="000000" w:fill="000000"/>
                <w:fitText w:val="330" w:id="-663462648"/>
                <w14:textFill>
                  <w14:solidFill>
                    <w14:srgbClr w14:val="000000">
                      <w14:alpha w14:val="100000"/>
                    </w14:srgbClr>
                  </w14:solidFill>
                </w14:textFill>
              </w:rPr>
              <w:t>|</w:t>
            </w:r>
            <w:r w:rsidR="0083721E" w:rsidRPr="0098660A">
              <w:t xml:space="preserve"> </w:t>
            </w:r>
            <w:r w:rsidR="0083721E" w:rsidRPr="0098660A">
              <w:rPr>
                <w:vertAlign w:val="superscript"/>
              </w:rPr>
              <w:t>2</w:t>
            </w:r>
          </w:p>
        </w:tc>
        <w:tc>
          <w:tcPr>
            <w:tcW w:w="1014" w:type="dxa"/>
            <w:vAlign w:val="center"/>
          </w:tcPr>
          <w:p w14:paraId="2B295ABA" w14:textId="17E0429C" w:rsidR="00E54685" w:rsidRPr="0098660A" w:rsidRDefault="001C7741" w:rsidP="006D0CBD">
            <w:pPr>
              <w:pStyle w:val="TableText0"/>
              <w:jc w:val="center"/>
            </w:pPr>
            <w:r w:rsidRPr="0098660A">
              <w:t>Cost incurring</w:t>
            </w:r>
          </w:p>
        </w:tc>
      </w:tr>
      <w:tr w:rsidR="00E54685" w:rsidRPr="0098660A" w14:paraId="7083BEB5" w14:textId="77777777" w:rsidTr="006D0CBD">
        <w:trPr>
          <w:trHeight w:val="227"/>
        </w:trPr>
        <w:tc>
          <w:tcPr>
            <w:tcW w:w="9067" w:type="dxa"/>
            <w:gridSpan w:val="8"/>
            <w:vAlign w:val="center"/>
          </w:tcPr>
          <w:p w14:paraId="1316E60A" w14:textId="77777777" w:rsidR="00E54685" w:rsidRPr="0098660A" w:rsidRDefault="00E54685" w:rsidP="006D0CBD">
            <w:pPr>
              <w:pStyle w:val="TableText0"/>
            </w:pPr>
            <w:r w:rsidRPr="0098660A">
              <w:t>Cost of ravulizumab and eculizumab initiating scripts (base case: same as continuing scripts)</w:t>
            </w:r>
          </w:p>
        </w:tc>
      </w:tr>
      <w:tr w:rsidR="00E54685" w:rsidRPr="0098660A" w14:paraId="50F60A0E" w14:textId="77777777" w:rsidTr="006D0CBD">
        <w:trPr>
          <w:trHeight w:val="227"/>
        </w:trPr>
        <w:tc>
          <w:tcPr>
            <w:tcW w:w="1975" w:type="dxa"/>
            <w:vAlign w:val="center"/>
          </w:tcPr>
          <w:p w14:paraId="093824FC" w14:textId="77777777" w:rsidR="00E54685" w:rsidRPr="0098660A" w:rsidRDefault="00E54685" w:rsidP="006D0CBD">
            <w:pPr>
              <w:pStyle w:val="TableText0"/>
              <w:rPr>
                <w:vertAlign w:val="superscript"/>
              </w:rPr>
            </w:pPr>
            <w:r w:rsidRPr="0098660A">
              <w:t xml:space="preserve">As per ravulizumab PSD and eculizumab </w:t>
            </w:r>
            <w:proofErr w:type="spellStart"/>
            <w:r w:rsidRPr="0098660A">
              <w:t>PI</w:t>
            </w:r>
            <w:r w:rsidRPr="0098660A">
              <w:rPr>
                <w:vertAlign w:val="superscript"/>
              </w:rPr>
              <w:t>j</w:t>
            </w:r>
            <w:proofErr w:type="spellEnd"/>
          </w:p>
        </w:tc>
        <w:tc>
          <w:tcPr>
            <w:tcW w:w="1013" w:type="dxa"/>
            <w:vAlign w:val="center"/>
          </w:tcPr>
          <w:p w14:paraId="49EF9B82" w14:textId="33B8BE17"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47"/>
                <w14:textFill>
                  <w14:solidFill>
                    <w14:srgbClr w14:val="000000">
                      <w14:alpha w14:val="100000"/>
                    </w14:srgbClr>
                  </w14:solidFill>
                </w14:textFill>
              </w:rPr>
              <w:t>|||</w:t>
            </w:r>
            <w:r w:rsidR="00910397" w:rsidRPr="00910397">
              <w:rPr>
                <w:color w:val="000000"/>
                <w:spacing w:val="1"/>
                <w:shd w:val="solid" w:color="000000" w:fill="000000"/>
                <w:fitText w:val="330" w:id="-663462647"/>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082D9A67" w14:textId="27B5545A"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46"/>
                <w14:textFill>
                  <w14:solidFill>
                    <w14:srgbClr w14:val="000000">
                      <w14:alpha w14:val="100000"/>
                    </w14:srgbClr>
                  </w14:solidFill>
                </w14:textFill>
              </w:rPr>
              <w:t>|||</w:t>
            </w:r>
            <w:r w:rsidR="00910397" w:rsidRPr="00910397">
              <w:rPr>
                <w:color w:val="000000"/>
                <w:spacing w:val="1"/>
                <w:shd w:val="solid" w:color="000000" w:fill="000000"/>
                <w:fitText w:val="330" w:id="-663462646"/>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58892288" w14:textId="798DCC5C"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45"/>
                <w14:textFill>
                  <w14:solidFill>
                    <w14:srgbClr w14:val="000000">
                      <w14:alpha w14:val="100000"/>
                    </w14:srgbClr>
                  </w14:solidFill>
                </w14:textFill>
              </w:rPr>
              <w:t>|||</w:t>
            </w:r>
            <w:r w:rsidR="00910397" w:rsidRPr="00910397">
              <w:rPr>
                <w:color w:val="000000"/>
                <w:spacing w:val="1"/>
                <w:shd w:val="solid" w:color="000000" w:fill="000000"/>
                <w:fitText w:val="330" w:id="-663462645"/>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1FFE8F54" w14:textId="0C9DC758"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44"/>
                <w14:textFill>
                  <w14:solidFill>
                    <w14:srgbClr w14:val="000000">
                      <w14:alpha w14:val="100000"/>
                    </w14:srgbClr>
                  </w14:solidFill>
                </w14:textFill>
              </w:rPr>
              <w:t>|||</w:t>
            </w:r>
            <w:r w:rsidR="00910397" w:rsidRPr="00910397">
              <w:rPr>
                <w:color w:val="000000"/>
                <w:spacing w:val="1"/>
                <w:shd w:val="solid" w:color="000000" w:fill="000000"/>
                <w:fitText w:val="330" w:id="-663462644"/>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03CD4DC8" w14:textId="406AE90E"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43"/>
                <w14:textFill>
                  <w14:solidFill>
                    <w14:srgbClr w14:val="000000">
                      <w14:alpha w14:val="100000"/>
                    </w14:srgbClr>
                  </w14:solidFill>
                </w14:textFill>
              </w:rPr>
              <w:t>|||</w:t>
            </w:r>
            <w:r w:rsidR="00910397" w:rsidRPr="00910397">
              <w:rPr>
                <w:color w:val="000000"/>
                <w:spacing w:val="1"/>
                <w:shd w:val="solid" w:color="000000" w:fill="000000"/>
                <w:fitText w:val="330" w:id="-663462643"/>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3" w:type="dxa"/>
            <w:vAlign w:val="center"/>
          </w:tcPr>
          <w:p w14:paraId="762D90F9" w14:textId="48F1DD1B" w:rsidR="00E54685" w:rsidRPr="0098660A" w:rsidRDefault="00E54685" w:rsidP="006D0CBD">
            <w:pPr>
              <w:pStyle w:val="TableText0"/>
              <w:jc w:val="center"/>
              <w:rPr>
                <w:i/>
                <w:iCs/>
              </w:rPr>
            </w:pPr>
            <w:r w:rsidRPr="0098660A">
              <w:t>-$</w:t>
            </w:r>
            <w:r w:rsidR="00910397" w:rsidRPr="00910397">
              <w:rPr>
                <w:color w:val="000000"/>
                <w:spacing w:val="53"/>
                <w:shd w:val="solid" w:color="000000" w:fill="000000"/>
                <w:fitText w:val="330" w:id="-663462642"/>
                <w14:textFill>
                  <w14:solidFill>
                    <w14:srgbClr w14:val="000000">
                      <w14:alpha w14:val="100000"/>
                    </w14:srgbClr>
                  </w14:solidFill>
                </w14:textFill>
              </w:rPr>
              <w:t>|||</w:t>
            </w:r>
            <w:r w:rsidR="00910397" w:rsidRPr="00910397">
              <w:rPr>
                <w:color w:val="000000"/>
                <w:spacing w:val="1"/>
                <w:shd w:val="solid" w:color="000000" w:fill="000000"/>
                <w:fitText w:val="330" w:id="-663462642"/>
                <w14:textFill>
                  <w14:solidFill>
                    <w14:srgbClr w14:val="000000">
                      <w14:alpha w14:val="100000"/>
                    </w14:srgbClr>
                  </w14:solidFill>
                </w14:textFill>
              </w:rPr>
              <w:t>|</w:t>
            </w:r>
            <w:r w:rsidR="0083721E" w:rsidRPr="0098660A">
              <w:t xml:space="preserve"> </w:t>
            </w:r>
            <w:r w:rsidR="0083721E" w:rsidRPr="0098660A">
              <w:rPr>
                <w:vertAlign w:val="superscript"/>
              </w:rPr>
              <w:t>1</w:t>
            </w:r>
          </w:p>
        </w:tc>
        <w:tc>
          <w:tcPr>
            <w:tcW w:w="1014" w:type="dxa"/>
            <w:vAlign w:val="center"/>
          </w:tcPr>
          <w:p w14:paraId="4D1F9DD0" w14:textId="76774573" w:rsidR="00E54685" w:rsidRPr="0098660A" w:rsidRDefault="001C7741" w:rsidP="006D0CBD">
            <w:pPr>
              <w:pStyle w:val="TableText0"/>
              <w:jc w:val="center"/>
            </w:pPr>
            <w:r w:rsidRPr="0098660A">
              <w:t>Less cost savings</w:t>
            </w:r>
          </w:p>
        </w:tc>
      </w:tr>
    </w:tbl>
    <w:p w14:paraId="09EC9E98" w14:textId="77777777" w:rsidR="00E54685" w:rsidRPr="0098660A" w:rsidRDefault="00E54685" w:rsidP="00E54685">
      <w:pPr>
        <w:pStyle w:val="TableFigureFooter"/>
        <w:keepNext/>
      </w:pPr>
      <w:r w:rsidRPr="0098660A">
        <w:t>Source: Constructed during the evaluation from the “Attachment 4.1 Pegcetacoplan 1L BIM” excel spreadsheet provided with the submission.</w:t>
      </w:r>
    </w:p>
    <w:p w14:paraId="558CE916" w14:textId="77777777" w:rsidR="00E54685" w:rsidRPr="0098660A" w:rsidRDefault="00E54685" w:rsidP="00E54685">
      <w:pPr>
        <w:pStyle w:val="TableFigureFooter"/>
        <w:keepNext/>
      </w:pPr>
      <w:r w:rsidRPr="0098660A">
        <w:t>ABS = Australian Bureau of Statistics; OLE = open label extension; PBS = Pharmaceutical Benefits Scheme; PI = product information; PSD = public summary document.</w:t>
      </w:r>
    </w:p>
    <w:p w14:paraId="19D6CFDB" w14:textId="77777777" w:rsidR="00E54685" w:rsidRPr="0098660A" w:rsidRDefault="00E54685" w:rsidP="00E54685">
      <w:pPr>
        <w:pStyle w:val="TableFigureFooter"/>
        <w:keepNext/>
      </w:pPr>
      <w:r w:rsidRPr="0098660A">
        <w:t>Note: analyses in italics were performed during the evaluation.</w:t>
      </w:r>
    </w:p>
    <w:p w14:paraId="60F0B662" w14:textId="77777777" w:rsidR="00E54685" w:rsidRPr="0098660A" w:rsidRDefault="00E54685" w:rsidP="00E54685">
      <w:pPr>
        <w:pStyle w:val="TableFigureFooter"/>
        <w:keepNext/>
      </w:pPr>
      <w:proofErr w:type="gramStart"/>
      <w:r w:rsidRPr="0098660A">
        <w:rPr>
          <w:vertAlign w:val="superscript"/>
        </w:rPr>
        <w:t>a</w:t>
      </w:r>
      <w:proofErr w:type="gramEnd"/>
      <w:r w:rsidRPr="0098660A">
        <w:rPr>
          <w:vertAlign w:val="superscript"/>
        </w:rPr>
        <w:t xml:space="preserve"> </w:t>
      </w:r>
      <w:r w:rsidRPr="0098660A">
        <w:t>ABS population growth in the year of 2023.</w:t>
      </w:r>
    </w:p>
    <w:p w14:paraId="0D91C5CA" w14:textId="77777777" w:rsidR="00E54685" w:rsidRPr="0098660A" w:rsidRDefault="00E54685" w:rsidP="00E54685">
      <w:pPr>
        <w:pStyle w:val="TableFigureFooter"/>
        <w:keepNext/>
      </w:pPr>
      <w:r w:rsidRPr="0098660A">
        <w:rPr>
          <w:vertAlign w:val="superscript"/>
        </w:rPr>
        <w:t xml:space="preserve">b </w:t>
      </w:r>
      <w:r w:rsidRPr="0098660A">
        <w:t>Lower bound of the ABS estimate for annual population growth until 2032.</w:t>
      </w:r>
    </w:p>
    <w:p w14:paraId="2C5D9759" w14:textId="77777777" w:rsidR="00E54685" w:rsidRPr="0098660A" w:rsidRDefault="00E54685" w:rsidP="00E54685">
      <w:pPr>
        <w:pStyle w:val="TableFigureFooter"/>
        <w:keepNext/>
      </w:pPr>
      <w:r w:rsidRPr="0098660A">
        <w:rPr>
          <w:vertAlign w:val="superscript"/>
        </w:rPr>
        <w:t xml:space="preserve">c </w:t>
      </w:r>
      <w:r w:rsidRPr="0098660A">
        <w:t>Upper bound of the ABS estimate for annual population growth until 2032.</w:t>
      </w:r>
    </w:p>
    <w:p w14:paraId="1D83F751" w14:textId="57CED1C5" w:rsidR="00E54685" w:rsidRPr="0098660A" w:rsidRDefault="00E54685" w:rsidP="00E54685">
      <w:pPr>
        <w:pStyle w:val="TableFigureFooter"/>
        <w:keepNext/>
        <w:rPr>
          <w:i/>
        </w:rPr>
      </w:pPr>
      <w:r w:rsidRPr="0098660A">
        <w:rPr>
          <w:vertAlign w:val="superscript"/>
        </w:rPr>
        <w:t xml:space="preserve">d </w:t>
      </w:r>
      <w:r w:rsidR="00910397" w:rsidRPr="00910397">
        <w:rPr>
          <w:color w:val="000000"/>
          <w:spacing w:val="40"/>
          <w:shd w:val="solid" w:color="000000" w:fill="000000"/>
          <w:fitText w:val="280" w:id="-663462641"/>
          <w14:textFill>
            <w14:solidFill>
              <w14:srgbClr w14:val="000000">
                <w14:alpha w14:val="100000"/>
              </w14:srgbClr>
            </w14:solidFill>
          </w14:textFill>
        </w:rPr>
        <w:t xml:space="preserve">|  </w:t>
      </w:r>
      <w:r w:rsidR="00910397" w:rsidRPr="00910397">
        <w:rPr>
          <w:color w:val="000000"/>
          <w:spacing w:val="2"/>
          <w:shd w:val="solid" w:color="000000" w:fill="000000"/>
          <w:fitText w:val="280" w:id="-663462641"/>
          <w14:textFill>
            <w14:solidFill>
              <w14:srgbClr w14:val="000000">
                <w14:alpha w14:val="100000"/>
              </w14:srgbClr>
            </w14:solidFill>
          </w14:textFill>
        </w:rPr>
        <w:t>|</w:t>
      </w:r>
      <w:r w:rsidRPr="0098660A">
        <w:t xml:space="preserve">%, </w:t>
      </w:r>
      <w:r w:rsidR="00910397" w:rsidRPr="00910397">
        <w:rPr>
          <w:color w:val="000000"/>
          <w:spacing w:val="40"/>
          <w:shd w:val="solid" w:color="000000" w:fill="000000"/>
          <w:fitText w:val="280" w:id="-663462640"/>
          <w14:textFill>
            <w14:solidFill>
              <w14:srgbClr w14:val="000000">
                <w14:alpha w14:val="100000"/>
              </w14:srgbClr>
            </w14:solidFill>
          </w14:textFill>
        </w:rPr>
        <w:t xml:space="preserve">|  </w:t>
      </w:r>
      <w:r w:rsidR="00910397" w:rsidRPr="00910397">
        <w:rPr>
          <w:color w:val="000000"/>
          <w:spacing w:val="2"/>
          <w:shd w:val="solid" w:color="000000" w:fill="000000"/>
          <w:fitText w:val="280" w:id="-663462640"/>
          <w14:textFill>
            <w14:solidFill>
              <w14:srgbClr w14:val="000000">
                <w14:alpha w14:val="100000"/>
              </w14:srgbClr>
            </w14:solidFill>
          </w14:textFill>
        </w:rPr>
        <w:t>|</w:t>
      </w:r>
      <w:r w:rsidRPr="0098660A">
        <w:t xml:space="preserve">%, </w:t>
      </w:r>
      <w:r w:rsidR="00910397" w:rsidRPr="00910397">
        <w:rPr>
          <w:color w:val="000000"/>
          <w:spacing w:val="37"/>
          <w:shd w:val="solid" w:color="000000" w:fill="000000"/>
          <w:fitText w:val="270" w:id="-663462656"/>
          <w14:textFill>
            <w14:solidFill>
              <w14:srgbClr w14:val="000000">
                <w14:alpha w14:val="100000"/>
              </w14:srgbClr>
            </w14:solidFill>
          </w14:textFill>
        </w:rPr>
        <w:t xml:space="preserve">|  </w:t>
      </w:r>
      <w:r w:rsidR="00910397" w:rsidRPr="00910397">
        <w:rPr>
          <w:color w:val="000000"/>
          <w:spacing w:val="1"/>
          <w:shd w:val="solid" w:color="000000" w:fill="000000"/>
          <w:fitText w:val="270" w:id="-663462656"/>
          <w14:textFill>
            <w14:solidFill>
              <w14:srgbClr w14:val="000000">
                <w14:alpha w14:val="100000"/>
              </w14:srgbClr>
            </w14:solidFill>
          </w14:textFill>
        </w:rPr>
        <w:t>|</w:t>
      </w:r>
      <w:r w:rsidRPr="0098660A">
        <w:t xml:space="preserve">% and </w:t>
      </w:r>
      <w:r w:rsidR="00910397" w:rsidRPr="008E0BAA">
        <w:rPr>
          <w:color w:val="000000"/>
          <w:spacing w:val="37"/>
          <w:shd w:val="solid" w:color="000000" w:fill="000000"/>
          <w:fitText w:val="270" w:id="-663462655"/>
          <w14:textFill>
            <w14:solidFill>
              <w14:srgbClr w14:val="000000">
                <w14:alpha w14:val="100000"/>
              </w14:srgbClr>
            </w14:solidFill>
          </w14:textFill>
        </w:rPr>
        <w:t xml:space="preserve">|  </w:t>
      </w:r>
      <w:r w:rsidR="00910397" w:rsidRPr="008E0BAA">
        <w:rPr>
          <w:color w:val="000000"/>
          <w:spacing w:val="1"/>
          <w:shd w:val="solid" w:color="000000" w:fill="000000"/>
          <w:fitText w:val="270" w:id="-663462655"/>
          <w14:textFill>
            <w14:solidFill>
              <w14:srgbClr w14:val="000000">
                <w14:alpha w14:val="100000"/>
              </w14:srgbClr>
            </w14:solidFill>
          </w14:textFill>
        </w:rPr>
        <w:t>|</w:t>
      </w:r>
      <w:r w:rsidRPr="0098660A">
        <w:t>% in Year 1, 2, 3 and 4+, respectively.</w:t>
      </w:r>
    </w:p>
    <w:p w14:paraId="6AB3AAED" w14:textId="77777777" w:rsidR="00E54685" w:rsidRPr="0098660A" w:rsidRDefault="00E54685" w:rsidP="00E54685">
      <w:pPr>
        <w:pStyle w:val="TableFigureFooter"/>
        <w:keepNext/>
        <w:rPr>
          <w:i/>
        </w:rPr>
      </w:pPr>
      <w:r w:rsidRPr="0098660A">
        <w:rPr>
          <w:vertAlign w:val="superscript"/>
        </w:rPr>
        <w:t>e</w:t>
      </w:r>
      <w:r w:rsidRPr="0098660A">
        <w:t xml:space="preserve"> 2%, 5%, 8%, 10%, 12% and 15% in Year 1, 2, 3, 4, 5 and 6, respectively.</w:t>
      </w:r>
    </w:p>
    <w:p w14:paraId="09B13166" w14:textId="77777777" w:rsidR="00E54685" w:rsidRPr="0098660A" w:rsidRDefault="00E54685" w:rsidP="00E54685">
      <w:pPr>
        <w:pStyle w:val="TableFigureFooter"/>
        <w:keepNext/>
      </w:pPr>
      <w:r w:rsidRPr="0098660A">
        <w:rPr>
          <w:vertAlign w:val="superscript"/>
        </w:rPr>
        <w:t>f</w:t>
      </w:r>
      <w:r w:rsidRPr="0098660A">
        <w:t xml:space="preserve"> 10%, 20%, 30%, 40%, 45% and 50% in Year 1, 2, 3, 4, 5 and 6, respectively.</w:t>
      </w:r>
    </w:p>
    <w:p w14:paraId="6DC0CDB9" w14:textId="77777777" w:rsidR="00E54685" w:rsidRPr="0098660A" w:rsidRDefault="00E54685" w:rsidP="00E54685">
      <w:pPr>
        <w:pStyle w:val="TableFigureFooter"/>
        <w:keepNext/>
      </w:pPr>
      <w:r w:rsidRPr="0098660A">
        <w:rPr>
          <w:vertAlign w:val="superscript"/>
        </w:rPr>
        <w:t xml:space="preserve">g </w:t>
      </w:r>
      <w:r w:rsidRPr="0098660A">
        <w:t>Sourced from the PRINCE clinical trial.</w:t>
      </w:r>
    </w:p>
    <w:p w14:paraId="18A130D7" w14:textId="2AA248E9" w:rsidR="00E54685" w:rsidRPr="0098660A" w:rsidRDefault="00E54685" w:rsidP="00E54685">
      <w:pPr>
        <w:pStyle w:val="TableFigureFooter"/>
        <w:keepNext/>
      </w:pPr>
      <w:r w:rsidRPr="0098660A">
        <w:rPr>
          <w:vertAlign w:val="superscript"/>
        </w:rPr>
        <w:t xml:space="preserve">h </w:t>
      </w:r>
      <w:r w:rsidRPr="0098660A">
        <w:t xml:space="preserve">Pegcetacoplan PSD, July 2022 PBAC </w:t>
      </w:r>
      <w:r w:rsidR="00605BDC" w:rsidRPr="0098660A">
        <w:t>m</w:t>
      </w:r>
      <w:r w:rsidRPr="0098660A">
        <w:t>eeting.</w:t>
      </w:r>
    </w:p>
    <w:p w14:paraId="7ADB5AAE" w14:textId="77777777" w:rsidR="00E54685" w:rsidRPr="0098660A" w:rsidRDefault="00E54685" w:rsidP="00E54685">
      <w:pPr>
        <w:pStyle w:val="TableFigureFooter"/>
      </w:pPr>
      <w:proofErr w:type="spellStart"/>
      <w:r w:rsidRPr="0098660A">
        <w:rPr>
          <w:vertAlign w:val="superscript"/>
        </w:rPr>
        <w:t>i</w:t>
      </w:r>
      <w:proofErr w:type="spellEnd"/>
      <w:r w:rsidRPr="0098660A">
        <w:rPr>
          <w:vertAlign w:val="superscript"/>
        </w:rPr>
        <w:t xml:space="preserve"> </w:t>
      </w:r>
      <w:r w:rsidRPr="0098660A">
        <w:t>Sourced from the ALP-307 OLE study.</w:t>
      </w:r>
    </w:p>
    <w:p w14:paraId="4C32B65A" w14:textId="0E10DD2D" w:rsidR="00E54685" w:rsidRPr="0098660A" w:rsidRDefault="00E54685" w:rsidP="00E54685">
      <w:pPr>
        <w:pStyle w:val="TableFigureFooter"/>
      </w:pPr>
      <w:r w:rsidRPr="0098660A">
        <w:rPr>
          <w:vertAlign w:val="superscript"/>
        </w:rPr>
        <w:t xml:space="preserve">j </w:t>
      </w:r>
      <w:r w:rsidRPr="0098660A">
        <w:t xml:space="preserve">Induction dose for eculizumab based on the eculizumab PI (2,400 mg, equivalent to 8 × 300 mg vials) and assuming one initiating eculizumab script was equivalent to one pegcetacoplan script (as these both last four weeks). Mean induction dose of ravulizumab (weight-based) assumed to be 2,491 mg (equivalent to 2.26 × 1,100 mg vials or 8.30 × 300 mg vials) based on the doses outlined in the ravulizumab PSD (para 6.64 and 6.65, ravulizumab PSD, March 2021 PBAC </w:t>
      </w:r>
      <w:r w:rsidR="00605BDC" w:rsidRPr="0098660A">
        <w:t>m</w:t>
      </w:r>
      <w:r w:rsidRPr="0098660A">
        <w:t>eeting).</w:t>
      </w:r>
    </w:p>
    <w:p w14:paraId="11BE79CE" w14:textId="77777777" w:rsidR="000919F5" w:rsidRPr="0098660A" w:rsidRDefault="000919F5" w:rsidP="000919F5">
      <w:pPr>
        <w:rPr>
          <w:rFonts w:ascii="Arial Narrow" w:hAnsi="Arial Narrow"/>
          <w:i/>
          <w:sz w:val="18"/>
          <w:szCs w:val="18"/>
        </w:rPr>
      </w:pPr>
      <w:r w:rsidRPr="0098660A">
        <w:rPr>
          <w:rFonts w:ascii="Arial Narrow" w:hAnsi="Arial Narrow"/>
          <w:i/>
          <w:sz w:val="18"/>
          <w:szCs w:val="18"/>
        </w:rPr>
        <w:t xml:space="preserve">The redacted values correspond to the following ranges: </w:t>
      </w:r>
    </w:p>
    <w:p w14:paraId="53538E21" w14:textId="590198F0" w:rsidR="000919F5" w:rsidRPr="0098660A" w:rsidRDefault="000919F5" w:rsidP="000919F5">
      <w:pPr>
        <w:rPr>
          <w:rFonts w:ascii="Arial Narrow" w:hAnsi="Arial Narrow"/>
          <w:i/>
          <w:sz w:val="18"/>
          <w:szCs w:val="18"/>
        </w:rPr>
      </w:pPr>
      <w:r w:rsidRPr="0098660A">
        <w:rPr>
          <w:rFonts w:ascii="Arial Narrow" w:hAnsi="Arial Narrow"/>
          <w:i/>
          <w:sz w:val="18"/>
          <w:szCs w:val="18"/>
          <w:vertAlign w:val="superscript"/>
        </w:rPr>
        <w:t>1</w:t>
      </w:r>
      <w:r w:rsidRPr="0098660A">
        <w:rPr>
          <w:rFonts w:ascii="Arial Narrow" w:hAnsi="Arial Narrow"/>
          <w:i/>
          <w:sz w:val="18"/>
          <w:szCs w:val="18"/>
        </w:rPr>
        <w:t xml:space="preserve"> net cost saving</w:t>
      </w:r>
    </w:p>
    <w:p w14:paraId="7984235D" w14:textId="65771F4A" w:rsidR="000919F5" w:rsidRPr="0098660A" w:rsidRDefault="000919F5" w:rsidP="000919F5">
      <w:pPr>
        <w:spacing w:after="120"/>
        <w:rPr>
          <w:rFonts w:ascii="Arial Narrow" w:hAnsi="Arial Narrow"/>
          <w:i/>
          <w:sz w:val="18"/>
          <w:szCs w:val="18"/>
        </w:rPr>
      </w:pPr>
      <w:r w:rsidRPr="0098660A">
        <w:rPr>
          <w:rFonts w:ascii="Arial Narrow" w:hAnsi="Arial Narrow"/>
          <w:i/>
          <w:sz w:val="18"/>
          <w:szCs w:val="18"/>
          <w:vertAlign w:val="superscript"/>
        </w:rPr>
        <w:t>2</w:t>
      </w:r>
      <w:r w:rsidRPr="0098660A">
        <w:rPr>
          <w:rFonts w:ascii="Arial Narrow" w:hAnsi="Arial Narrow"/>
          <w:i/>
          <w:sz w:val="18"/>
          <w:szCs w:val="18"/>
        </w:rPr>
        <w:t xml:space="preserve"> </w:t>
      </w:r>
      <w:r w:rsidR="006D0CBD" w:rsidRPr="0098660A">
        <w:rPr>
          <w:rFonts w:ascii="Arial Narrow" w:hAnsi="Arial Narrow"/>
          <w:i/>
          <w:sz w:val="18"/>
          <w:szCs w:val="18"/>
        </w:rPr>
        <w:t>$0 to &lt; $10 million</w:t>
      </w:r>
    </w:p>
    <w:p w14:paraId="508A7F53" w14:textId="77777777" w:rsidR="00E54685" w:rsidRPr="0098660A" w:rsidRDefault="00E54685" w:rsidP="00E54685">
      <w:pPr>
        <w:pStyle w:val="4-SubsectionHeading"/>
      </w:pPr>
      <w:bookmarkStart w:id="94" w:name="_Toc193368028"/>
      <w:r w:rsidRPr="0098660A">
        <w:t>Quality Use of Medicines</w:t>
      </w:r>
      <w:bookmarkEnd w:id="93"/>
      <w:bookmarkEnd w:id="94"/>
    </w:p>
    <w:p w14:paraId="6C436AD1" w14:textId="77777777" w:rsidR="00E54685" w:rsidRPr="0098660A" w:rsidRDefault="00E54685" w:rsidP="00E54685">
      <w:pPr>
        <w:pStyle w:val="3-BodyText"/>
      </w:pPr>
      <w:bookmarkStart w:id="95" w:name="_Toc22897649"/>
      <w:r w:rsidRPr="0098660A">
        <w:t>The submission outlined the following:</w:t>
      </w:r>
    </w:p>
    <w:p w14:paraId="7165C1B1" w14:textId="5B851229" w:rsidR="00E54685" w:rsidRPr="0098660A" w:rsidRDefault="00E54685" w:rsidP="006D0CBD">
      <w:pPr>
        <w:pStyle w:val="ListParagraph"/>
        <w:ind w:left="1134"/>
        <w:jc w:val="both"/>
      </w:pPr>
      <w:r w:rsidRPr="0098660A">
        <w:t>As pegcetacoplan is self-administered, it would reduce the need for hospital visits for administration</w:t>
      </w:r>
    </w:p>
    <w:p w14:paraId="67C4A78C" w14:textId="4D2627D6" w:rsidR="00E54685" w:rsidRPr="0098660A" w:rsidRDefault="00E54685" w:rsidP="006D0CBD">
      <w:pPr>
        <w:pStyle w:val="ListParagraph"/>
        <w:ind w:left="1134"/>
        <w:jc w:val="both"/>
      </w:pPr>
      <w:r w:rsidRPr="0098660A">
        <w:t>The Sponsor will provide pegcetacoplan pumps (and other consumable material) for self-administration free of charge to the patient</w:t>
      </w:r>
      <w:r w:rsidR="00DA0BC6" w:rsidRPr="0098660A">
        <w:t>,</w:t>
      </w:r>
      <w:r w:rsidRPr="0098660A">
        <w:t xml:space="preserve"> and </w:t>
      </w:r>
    </w:p>
    <w:p w14:paraId="7E5C969F" w14:textId="7512B522" w:rsidR="00E54685" w:rsidRPr="0098660A" w:rsidRDefault="00DA0BC6" w:rsidP="006D0CBD">
      <w:pPr>
        <w:pStyle w:val="ListParagraph"/>
        <w:ind w:left="1134"/>
        <w:jc w:val="both"/>
      </w:pPr>
      <w:r w:rsidRPr="0098660A">
        <w:lastRenderedPageBreak/>
        <w:t>The sponsor will c</w:t>
      </w:r>
      <w:r w:rsidR="00E54685" w:rsidRPr="0098660A">
        <w:t xml:space="preserve">ontinue to run a patient support program to facilitate initiation and ongoing management of therapy. </w:t>
      </w:r>
    </w:p>
    <w:p w14:paraId="410B6020" w14:textId="77777777" w:rsidR="00E54685" w:rsidRPr="0098660A" w:rsidRDefault="00E54685" w:rsidP="00E54685">
      <w:pPr>
        <w:pStyle w:val="4-SubsectionHeading"/>
      </w:pPr>
      <w:bookmarkStart w:id="96" w:name="_Toc193368029"/>
      <w:r w:rsidRPr="0098660A">
        <w:t>Financial Management – Risk Sharing Arrangements</w:t>
      </w:r>
      <w:bookmarkEnd w:id="95"/>
      <w:bookmarkEnd w:id="96"/>
    </w:p>
    <w:p w14:paraId="6C7389F5" w14:textId="03737223" w:rsidR="00E54685" w:rsidRPr="0098660A" w:rsidRDefault="00E54685" w:rsidP="00E54685">
      <w:pPr>
        <w:pStyle w:val="3-BodyText"/>
      </w:pPr>
      <w:r w:rsidRPr="0098660A">
        <w:t>The Sponsor propose</w:t>
      </w:r>
      <w:r w:rsidR="00CB2211" w:rsidRPr="0098660A">
        <w:t>d</w:t>
      </w:r>
      <w:r w:rsidRPr="0098660A">
        <w:t xml:space="preserve"> no changes to the existing risk-sharing arrangements (RSA) and Deed of Agreement for pegcetacoplan.</w:t>
      </w:r>
    </w:p>
    <w:p w14:paraId="5C2A69BF" w14:textId="77777777" w:rsidR="00EC7C47" w:rsidRPr="0098660A" w:rsidRDefault="00EC7C47" w:rsidP="00EC7C47">
      <w:pPr>
        <w:pStyle w:val="2-SectionHeading"/>
        <w:numPr>
          <w:ilvl w:val="0"/>
          <w:numId w:val="1"/>
        </w:numPr>
      </w:pPr>
      <w:bookmarkStart w:id="97" w:name="_Hlk76381249"/>
      <w:bookmarkStart w:id="98" w:name="_Hlk76377955"/>
      <w:bookmarkEnd w:id="66"/>
      <w:r w:rsidRPr="0098660A">
        <w:t>PBAC Outcome</w:t>
      </w:r>
    </w:p>
    <w:p w14:paraId="16E93E50" w14:textId="27C289F8" w:rsidR="00EC7C47" w:rsidRPr="0098660A" w:rsidRDefault="0083121B" w:rsidP="00F160A9">
      <w:pPr>
        <w:widowControl w:val="0"/>
        <w:numPr>
          <w:ilvl w:val="1"/>
          <w:numId w:val="1"/>
        </w:numPr>
        <w:spacing w:after="120"/>
        <w:rPr>
          <w:rFonts w:asciiTheme="minorHAnsi" w:hAnsiTheme="minorHAnsi"/>
          <w:snapToGrid w:val="0"/>
        </w:rPr>
      </w:pPr>
      <w:r w:rsidRPr="0098660A">
        <w:rPr>
          <w:rFonts w:asciiTheme="minorHAnsi" w:hAnsiTheme="minorHAnsi"/>
          <w:snapToGrid w:val="0"/>
        </w:rPr>
        <w:t xml:space="preserve">The PBAC recommended </w:t>
      </w:r>
      <w:r w:rsidR="00663723" w:rsidRPr="0098660A">
        <w:rPr>
          <w:rFonts w:cs="Calibri"/>
          <w:lang w:eastAsia="en-GB"/>
        </w:rPr>
        <w:t xml:space="preserve">an </w:t>
      </w:r>
      <w:r w:rsidR="00D34B18" w:rsidRPr="0098660A">
        <w:rPr>
          <w:rFonts w:cs="Calibri"/>
          <w:lang w:eastAsia="en-GB"/>
        </w:rPr>
        <w:t>extension to</w:t>
      </w:r>
      <w:r w:rsidR="00663723" w:rsidRPr="0098660A">
        <w:rPr>
          <w:rFonts w:cs="Calibri"/>
          <w:lang w:eastAsia="en-GB"/>
        </w:rPr>
        <w:t xml:space="preserve"> the existing Section 100 Highly Specialised Drugs Program (HSD) Authority Required (in writing only via post/HPOS upload) listing of pegcetacoplan, to allow</w:t>
      </w:r>
      <w:r w:rsidR="00663723" w:rsidRPr="0098660A">
        <w:rPr>
          <w:rFonts w:asciiTheme="minorHAnsi" w:hAnsiTheme="minorHAnsi"/>
          <w:snapToGrid w:val="0"/>
        </w:rPr>
        <w:t xml:space="preserve"> </w:t>
      </w:r>
      <w:r w:rsidRPr="0098660A">
        <w:rPr>
          <w:rFonts w:asciiTheme="minorHAnsi" w:hAnsiTheme="minorHAnsi"/>
          <w:snapToGrid w:val="0"/>
        </w:rPr>
        <w:t xml:space="preserve">for the treatment of adults with paroxysmal nocturnal haemoglobinuria (PNH) </w:t>
      </w:r>
      <w:r w:rsidR="005C4901" w:rsidRPr="0098660A">
        <w:t>who are either treatment-naïve to complement 5 inhibitors (C5i</w:t>
      </w:r>
      <w:r w:rsidR="00084FF4" w:rsidRPr="0098660A">
        <w:t>s</w:t>
      </w:r>
      <w:r w:rsidR="005C4901" w:rsidRPr="0098660A">
        <w:t>) or currently treated with a C5i</w:t>
      </w:r>
      <w:r w:rsidRPr="0098660A">
        <w:rPr>
          <w:rFonts w:asciiTheme="minorHAnsi" w:hAnsiTheme="minorHAnsi"/>
          <w:snapToGrid w:val="0"/>
        </w:rPr>
        <w:t>.</w:t>
      </w:r>
      <w:r w:rsidR="00EC7C47" w:rsidRPr="0098660A">
        <w:rPr>
          <w:rFonts w:asciiTheme="minorHAnsi" w:hAnsiTheme="minorHAnsi"/>
          <w:snapToGrid w:val="0"/>
        </w:rPr>
        <w:t xml:space="preserve"> </w:t>
      </w:r>
      <w:r w:rsidR="005C4901" w:rsidRPr="0098660A">
        <w:rPr>
          <w:rFonts w:asciiTheme="minorHAnsi" w:hAnsiTheme="minorHAnsi"/>
          <w:snapToGrid w:val="0"/>
        </w:rPr>
        <w:t>T</w:t>
      </w:r>
      <w:r w:rsidR="005F22BD" w:rsidRPr="0098660A">
        <w:rPr>
          <w:rFonts w:asciiTheme="minorHAnsi" w:hAnsiTheme="minorHAnsi"/>
          <w:snapToGrid w:val="0"/>
        </w:rPr>
        <w:t xml:space="preserve">he PBAC’s recommendation for </w:t>
      </w:r>
      <w:r w:rsidR="005C4901" w:rsidRPr="0098660A">
        <w:rPr>
          <w:rFonts w:asciiTheme="minorHAnsi" w:hAnsiTheme="minorHAnsi"/>
          <w:snapToGrid w:val="0"/>
        </w:rPr>
        <w:t xml:space="preserve">the extended </w:t>
      </w:r>
      <w:r w:rsidR="005F22BD" w:rsidRPr="0098660A">
        <w:rPr>
          <w:rFonts w:asciiTheme="minorHAnsi" w:hAnsiTheme="minorHAnsi"/>
          <w:snapToGrid w:val="0"/>
        </w:rPr>
        <w:t xml:space="preserve">listing was based on its assessment that the cost-effectiveness of </w:t>
      </w:r>
      <w:r w:rsidR="005C4901" w:rsidRPr="0098660A">
        <w:rPr>
          <w:rFonts w:asciiTheme="minorHAnsi" w:hAnsiTheme="minorHAnsi"/>
          <w:snapToGrid w:val="0"/>
        </w:rPr>
        <w:t>pegcetacoplan</w:t>
      </w:r>
      <w:r w:rsidR="005F22BD" w:rsidRPr="0098660A">
        <w:rPr>
          <w:rFonts w:asciiTheme="minorHAnsi" w:hAnsiTheme="minorHAnsi"/>
          <w:snapToGrid w:val="0"/>
        </w:rPr>
        <w:t xml:space="preserve"> would be acceptable if it were cost-minimised against </w:t>
      </w:r>
      <w:r w:rsidR="005C4901" w:rsidRPr="0098660A">
        <w:rPr>
          <w:rFonts w:asciiTheme="minorHAnsi" w:hAnsiTheme="minorHAnsi"/>
          <w:snapToGrid w:val="0"/>
        </w:rPr>
        <w:t>ravulizumab</w:t>
      </w:r>
      <w:r w:rsidR="00094DA9" w:rsidRPr="0098660A">
        <w:rPr>
          <w:rFonts w:asciiTheme="minorHAnsi" w:hAnsiTheme="minorHAnsi"/>
          <w:snapToGrid w:val="0"/>
        </w:rPr>
        <w:t>.</w:t>
      </w:r>
    </w:p>
    <w:p w14:paraId="1A16713A" w14:textId="3C4FDC96" w:rsidR="00604480" w:rsidRPr="0098660A" w:rsidRDefault="00604480" w:rsidP="000E2127">
      <w:pPr>
        <w:widowControl w:val="0"/>
        <w:numPr>
          <w:ilvl w:val="1"/>
          <w:numId w:val="1"/>
        </w:numPr>
        <w:spacing w:after="120"/>
        <w:rPr>
          <w:rFonts w:asciiTheme="minorHAnsi" w:hAnsiTheme="minorHAnsi"/>
          <w:snapToGrid w:val="0"/>
        </w:rPr>
      </w:pPr>
      <w:r w:rsidRPr="0098660A">
        <w:rPr>
          <w:rFonts w:asciiTheme="minorHAnsi" w:hAnsiTheme="minorHAnsi"/>
          <w:snapToGrid w:val="0"/>
        </w:rPr>
        <w:t xml:space="preserve">The PBAC considered that the </w:t>
      </w:r>
      <w:proofErr w:type="spellStart"/>
      <w:r w:rsidRPr="0098660A">
        <w:rPr>
          <w:rFonts w:asciiTheme="minorHAnsi" w:hAnsiTheme="minorHAnsi"/>
          <w:snapToGrid w:val="0"/>
        </w:rPr>
        <w:t>equi</w:t>
      </w:r>
      <w:proofErr w:type="spellEnd"/>
      <w:r w:rsidRPr="0098660A">
        <w:rPr>
          <w:rFonts w:asciiTheme="minorHAnsi" w:hAnsiTheme="minorHAnsi"/>
          <w:snapToGrid w:val="0"/>
        </w:rPr>
        <w:t xml:space="preserve">-effective doses </w:t>
      </w:r>
      <w:r w:rsidR="008C2406" w:rsidRPr="0098660A">
        <w:rPr>
          <w:iCs/>
        </w:rPr>
        <w:t xml:space="preserve">over a </w:t>
      </w:r>
      <w:r w:rsidR="00AD201C" w:rsidRPr="0098660A">
        <w:rPr>
          <w:iCs/>
        </w:rPr>
        <w:t>one</w:t>
      </w:r>
      <w:r w:rsidR="008C2406" w:rsidRPr="0098660A">
        <w:rPr>
          <w:iCs/>
        </w:rPr>
        <w:t xml:space="preserve">-year maintenance treatment period </w:t>
      </w:r>
      <w:r w:rsidRPr="0098660A">
        <w:rPr>
          <w:rFonts w:asciiTheme="minorHAnsi" w:hAnsiTheme="minorHAnsi"/>
          <w:snapToGrid w:val="0"/>
        </w:rPr>
        <w:t xml:space="preserve">were pegcetacoplan </w:t>
      </w:r>
      <w:r w:rsidRPr="0098660A">
        <w:rPr>
          <w:iCs/>
        </w:rPr>
        <w:t xml:space="preserve">1,080 mg x 108.88 injections; and </w:t>
      </w:r>
      <w:r w:rsidR="008C2406" w:rsidRPr="0098660A">
        <w:rPr>
          <w:iCs/>
        </w:rPr>
        <w:t>r</w:t>
      </w:r>
      <w:r w:rsidRPr="0098660A">
        <w:rPr>
          <w:iCs/>
        </w:rPr>
        <w:t>avulizumab 3,288 mg x 6.5 infusions.</w:t>
      </w:r>
      <w:r w:rsidR="002E4A69" w:rsidRPr="0098660A">
        <w:rPr>
          <w:iCs/>
        </w:rPr>
        <w:t xml:space="preserve"> The PBAC considered the</w:t>
      </w:r>
      <w:r w:rsidR="008C2406" w:rsidRPr="0098660A">
        <w:rPr>
          <w:iCs/>
        </w:rPr>
        <w:t xml:space="preserve"> inclu</w:t>
      </w:r>
      <w:r w:rsidR="002E4A69" w:rsidRPr="0098660A">
        <w:rPr>
          <w:iCs/>
        </w:rPr>
        <w:t>sion</w:t>
      </w:r>
      <w:r w:rsidR="008C2406" w:rsidRPr="0098660A">
        <w:rPr>
          <w:iCs/>
        </w:rPr>
        <w:t xml:space="preserve"> </w:t>
      </w:r>
      <w:r w:rsidR="004B0D37" w:rsidRPr="0098660A">
        <w:rPr>
          <w:iCs/>
        </w:rPr>
        <w:t xml:space="preserve">of </w:t>
      </w:r>
      <w:r w:rsidR="008C2406" w:rsidRPr="0098660A">
        <w:rPr>
          <w:iCs/>
        </w:rPr>
        <w:t xml:space="preserve">the pegcetacoplan </w:t>
      </w:r>
      <w:r w:rsidR="007A0E68" w:rsidRPr="0098660A">
        <w:rPr>
          <w:iCs/>
        </w:rPr>
        <w:t>open-label extension (</w:t>
      </w:r>
      <w:r w:rsidR="008C2406" w:rsidRPr="0098660A">
        <w:rPr>
          <w:iCs/>
        </w:rPr>
        <w:t>OLE</w:t>
      </w:r>
      <w:r w:rsidR="007A0E68" w:rsidRPr="0098660A">
        <w:rPr>
          <w:iCs/>
        </w:rPr>
        <w:t>)</w:t>
      </w:r>
      <w:r w:rsidR="008C2406" w:rsidRPr="0098660A">
        <w:rPr>
          <w:iCs/>
        </w:rPr>
        <w:t xml:space="preserve"> study (APL2-307) to capture the higher proportion of patients requiring dose escalation</w:t>
      </w:r>
      <w:r w:rsidR="00442A68" w:rsidRPr="0098660A">
        <w:rPr>
          <w:iCs/>
        </w:rPr>
        <w:t xml:space="preserve"> was appropriate and consistent with the </w:t>
      </w:r>
      <w:r w:rsidR="00FA4813" w:rsidRPr="0098660A">
        <w:rPr>
          <w:iCs/>
        </w:rPr>
        <w:t>recommended approach to the dosing for the second-line pegcetacoplan listing</w:t>
      </w:r>
      <w:r w:rsidR="00442A68" w:rsidRPr="0098660A">
        <w:rPr>
          <w:iCs/>
        </w:rPr>
        <w:t xml:space="preserve"> </w:t>
      </w:r>
      <w:r w:rsidR="00751852" w:rsidRPr="0098660A">
        <w:rPr>
          <w:iCs/>
        </w:rPr>
        <w:t xml:space="preserve">(see paragraph </w:t>
      </w:r>
      <w:r w:rsidR="00751852" w:rsidRPr="0098660A">
        <w:rPr>
          <w:iCs/>
        </w:rPr>
        <w:fldChar w:fldCharType="begin"/>
      </w:r>
      <w:r w:rsidR="00751852" w:rsidRPr="0098660A">
        <w:rPr>
          <w:iCs/>
        </w:rPr>
        <w:instrText xml:space="preserve"> REF _Ref198047631 \r \h </w:instrText>
      </w:r>
      <w:r w:rsidR="00751852" w:rsidRPr="0098660A">
        <w:rPr>
          <w:iCs/>
        </w:rPr>
      </w:r>
      <w:r w:rsidR="00751852" w:rsidRPr="0098660A">
        <w:rPr>
          <w:iCs/>
        </w:rPr>
        <w:fldChar w:fldCharType="separate"/>
      </w:r>
      <w:r w:rsidR="00134128">
        <w:rPr>
          <w:iCs/>
        </w:rPr>
        <w:t>6.37</w:t>
      </w:r>
      <w:r w:rsidR="00751852" w:rsidRPr="0098660A">
        <w:rPr>
          <w:iCs/>
        </w:rPr>
        <w:fldChar w:fldCharType="end"/>
      </w:r>
      <w:r w:rsidR="00751852" w:rsidRPr="0098660A">
        <w:rPr>
          <w:iCs/>
        </w:rPr>
        <w:t>)</w:t>
      </w:r>
      <w:r w:rsidR="008C2406" w:rsidRPr="0098660A">
        <w:rPr>
          <w:iCs/>
        </w:rPr>
        <w:t>.</w:t>
      </w:r>
      <w:r w:rsidRPr="0098660A">
        <w:rPr>
          <w:rFonts w:asciiTheme="minorHAnsi" w:hAnsiTheme="minorHAnsi"/>
          <w:snapToGrid w:val="0"/>
        </w:rPr>
        <w:t xml:space="preserve"> </w:t>
      </w:r>
    </w:p>
    <w:p w14:paraId="16790781" w14:textId="61C0DE4E" w:rsidR="00AE5238" w:rsidRPr="0098660A" w:rsidRDefault="00ED5359" w:rsidP="000E2127">
      <w:pPr>
        <w:widowControl w:val="0"/>
        <w:numPr>
          <w:ilvl w:val="1"/>
          <w:numId w:val="1"/>
        </w:numPr>
        <w:spacing w:after="120"/>
        <w:rPr>
          <w:rFonts w:asciiTheme="minorHAnsi" w:hAnsiTheme="minorHAnsi"/>
          <w:snapToGrid w:val="0"/>
        </w:rPr>
      </w:pPr>
      <w:r w:rsidRPr="0098660A">
        <w:rPr>
          <w:rFonts w:asciiTheme="minorHAnsi" w:hAnsiTheme="minorHAnsi"/>
          <w:snapToGrid w:val="0"/>
        </w:rPr>
        <w:t xml:space="preserve">The PBAC </w:t>
      </w:r>
      <w:r w:rsidR="001D1B57" w:rsidRPr="0098660A">
        <w:rPr>
          <w:rFonts w:asciiTheme="minorHAnsi" w:hAnsiTheme="minorHAnsi"/>
          <w:snapToGrid w:val="0"/>
        </w:rPr>
        <w:t xml:space="preserve">considered the proposed extended listing </w:t>
      </w:r>
      <w:r w:rsidR="00136632" w:rsidRPr="0098660A">
        <w:rPr>
          <w:rFonts w:asciiTheme="minorHAnsi" w:hAnsiTheme="minorHAnsi"/>
          <w:snapToGrid w:val="0"/>
        </w:rPr>
        <w:t xml:space="preserve">for pegcetacoplan </w:t>
      </w:r>
      <w:r w:rsidR="00D52442" w:rsidRPr="0098660A">
        <w:rPr>
          <w:rFonts w:asciiTheme="minorHAnsi" w:hAnsiTheme="minorHAnsi"/>
          <w:snapToGrid w:val="0"/>
        </w:rPr>
        <w:t>was</w:t>
      </w:r>
      <w:r w:rsidR="00C64761" w:rsidRPr="0098660A">
        <w:rPr>
          <w:rFonts w:asciiTheme="minorHAnsi" w:hAnsiTheme="minorHAnsi"/>
          <w:snapToGrid w:val="0"/>
        </w:rPr>
        <w:t xml:space="preserve"> adequately supported </w:t>
      </w:r>
      <w:r w:rsidR="00463132" w:rsidRPr="0098660A">
        <w:rPr>
          <w:rFonts w:asciiTheme="minorHAnsi" w:hAnsiTheme="minorHAnsi"/>
          <w:snapToGrid w:val="0"/>
        </w:rPr>
        <w:t xml:space="preserve">by the available clinical evidence (see paragraph </w:t>
      </w:r>
      <w:r w:rsidR="007A0E68" w:rsidRPr="0098660A">
        <w:rPr>
          <w:rFonts w:asciiTheme="minorHAnsi" w:hAnsiTheme="minorHAnsi"/>
          <w:snapToGrid w:val="0"/>
        </w:rPr>
        <w:fldChar w:fldCharType="begin"/>
      </w:r>
      <w:r w:rsidR="007A0E68" w:rsidRPr="0098660A">
        <w:rPr>
          <w:rFonts w:asciiTheme="minorHAnsi" w:hAnsiTheme="minorHAnsi"/>
          <w:snapToGrid w:val="0"/>
        </w:rPr>
        <w:instrText xml:space="preserve"> REF _Ref198201123 \r \h  \* MERGEFORMAT </w:instrText>
      </w:r>
      <w:r w:rsidR="007A0E68" w:rsidRPr="0098660A">
        <w:rPr>
          <w:rFonts w:asciiTheme="minorHAnsi" w:hAnsiTheme="minorHAnsi"/>
          <w:snapToGrid w:val="0"/>
        </w:rPr>
      </w:r>
      <w:r w:rsidR="007A0E68" w:rsidRPr="0098660A">
        <w:rPr>
          <w:rFonts w:asciiTheme="minorHAnsi" w:hAnsiTheme="minorHAnsi"/>
          <w:snapToGrid w:val="0"/>
        </w:rPr>
        <w:fldChar w:fldCharType="separate"/>
      </w:r>
      <w:r w:rsidR="00134128">
        <w:rPr>
          <w:rFonts w:asciiTheme="minorHAnsi" w:hAnsiTheme="minorHAnsi"/>
          <w:snapToGrid w:val="0"/>
        </w:rPr>
        <w:t>7.10</w:t>
      </w:r>
      <w:r w:rsidR="007A0E68" w:rsidRPr="0098660A">
        <w:rPr>
          <w:rFonts w:asciiTheme="minorHAnsi" w:hAnsiTheme="minorHAnsi"/>
          <w:snapToGrid w:val="0"/>
        </w:rPr>
        <w:fldChar w:fldCharType="end"/>
      </w:r>
      <w:r w:rsidR="00463132" w:rsidRPr="0098660A">
        <w:rPr>
          <w:rFonts w:asciiTheme="minorHAnsi" w:hAnsiTheme="minorHAnsi"/>
          <w:snapToGrid w:val="0"/>
        </w:rPr>
        <w:t xml:space="preserve"> below) and would provide an alternative treatment option for </w:t>
      </w:r>
      <w:r w:rsidR="00AE5238" w:rsidRPr="0098660A">
        <w:rPr>
          <w:rFonts w:asciiTheme="minorHAnsi" w:hAnsiTheme="minorHAnsi"/>
          <w:snapToGrid w:val="0"/>
        </w:rPr>
        <w:t>patients</w:t>
      </w:r>
      <w:r w:rsidR="00463132" w:rsidRPr="0098660A">
        <w:rPr>
          <w:rFonts w:asciiTheme="minorHAnsi" w:hAnsiTheme="minorHAnsi"/>
          <w:snapToGrid w:val="0"/>
        </w:rPr>
        <w:t xml:space="preserve"> </w:t>
      </w:r>
      <w:r w:rsidR="0018089E" w:rsidRPr="0098660A">
        <w:rPr>
          <w:rFonts w:asciiTheme="minorHAnsi" w:hAnsiTheme="minorHAnsi"/>
          <w:snapToGrid w:val="0"/>
        </w:rPr>
        <w:t xml:space="preserve">not amenable to IV fusions or </w:t>
      </w:r>
      <w:r w:rsidR="008F78FC" w:rsidRPr="0098660A">
        <w:rPr>
          <w:rFonts w:asciiTheme="minorHAnsi" w:hAnsiTheme="minorHAnsi"/>
          <w:snapToGrid w:val="0"/>
        </w:rPr>
        <w:t xml:space="preserve">for </w:t>
      </w:r>
      <w:r w:rsidR="0018089E" w:rsidRPr="0098660A">
        <w:rPr>
          <w:rFonts w:asciiTheme="minorHAnsi" w:hAnsiTheme="minorHAnsi"/>
          <w:snapToGrid w:val="0"/>
        </w:rPr>
        <w:t>whom</w:t>
      </w:r>
      <w:r w:rsidR="008F78FC" w:rsidRPr="0098660A">
        <w:rPr>
          <w:rFonts w:asciiTheme="minorHAnsi" w:hAnsiTheme="minorHAnsi"/>
          <w:snapToGrid w:val="0"/>
        </w:rPr>
        <w:t xml:space="preserve"> </w:t>
      </w:r>
      <w:r w:rsidR="00B230B1" w:rsidRPr="0098660A">
        <w:rPr>
          <w:rFonts w:asciiTheme="minorHAnsi" w:hAnsiTheme="minorHAnsi"/>
          <w:snapToGrid w:val="0"/>
        </w:rPr>
        <w:t xml:space="preserve">regular </w:t>
      </w:r>
      <w:r w:rsidR="004E34E0" w:rsidRPr="0098660A">
        <w:rPr>
          <w:rFonts w:asciiTheme="minorHAnsi" w:hAnsiTheme="minorHAnsi"/>
          <w:snapToGrid w:val="0"/>
        </w:rPr>
        <w:t xml:space="preserve">treatment in a </w:t>
      </w:r>
      <w:r w:rsidR="008F78FC" w:rsidRPr="0098660A">
        <w:rPr>
          <w:rFonts w:asciiTheme="minorHAnsi" w:hAnsiTheme="minorHAnsi"/>
          <w:snapToGrid w:val="0"/>
        </w:rPr>
        <w:t xml:space="preserve">hospital </w:t>
      </w:r>
      <w:r w:rsidR="004E34E0" w:rsidRPr="0098660A">
        <w:rPr>
          <w:rFonts w:asciiTheme="minorHAnsi" w:hAnsiTheme="minorHAnsi"/>
          <w:snapToGrid w:val="0"/>
        </w:rPr>
        <w:t>setting</w:t>
      </w:r>
      <w:r w:rsidR="008F78FC" w:rsidRPr="0098660A">
        <w:rPr>
          <w:rFonts w:asciiTheme="minorHAnsi" w:hAnsiTheme="minorHAnsi"/>
          <w:snapToGrid w:val="0"/>
        </w:rPr>
        <w:t xml:space="preserve"> was difficult to </w:t>
      </w:r>
      <w:r w:rsidR="004169AE" w:rsidRPr="0098660A">
        <w:rPr>
          <w:rFonts w:asciiTheme="minorHAnsi" w:hAnsiTheme="minorHAnsi"/>
          <w:snapToGrid w:val="0"/>
        </w:rPr>
        <w:t>manage</w:t>
      </w:r>
      <w:r w:rsidR="00AE5238" w:rsidRPr="0098660A">
        <w:rPr>
          <w:rFonts w:asciiTheme="minorHAnsi" w:hAnsiTheme="minorHAnsi"/>
          <w:snapToGrid w:val="0"/>
        </w:rPr>
        <w:t>.</w:t>
      </w:r>
      <w:r w:rsidR="00D52442" w:rsidRPr="0098660A">
        <w:rPr>
          <w:rFonts w:asciiTheme="minorHAnsi" w:hAnsiTheme="minorHAnsi"/>
          <w:snapToGrid w:val="0"/>
        </w:rPr>
        <w:t xml:space="preserve"> </w:t>
      </w:r>
      <w:r w:rsidR="00452CD8" w:rsidRPr="0098660A">
        <w:rPr>
          <w:rFonts w:asciiTheme="minorHAnsi" w:hAnsiTheme="minorHAnsi"/>
          <w:bCs/>
          <w:snapToGrid w:val="0"/>
        </w:rPr>
        <w:t>The PBAC expected C5is would remain the most likely first-line option for patients going forward given the potential severe consequences of non-compliance with the twice-weekly subcutaneous infusion.</w:t>
      </w:r>
    </w:p>
    <w:p w14:paraId="79D09FDD" w14:textId="36023B5E" w:rsidR="008418EB" w:rsidRPr="0098660A" w:rsidRDefault="00A834CA" w:rsidP="000E2127">
      <w:pPr>
        <w:widowControl w:val="0"/>
        <w:numPr>
          <w:ilvl w:val="1"/>
          <w:numId w:val="1"/>
        </w:numPr>
        <w:spacing w:after="120"/>
        <w:rPr>
          <w:rFonts w:asciiTheme="minorHAnsi" w:hAnsiTheme="minorHAnsi"/>
          <w:snapToGrid w:val="0"/>
        </w:rPr>
      </w:pPr>
      <w:r w:rsidRPr="0098660A">
        <w:rPr>
          <w:rFonts w:asciiTheme="minorHAnsi" w:hAnsiTheme="minorHAnsi"/>
          <w:snapToGrid w:val="0"/>
        </w:rPr>
        <w:t xml:space="preserve">The PBAC </w:t>
      </w:r>
      <w:r w:rsidR="00175DB0" w:rsidRPr="0098660A">
        <w:rPr>
          <w:rFonts w:asciiTheme="minorHAnsi" w:hAnsiTheme="minorHAnsi"/>
          <w:snapToGrid w:val="0"/>
        </w:rPr>
        <w:t>considered the restriction</w:t>
      </w:r>
      <w:r w:rsidR="00201664" w:rsidRPr="0098660A">
        <w:rPr>
          <w:rFonts w:asciiTheme="minorHAnsi" w:hAnsiTheme="minorHAnsi"/>
          <w:snapToGrid w:val="0"/>
        </w:rPr>
        <w:t xml:space="preserve"> wording proposed by the Secretariat </w:t>
      </w:r>
      <w:r w:rsidR="006009AC" w:rsidRPr="0098660A">
        <w:rPr>
          <w:rFonts w:asciiTheme="minorHAnsi" w:hAnsiTheme="minorHAnsi"/>
          <w:snapToGrid w:val="0"/>
        </w:rPr>
        <w:t xml:space="preserve">for the extended </w:t>
      </w:r>
      <w:r w:rsidR="004D0B77" w:rsidRPr="0098660A">
        <w:rPr>
          <w:rFonts w:asciiTheme="minorHAnsi" w:hAnsiTheme="minorHAnsi"/>
          <w:snapToGrid w:val="0"/>
        </w:rPr>
        <w:t xml:space="preserve">PBS </w:t>
      </w:r>
      <w:r w:rsidR="00DD22D5" w:rsidRPr="0098660A">
        <w:rPr>
          <w:rFonts w:asciiTheme="minorHAnsi" w:hAnsiTheme="minorHAnsi"/>
          <w:snapToGrid w:val="0"/>
        </w:rPr>
        <w:t xml:space="preserve">listing </w:t>
      </w:r>
      <w:r w:rsidR="00201664" w:rsidRPr="0098660A">
        <w:rPr>
          <w:rFonts w:asciiTheme="minorHAnsi" w:hAnsiTheme="minorHAnsi"/>
          <w:snapToGrid w:val="0"/>
        </w:rPr>
        <w:t>was appropriate</w:t>
      </w:r>
      <w:r w:rsidR="00CF450F" w:rsidRPr="0098660A">
        <w:rPr>
          <w:rFonts w:asciiTheme="minorHAnsi" w:hAnsiTheme="minorHAnsi"/>
          <w:snapToGrid w:val="0"/>
        </w:rPr>
        <w:t>, with criteria for</w:t>
      </w:r>
      <w:r w:rsidR="006C3A0C" w:rsidRPr="0098660A">
        <w:rPr>
          <w:rFonts w:asciiTheme="minorHAnsi" w:hAnsiTheme="minorHAnsi"/>
          <w:snapToGrid w:val="0"/>
        </w:rPr>
        <w:t xml:space="preserve"> </w:t>
      </w:r>
      <w:r w:rsidR="002222D8" w:rsidRPr="0098660A">
        <w:rPr>
          <w:rFonts w:asciiTheme="minorHAnsi" w:hAnsiTheme="minorHAnsi"/>
          <w:snapToGrid w:val="0"/>
        </w:rPr>
        <w:t>‘</w:t>
      </w:r>
      <w:r w:rsidR="006C3A0C" w:rsidRPr="0098660A">
        <w:rPr>
          <w:rFonts w:asciiTheme="minorHAnsi" w:hAnsiTheme="minorHAnsi"/>
          <w:snapToGrid w:val="0"/>
        </w:rPr>
        <w:t>Initial 1</w:t>
      </w:r>
      <w:r w:rsidR="0039174C" w:rsidRPr="0098660A">
        <w:rPr>
          <w:rFonts w:asciiTheme="minorHAnsi" w:hAnsiTheme="minorHAnsi"/>
          <w:snapToGrid w:val="0"/>
        </w:rPr>
        <w:t>’</w:t>
      </w:r>
      <w:r w:rsidR="00201664" w:rsidRPr="0098660A">
        <w:rPr>
          <w:rFonts w:asciiTheme="minorHAnsi" w:hAnsiTheme="minorHAnsi"/>
          <w:snapToGrid w:val="0"/>
        </w:rPr>
        <w:t xml:space="preserve"> (complement inhibitor untreated patients)</w:t>
      </w:r>
      <w:r w:rsidR="00A075CD" w:rsidRPr="0098660A">
        <w:rPr>
          <w:rFonts w:asciiTheme="minorHAnsi" w:hAnsiTheme="minorHAnsi"/>
          <w:snapToGrid w:val="0"/>
        </w:rPr>
        <w:t xml:space="preserve"> </w:t>
      </w:r>
      <w:r w:rsidR="00B329DA" w:rsidRPr="0098660A">
        <w:rPr>
          <w:rFonts w:asciiTheme="minorHAnsi" w:hAnsiTheme="minorHAnsi"/>
          <w:snapToGrid w:val="0"/>
        </w:rPr>
        <w:t>aligned</w:t>
      </w:r>
      <w:r w:rsidR="00201664" w:rsidRPr="0098660A">
        <w:rPr>
          <w:rFonts w:asciiTheme="minorHAnsi" w:hAnsiTheme="minorHAnsi"/>
          <w:snapToGrid w:val="0"/>
        </w:rPr>
        <w:t xml:space="preserve"> with the C5i PBS listings for PNH, and ‘Initial 2</w:t>
      </w:r>
      <w:r w:rsidR="0039174C" w:rsidRPr="0098660A">
        <w:rPr>
          <w:rFonts w:asciiTheme="minorHAnsi" w:hAnsiTheme="minorHAnsi"/>
          <w:snapToGrid w:val="0"/>
        </w:rPr>
        <w:t>’</w:t>
      </w:r>
      <w:r w:rsidR="00201664" w:rsidRPr="0098660A">
        <w:rPr>
          <w:rFonts w:asciiTheme="minorHAnsi" w:hAnsiTheme="minorHAnsi"/>
          <w:snapToGrid w:val="0"/>
        </w:rPr>
        <w:t xml:space="preserve"> (complement inhibitor experienced</w:t>
      </w:r>
      <w:r w:rsidR="004B162E" w:rsidRPr="0098660A">
        <w:rPr>
          <w:rFonts w:asciiTheme="minorHAnsi" w:hAnsiTheme="minorHAnsi"/>
          <w:snapToGrid w:val="0"/>
        </w:rPr>
        <w:t xml:space="preserve"> patients</w:t>
      </w:r>
      <w:r w:rsidR="00201664" w:rsidRPr="0098660A">
        <w:rPr>
          <w:rFonts w:asciiTheme="minorHAnsi" w:hAnsiTheme="minorHAnsi"/>
          <w:snapToGrid w:val="0"/>
        </w:rPr>
        <w:t>)</w:t>
      </w:r>
      <w:r w:rsidR="00502723" w:rsidRPr="0098660A">
        <w:rPr>
          <w:rFonts w:asciiTheme="minorHAnsi" w:hAnsiTheme="minorHAnsi"/>
          <w:snapToGrid w:val="0"/>
        </w:rPr>
        <w:t xml:space="preserve"> </w:t>
      </w:r>
      <w:r w:rsidR="00581580" w:rsidRPr="0098660A">
        <w:rPr>
          <w:rFonts w:asciiTheme="minorHAnsi" w:hAnsiTheme="minorHAnsi"/>
          <w:snapToGrid w:val="0"/>
        </w:rPr>
        <w:t xml:space="preserve">criteria </w:t>
      </w:r>
      <w:r w:rsidR="00EF4ABB" w:rsidRPr="0098660A">
        <w:rPr>
          <w:rFonts w:asciiTheme="minorHAnsi" w:hAnsiTheme="minorHAnsi"/>
          <w:snapToGrid w:val="0"/>
        </w:rPr>
        <w:t>allowing</w:t>
      </w:r>
      <w:r w:rsidR="00502723" w:rsidRPr="0098660A">
        <w:rPr>
          <w:rFonts w:asciiTheme="minorHAnsi" w:hAnsiTheme="minorHAnsi"/>
          <w:snapToGrid w:val="0"/>
        </w:rPr>
        <w:t xml:space="preserve"> switching in first-line without</w:t>
      </w:r>
      <w:r w:rsidR="003626F5" w:rsidRPr="0098660A">
        <w:rPr>
          <w:rFonts w:asciiTheme="minorHAnsi" w:hAnsiTheme="minorHAnsi"/>
          <w:snapToGrid w:val="0"/>
        </w:rPr>
        <w:t xml:space="preserve"> </w:t>
      </w:r>
      <w:r w:rsidR="00B329DA" w:rsidRPr="0098660A">
        <w:rPr>
          <w:rFonts w:asciiTheme="minorHAnsi" w:hAnsiTheme="minorHAnsi"/>
          <w:snapToGrid w:val="0"/>
        </w:rPr>
        <w:t>requiring</w:t>
      </w:r>
      <w:r w:rsidR="00502723" w:rsidRPr="0098660A">
        <w:t xml:space="preserve"> Hb &lt;10</w:t>
      </w:r>
      <w:r w:rsidR="00A235F9" w:rsidRPr="0098660A">
        <w:t>5</w:t>
      </w:r>
      <w:r w:rsidR="00CF450F" w:rsidRPr="0098660A">
        <w:t xml:space="preserve"> </w:t>
      </w:r>
      <w:r w:rsidR="00502723" w:rsidRPr="0098660A">
        <w:t>g/L</w:t>
      </w:r>
      <w:r w:rsidR="003626F5" w:rsidRPr="0098660A">
        <w:t xml:space="preserve">, as </w:t>
      </w:r>
      <w:r w:rsidR="006009AC" w:rsidRPr="0098660A">
        <w:t xml:space="preserve">was currently </w:t>
      </w:r>
      <w:r w:rsidR="00EF4ABB" w:rsidRPr="0098660A">
        <w:t>specified in the</w:t>
      </w:r>
      <w:r w:rsidR="004D0B77" w:rsidRPr="0098660A">
        <w:t xml:space="preserve"> current</w:t>
      </w:r>
      <w:r w:rsidR="006009AC" w:rsidRPr="0098660A">
        <w:t xml:space="preserve"> second-line</w:t>
      </w:r>
      <w:r w:rsidR="004D0B77" w:rsidRPr="0098660A">
        <w:t xml:space="preserve"> </w:t>
      </w:r>
      <w:r w:rsidR="00C40209" w:rsidRPr="0098660A">
        <w:t>PBS listing</w:t>
      </w:r>
      <w:r w:rsidR="003626F5" w:rsidRPr="0098660A">
        <w:t>.</w:t>
      </w:r>
      <w:r w:rsidR="00E84E03" w:rsidRPr="0098660A">
        <w:t xml:space="preserve"> </w:t>
      </w:r>
    </w:p>
    <w:p w14:paraId="563D9BB0" w14:textId="30C221B4" w:rsidR="00F160A9" w:rsidRPr="0098660A" w:rsidRDefault="00E84E03" w:rsidP="000E2127">
      <w:pPr>
        <w:widowControl w:val="0"/>
        <w:numPr>
          <w:ilvl w:val="1"/>
          <w:numId w:val="1"/>
        </w:numPr>
        <w:spacing w:after="120"/>
        <w:rPr>
          <w:rFonts w:asciiTheme="minorHAnsi" w:hAnsiTheme="minorHAnsi"/>
          <w:snapToGrid w:val="0"/>
        </w:rPr>
      </w:pPr>
      <w:r w:rsidRPr="0098660A">
        <w:t xml:space="preserve">When switching from a C5i, for the first 4 weeks, pegcetacoplan </w:t>
      </w:r>
      <w:r w:rsidR="00C40209" w:rsidRPr="0098660A">
        <w:t>must</w:t>
      </w:r>
      <w:r w:rsidRPr="0098660A">
        <w:t xml:space="preserve"> be administered in combination with a C5i before commencing pegcetacoplan monotherapy thereafter</w:t>
      </w:r>
      <w:r w:rsidR="00A928B3" w:rsidRPr="0098660A">
        <w:t>. The PB</w:t>
      </w:r>
      <w:r w:rsidR="00DD22D5" w:rsidRPr="0098660A">
        <w:t>AC</w:t>
      </w:r>
      <w:r w:rsidR="00A928B3" w:rsidRPr="0098660A">
        <w:t xml:space="preserve"> considered it was appropriate to</w:t>
      </w:r>
      <w:r w:rsidR="003B6BF6" w:rsidRPr="0098660A">
        <w:t xml:space="preserve"> </w:t>
      </w:r>
      <w:r w:rsidR="00370F17" w:rsidRPr="0098660A">
        <w:rPr>
          <w:color w:val="000000" w:themeColor="text1"/>
        </w:rPr>
        <w:t xml:space="preserve">apply </w:t>
      </w:r>
      <w:r w:rsidR="00A928B3" w:rsidRPr="0098660A">
        <w:rPr>
          <w:color w:val="000000" w:themeColor="text1"/>
        </w:rPr>
        <w:t xml:space="preserve">the current </w:t>
      </w:r>
      <w:r w:rsidR="00910397" w:rsidRPr="00910397">
        <w:rPr>
          <w:color w:val="000000" w:themeColor="text1"/>
          <w:w w:val="62"/>
          <w:shd w:val="solid" w:color="000000" w:fill="000000"/>
          <w:fitText w:val="480" w:id="-663462654"/>
          <w14:textFill>
            <w14:solidFill>
              <w14:schemeClr w14:val="tx1">
                <w14:alpha w14:val="100000"/>
              </w14:schemeClr>
            </w14:solidFill>
          </w14:textFill>
        </w:rPr>
        <w:t>|||  ||</w:t>
      </w:r>
      <w:r w:rsidR="00910397" w:rsidRPr="00910397">
        <w:rPr>
          <w:color w:val="000000" w:themeColor="text1"/>
          <w:spacing w:val="2"/>
          <w:w w:val="62"/>
          <w:shd w:val="solid" w:color="000000" w:fill="000000"/>
          <w:fitText w:val="480" w:id="-663462654"/>
          <w14:textFill>
            <w14:solidFill>
              <w14:schemeClr w14:val="tx1">
                <w14:alpha w14:val="100000"/>
              </w14:schemeClr>
            </w14:solidFill>
          </w14:textFill>
        </w:rPr>
        <w:t>|</w:t>
      </w:r>
      <w:r w:rsidR="00A928B3" w:rsidRPr="0098660A">
        <w:rPr>
          <w:color w:val="000000" w:themeColor="text1"/>
        </w:rPr>
        <w:t>% rebate</w:t>
      </w:r>
      <w:r w:rsidR="00BA4D0D" w:rsidRPr="0098660A">
        <w:rPr>
          <w:color w:val="000000" w:themeColor="text1"/>
        </w:rPr>
        <w:t xml:space="preserve"> for </w:t>
      </w:r>
      <w:r w:rsidR="00910397" w:rsidRPr="00910397">
        <w:rPr>
          <w:color w:val="000000" w:themeColor="text1"/>
          <w:w w:val="62"/>
          <w:shd w:val="solid" w:color="000000" w:fill="000000"/>
          <w:fitText w:val="480" w:id="-663462653"/>
          <w14:textFill>
            <w14:solidFill>
              <w14:schemeClr w14:val="tx1">
                <w14:alpha w14:val="100000"/>
              </w14:schemeClr>
            </w14:solidFill>
          </w14:textFill>
        </w:rPr>
        <w:t>|||  ||</w:t>
      </w:r>
      <w:r w:rsidR="00910397" w:rsidRPr="00910397">
        <w:rPr>
          <w:color w:val="000000" w:themeColor="text1"/>
          <w:spacing w:val="2"/>
          <w:w w:val="62"/>
          <w:shd w:val="solid" w:color="000000" w:fill="000000"/>
          <w:fitText w:val="480" w:id="-663462653"/>
          <w14:textFill>
            <w14:solidFill>
              <w14:schemeClr w14:val="tx1">
                <w14:alpha w14:val="100000"/>
              </w14:schemeClr>
            </w14:solidFill>
          </w14:textFill>
        </w:rPr>
        <w:t>|</w:t>
      </w:r>
      <w:r w:rsidR="003A72D2" w:rsidRPr="003A72D2">
        <w:rPr>
          <w:color w:val="000000" w:themeColor="text1"/>
        </w:rPr>
        <w:t xml:space="preserve"> </w:t>
      </w:r>
      <w:r w:rsidR="00910397" w:rsidRPr="00910397">
        <w:rPr>
          <w:color w:val="000000" w:themeColor="text1"/>
          <w:w w:val="62"/>
          <w:shd w:val="solid" w:color="000000" w:fill="000000"/>
          <w:fitText w:val="480" w:id="-663462652"/>
          <w14:textFill>
            <w14:solidFill>
              <w14:schemeClr w14:val="tx1">
                <w14:alpha w14:val="100000"/>
              </w14:schemeClr>
            </w14:solidFill>
          </w14:textFill>
        </w:rPr>
        <w:t>|||  ||</w:t>
      </w:r>
      <w:r w:rsidR="00910397" w:rsidRPr="00910397">
        <w:rPr>
          <w:color w:val="000000" w:themeColor="text1"/>
          <w:spacing w:val="2"/>
          <w:w w:val="62"/>
          <w:shd w:val="solid" w:color="000000" w:fill="000000"/>
          <w:fitText w:val="480" w:id="-663462652"/>
          <w14:textFill>
            <w14:solidFill>
              <w14:schemeClr w14:val="tx1">
                <w14:alpha w14:val="100000"/>
              </w14:schemeClr>
            </w14:solidFill>
          </w14:textFill>
        </w:rPr>
        <w:t>|</w:t>
      </w:r>
      <w:r w:rsidR="003A72D2" w:rsidRPr="003A72D2">
        <w:rPr>
          <w:color w:val="000000" w:themeColor="text1"/>
        </w:rPr>
        <w:t xml:space="preserve"> </w:t>
      </w:r>
      <w:r w:rsidR="00910397" w:rsidRPr="00910397">
        <w:rPr>
          <w:color w:val="000000" w:themeColor="text1"/>
          <w:w w:val="60"/>
          <w:shd w:val="solid" w:color="000000" w:fill="000000"/>
          <w:fitText w:val="470" w:id="-663462651"/>
          <w14:textFill>
            <w14:solidFill>
              <w14:schemeClr w14:val="tx1">
                <w14:alpha w14:val="100000"/>
              </w14:schemeClr>
            </w14:solidFill>
          </w14:textFill>
        </w:rPr>
        <w:t>|||  ||</w:t>
      </w:r>
      <w:r w:rsidR="00910397" w:rsidRPr="00910397">
        <w:rPr>
          <w:color w:val="000000" w:themeColor="text1"/>
          <w:spacing w:val="6"/>
          <w:w w:val="60"/>
          <w:shd w:val="solid" w:color="000000" w:fill="000000"/>
          <w:fitText w:val="470" w:id="-663462651"/>
          <w14:textFill>
            <w14:solidFill>
              <w14:schemeClr w14:val="tx1">
                <w14:alpha w14:val="100000"/>
              </w14:schemeClr>
            </w14:solidFill>
          </w14:textFill>
        </w:rPr>
        <w:t>|</w:t>
      </w:r>
      <w:r w:rsidR="003A72D2" w:rsidRPr="003A72D2">
        <w:rPr>
          <w:color w:val="000000" w:themeColor="text1"/>
        </w:rPr>
        <w:t xml:space="preserve"> </w:t>
      </w:r>
      <w:r w:rsidR="00910397" w:rsidRPr="008E0BAA">
        <w:rPr>
          <w:color w:val="000000" w:themeColor="text1"/>
          <w:w w:val="60"/>
          <w:shd w:val="solid" w:color="000000" w:fill="000000"/>
          <w:fitText w:val="470" w:id="-663462650"/>
          <w14:textFill>
            <w14:solidFill>
              <w14:schemeClr w14:val="tx1">
                <w14:alpha w14:val="100000"/>
              </w14:schemeClr>
            </w14:solidFill>
          </w14:textFill>
        </w:rPr>
        <w:t>|||  ||</w:t>
      </w:r>
      <w:r w:rsidR="00910397" w:rsidRPr="008E0BAA">
        <w:rPr>
          <w:color w:val="000000" w:themeColor="text1"/>
          <w:spacing w:val="6"/>
          <w:w w:val="60"/>
          <w:shd w:val="solid" w:color="000000" w:fill="000000"/>
          <w:fitText w:val="470" w:id="-663462650"/>
          <w14:textFill>
            <w14:solidFill>
              <w14:schemeClr w14:val="tx1">
                <w14:alpha w14:val="100000"/>
              </w14:schemeClr>
            </w14:solidFill>
          </w14:textFill>
        </w:rPr>
        <w:t>|</w:t>
      </w:r>
      <w:r w:rsidR="00A928B3" w:rsidRPr="0098660A">
        <w:rPr>
          <w:color w:val="000000" w:themeColor="text1"/>
        </w:rPr>
        <w:t xml:space="preserve"> </w:t>
      </w:r>
      <w:r w:rsidR="00AE2E11" w:rsidRPr="0098660A">
        <w:rPr>
          <w:color w:val="000000" w:themeColor="text1"/>
        </w:rPr>
        <w:t>to</w:t>
      </w:r>
      <w:r w:rsidR="00A928B3" w:rsidRPr="0098660A">
        <w:rPr>
          <w:color w:val="000000" w:themeColor="text1"/>
        </w:rPr>
        <w:t xml:space="preserve"> the initiation of </w:t>
      </w:r>
      <w:r w:rsidR="00BA4D0D" w:rsidRPr="0098660A">
        <w:rPr>
          <w:color w:val="000000" w:themeColor="text1"/>
        </w:rPr>
        <w:t>pegcetacoplan</w:t>
      </w:r>
      <w:r w:rsidR="00A928B3" w:rsidRPr="0098660A">
        <w:rPr>
          <w:color w:val="000000" w:themeColor="text1"/>
        </w:rPr>
        <w:t xml:space="preserve"> in patients switching from a C5i as determined by their treating clinicians regardless of their response to the C5i </w:t>
      </w:r>
      <w:r w:rsidR="00A928B3" w:rsidRPr="0098660A">
        <w:rPr>
          <w:rFonts w:asciiTheme="minorHAnsi" w:hAnsiTheme="minorHAnsi"/>
          <w:snapToGrid w:val="0"/>
        </w:rPr>
        <w:t>therapy</w:t>
      </w:r>
      <w:r w:rsidR="00BA4D0D" w:rsidRPr="0098660A">
        <w:rPr>
          <w:rFonts w:asciiTheme="minorHAnsi" w:hAnsiTheme="minorHAnsi"/>
          <w:snapToGrid w:val="0"/>
        </w:rPr>
        <w:t>.</w:t>
      </w:r>
    </w:p>
    <w:p w14:paraId="2F033319" w14:textId="6085A0B9" w:rsidR="00BA7CBD" w:rsidRPr="0098660A" w:rsidRDefault="00BA7CBD" w:rsidP="00F160A9">
      <w:pPr>
        <w:widowControl w:val="0"/>
        <w:numPr>
          <w:ilvl w:val="1"/>
          <w:numId w:val="1"/>
        </w:numPr>
        <w:spacing w:after="120"/>
        <w:rPr>
          <w:rFonts w:asciiTheme="minorHAnsi" w:hAnsiTheme="minorHAnsi"/>
          <w:snapToGrid w:val="0"/>
        </w:rPr>
      </w:pPr>
      <w:r w:rsidRPr="0098660A">
        <w:rPr>
          <w:rFonts w:asciiTheme="minorHAnsi" w:hAnsiTheme="minorHAnsi"/>
          <w:snapToGrid w:val="0"/>
        </w:rPr>
        <w:lastRenderedPageBreak/>
        <w:t>The PBAC noted the request for grandfathering restriction</w:t>
      </w:r>
      <w:r w:rsidR="00973A94" w:rsidRPr="0098660A">
        <w:rPr>
          <w:rFonts w:asciiTheme="minorHAnsi" w:hAnsiTheme="minorHAnsi"/>
          <w:snapToGrid w:val="0"/>
        </w:rPr>
        <w:t>s</w:t>
      </w:r>
      <w:r w:rsidRPr="0098660A">
        <w:rPr>
          <w:rFonts w:asciiTheme="minorHAnsi" w:hAnsiTheme="minorHAnsi"/>
          <w:snapToGrid w:val="0"/>
        </w:rPr>
        <w:t xml:space="preserve"> in the pre-PBAC response (see paragraph </w:t>
      </w:r>
      <w:r w:rsidRPr="0098660A">
        <w:rPr>
          <w:rFonts w:asciiTheme="minorHAnsi" w:hAnsiTheme="minorHAnsi"/>
          <w:snapToGrid w:val="0"/>
        </w:rPr>
        <w:fldChar w:fldCharType="begin"/>
      </w:r>
      <w:r w:rsidRPr="0098660A">
        <w:rPr>
          <w:rFonts w:asciiTheme="minorHAnsi" w:hAnsiTheme="minorHAnsi"/>
          <w:snapToGrid w:val="0"/>
        </w:rPr>
        <w:instrText xml:space="preserve"> REF _Ref198032641 \r \h </w:instrText>
      </w:r>
      <w:r w:rsidR="00F160A9" w:rsidRPr="0098660A">
        <w:rPr>
          <w:rFonts w:asciiTheme="minorHAnsi" w:hAnsiTheme="minorHAnsi"/>
          <w:snapToGrid w:val="0"/>
        </w:rPr>
        <w:instrText xml:space="preserve"> \* MERGEFORMAT </w:instrText>
      </w:r>
      <w:r w:rsidRPr="0098660A">
        <w:rPr>
          <w:rFonts w:asciiTheme="minorHAnsi" w:hAnsiTheme="minorHAnsi"/>
          <w:snapToGrid w:val="0"/>
        </w:rPr>
      </w:r>
      <w:r w:rsidRPr="0098660A">
        <w:rPr>
          <w:rFonts w:asciiTheme="minorHAnsi" w:hAnsiTheme="minorHAnsi"/>
          <w:snapToGrid w:val="0"/>
        </w:rPr>
        <w:fldChar w:fldCharType="separate"/>
      </w:r>
      <w:r w:rsidR="00134128">
        <w:rPr>
          <w:rFonts w:asciiTheme="minorHAnsi" w:hAnsiTheme="minorHAnsi"/>
          <w:snapToGrid w:val="0"/>
        </w:rPr>
        <w:t>3.5</w:t>
      </w:r>
      <w:r w:rsidRPr="0098660A">
        <w:rPr>
          <w:rFonts w:asciiTheme="minorHAnsi" w:hAnsiTheme="minorHAnsi"/>
          <w:snapToGrid w:val="0"/>
        </w:rPr>
        <w:fldChar w:fldCharType="end"/>
      </w:r>
      <w:r w:rsidRPr="0098660A">
        <w:rPr>
          <w:rFonts w:asciiTheme="minorHAnsi" w:hAnsiTheme="minorHAnsi"/>
          <w:snapToGrid w:val="0"/>
        </w:rPr>
        <w:t xml:space="preserve">) and </w:t>
      </w:r>
      <w:r w:rsidR="00F160A9" w:rsidRPr="0098660A">
        <w:rPr>
          <w:rFonts w:asciiTheme="minorHAnsi" w:hAnsiTheme="minorHAnsi"/>
          <w:snapToGrid w:val="0"/>
        </w:rPr>
        <w:t>considered this was appropriate</w:t>
      </w:r>
      <w:r w:rsidR="00A2315D" w:rsidRPr="0098660A">
        <w:rPr>
          <w:rFonts w:asciiTheme="minorHAnsi" w:hAnsiTheme="minorHAnsi"/>
          <w:snapToGrid w:val="0"/>
        </w:rPr>
        <w:t xml:space="preserve"> and for 12 months from date of listing</w:t>
      </w:r>
      <w:r w:rsidR="00F160A9" w:rsidRPr="0098660A">
        <w:rPr>
          <w:rFonts w:asciiTheme="minorHAnsi" w:hAnsiTheme="minorHAnsi"/>
          <w:snapToGrid w:val="0"/>
        </w:rPr>
        <w:t>.</w:t>
      </w:r>
    </w:p>
    <w:p w14:paraId="1882A7C7" w14:textId="6821B8F2" w:rsidR="00F160A9" w:rsidRPr="0098660A" w:rsidRDefault="00F160A9" w:rsidP="000E2127">
      <w:pPr>
        <w:widowControl w:val="0"/>
        <w:numPr>
          <w:ilvl w:val="1"/>
          <w:numId w:val="1"/>
        </w:numPr>
        <w:spacing w:after="120"/>
        <w:rPr>
          <w:rFonts w:asciiTheme="minorHAnsi" w:hAnsiTheme="minorHAnsi"/>
          <w:snapToGrid w:val="0"/>
        </w:rPr>
      </w:pPr>
      <w:r w:rsidRPr="0098660A">
        <w:rPr>
          <w:rFonts w:asciiTheme="minorHAnsi" w:hAnsiTheme="minorHAnsi"/>
          <w:snapToGrid w:val="0"/>
        </w:rPr>
        <w:t xml:space="preserve">The PBAC advised </w:t>
      </w:r>
      <w:r w:rsidR="00615DDB" w:rsidRPr="0098660A">
        <w:rPr>
          <w:rFonts w:asciiTheme="minorHAnsi" w:hAnsiTheme="minorHAnsi"/>
          <w:snapToGrid w:val="0"/>
        </w:rPr>
        <w:t xml:space="preserve">there would </w:t>
      </w:r>
      <w:r w:rsidR="00F56A3A" w:rsidRPr="0098660A">
        <w:rPr>
          <w:rFonts w:asciiTheme="minorHAnsi" w:hAnsiTheme="minorHAnsi"/>
          <w:snapToGrid w:val="0"/>
        </w:rPr>
        <w:t xml:space="preserve">need to </w:t>
      </w:r>
      <w:r w:rsidR="00615DDB" w:rsidRPr="0098660A">
        <w:rPr>
          <w:rFonts w:asciiTheme="minorHAnsi" w:hAnsiTheme="minorHAnsi"/>
          <w:snapToGrid w:val="0"/>
        </w:rPr>
        <w:t xml:space="preserve">be flow-on </w:t>
      </w:r>
      <w:r w:rsidR="00F56A3A" w:rsidRPr="0098660A">
        <w:rPr>
          <w:rFonts w:asciiTheme="minorHAnsi" w:hAnsiTheme="minorHAnsi"/>
          <w:snapToGrid w:val="0"/>
        </w:rPr>
        <w:t>changes</w:t>
      </w:r>
      <w:r w:rsidR="00615DDB" w:rsidRPr="0098660A">
        <w:rPr>
          <w:rFonts w:asciiTheme="minorHAnsi" w:hAnsiTheme="minorHAnsi"/>
          <w:snapToGrid w:val="0"/>
        </w:rPr>
        <w:t xml:space="preserve"> to </w:t>
      </w:r>
      <w:r w:rsidR="00A64AB3" w:rsidRPr="0098660A">
        <w:rPr>
          <w:rFonts w:asciiTheme="minorHAnsi" w:hAnsiTheme="minorHAnsi"/>
          <w:snapToGrid w:val="0"/>
        </w:rPr>
        <w:t xml:space="preserve">PBS listings for </w:t>
      </w:r>
      <w:r w:rsidR="00615DDB" w:rsidRPr="0098660A">
        <w:rPr>
          <w:rFonts w:asciiTheme="minorHAnsi" w:hAnsiTheme="minorHAnsi"/>
          <w:snapToGrid w:val="0"/>
        </w:rPr>
        <w:t>C5i</w:t>
      </w:r>
      <w:r w:rsidR="00A64AB3" w:rsidRPr="0098660A">
        <w:rPr>
          <w:rFonts w:asciiTheme="minorHAnsi" w:hAnsiTheme="minorHAnsi"/>
          <w:snapToGrid w:val="0"/>
        </w:rPr>
        <w:t>s</w:t>
      </w:r>
      <w:r w:rsidR="00615DDB" w:rsidRPr="0098660A">
        <w:rPr>
          <w:rFonts w:asciiTheme="minorHAnsi" w:hAnsiTheme="minorHAnsi"/>
          <w:snapToGrid w:val="0"/>
        </w:rPr>
        <w:t xml:space="preserve"> (i.e. eculizumab and ravulizumab) </w:t>
      </w:r>
      <w:r w:rsidR="00A64AB3" w:rsidRPr="0098660A">
        <w:rPr>
          <w:rFonts w:asciiTheme="minorHAnsi" w:hAnsiTheme="minorHAnsi"/>
          <w:snapToGrid w:val="0"/>
        </w:rPr>
        <w:t xml:space="preserve">and to iptacopan recommended restrictions (when PBS listed as second-line) </w:t>
      </w:r>
      <w:r w:rsidR="00F56A3A" w:rsidRPr="0098660A">
        <w:rPr>
          <w:rFonts w:asciiTheme="minorHAnsi" w:hAnsiTheme="minorHAnsi"/>
          <w:snapToGrid w:val="0"/>
        </w:rPr>
        <w:t>to allow for switching between treatments</w:t>
      </w:r>
      <w:r w:rsidR="0091164F" w:rsidRPr="0098660A">
        <w:rPr>
          <w:rFonts w:asciiTheme="minorHAnsi" w:hAnsiTheme="minorHAnsi"/>
          <w:snapToGrid w:val="0"/>
        </w:rPr>
        <w:t xml:space="preserve"> upon intolerance</w:t>
      </w:r>
      <w:r w:rsidR="00A918DF" w:rsidRPr="0098660A">
        <w:rPr>
          <w:rFonts w:asciiTheme="minorHAnsi" w:hAnsiTheme="minorHAnsi"/>
          <w:snapToGrid w:val="0"/>
        </w:rPr>
        <w:t xml:space="preserve"> or </w:t>
      </w:r>
      <w:r w:rsidR="0091164F" w:rsidRPr="0098660A">
        <w:rPr>
          <w:rFonts w:asciiTheme="minorHAnsi" w:hAnsiTheme="minorHAnsi"/>
          <w:snapToGrid w:val="0"/>
        </w:rPr>
        <w:t>contraindication</w:t>
      </w:r>
      <w:r w:rsidR="00A918DF" w:rsidRPr="0098660A">
        <w:rPr>
          <w:rFonts w:asciiTheme="minorHAnsi" w:hAnsiTheme="minorHAnsi"/>
          <w:snapToGrid w:val="0"/>
        </w:rPr>
        <w:t>s</w:t>
      </w:r>
      <w:r w:rsidR="00615DDB" w:rsidRPr="0098660A">
        <w:rPr>
          <w:rFonts w:asciiTheme="minorHAnsi" w:hAnsiTheme="minorHAnsi"/>
          <w:snapToGrid w:val="0"/>
        </w:rPr>
        <w:t>.</w:t>
      </w:r>
      <w:r w:rsidR="00213AB7" w:rsidRPr="0098660A">
        <w:rPr>
          <w:rFonts w:asciiTheme="minorHAnsi" w:hAnsiTheme="minorHAnsi"/>
          <w:snapToGrid w:val="0"/>
        </w:rPr>
        <w:t xml:space="preserve"> The PBAC </w:t>
      </w:r>
      <w:r w:rsidR="00CA0B6F" w:rsidRPr="0098660A">
        <w:rPr>
          <w:rFonts w:asciiTheme="minorHAnsi" w:hAnsiTheme="minorHAnsi"/>
          <w:snapToGrid w:val="0"/>
        </w:rPr>
        <w:t xml:space="preserve">also </w:t>
      </w:r>
      <w:r w:rsidR="004B7DD2" w:rsidRPr="0098660A">
        <w:rPr>
          <w:rFonts w:asciiTheme="minorHAnsi" w:hAnsiTheme="minorHAnsi"/>
          <w:snapToGrid w:val="0"/>
        </w:rPr>
        <w:t xml:space="preserve">noted </w:t>
      </w:r>
      <w:r w:rsidR="00CB4072" w:rsidRPr="0098660A">
        <w:rPr>
          <w:rFonts w:asciiTheme="minorHAnsi" w:hAnsiTheme="minorHAnsi"/>
          <w:snapToGrid w:val="0"/>
        </w:rPr>
        <w:t xml:space="preserve">pregnancy as </w:t>
      </w:r>
      <w:r w:rsidR="000C0F95" w:rsidRPr="0098660A">
        <w:rPr>
          <w:rFonts w:asciiTheme="minorHAnsi" w:hAnsiTheme="minorHAnsi"/>
          <w:snapToGrid w:val="0"/>
        </w:rPr>
        <w:t xml:space="preserve">a reasonable cause for switching </w:t>
      </w:r>
      <w:r w:rsidR="00A91D95" w:rsidRPr="0098660A">
        <w:rPr>
          <w:rFonts w:asciiTheme="minorHAnsi" w:hAnsiTheme="minorHAnsi"/>
          <w:snapToGrid w:val="0"/>
        </w:rPr>
        <w:t xml:space="preserve">from pegcetacoplan </w:t>
      </w:r>
      <w:r w:rsidR="00AC6198" w:rsidRPr="0098660A">
        <w:rPr>
          <w:rFonts w:asciiTheme="minorHAnsi" w:hAnsiTheme="minorHAnsi"/>
          <w:snapToGrid w:val="0"/>
        </w:rPr>
        <w:t xml:space="preserve">to eculizumab </w:t>
      </w:r>
      <w:r w:rsidR="00C4605F" w:rsidRPr="0098660A">
        <w:rPr>
          <w:rFonts w:asciiTheme="minorHAnsi" w:hAnsiTheme="minorHAnsi"/>
          <w:snapToGrid w:val="0"/>
        </w:rPr>
        <w:t xml:space="preserve">but </w:t>
      </w:r>
      <w:r w:rsidR="00106EC2" w:rsidRPr="0098660A">
        <w:rPr>
          <w:rFonts w:asciiTheme="minorHAnsi" w:hAnsiTheme="minorHAnsi"/>
          <w:snapToGrid w:val="0"/>
        </w:rPr>
        <w:t>considered that flow-on changes would not be required given that</w:t>
      </w:r>
      <w:r w:rsidR="00C4605F" w:rsidRPr="0098660A">
        <w:rPr>
          <w:rFonts w:asciiTheme="minorHAnsi" w:hAnsiTheme="minorHAnsi"/>
          <w:snapToGrid w:val="0"/>
        </w:rPr>
        <w:t xml:space="preserve"> the current restrictions allow access. </w:t>
      </w:r>
    </w:p>
    <w:p w14:paraId="2BF5140E" w14:textId="4E9D258C" w:rsidR="00EC7C47" w:rsidRPr="0098660A" w:rsidRDefault="003E31DE" w:rsidP="003E31DE">
      <w:pPr>
        <w:widowControl w:val="0"/>
        <w:numPr>
          <w:ilvl w:val="1"/>
          <w:numId w:val="1"/>
        </w:numPr>
        <w:spacing w:after="120"/>
        <w:rPr>
          <w:rFonts w:asciiTheme="minorHAnsi" w:hAnsiTheme="minorHAnsi"/>
          <w:snapToGrid w:val="0"/>
        </w:rPr>
      </w:pPr>
      <w:r w:rsidRPr="0098660A">
        <w:rPr>
          <w:rFonts w:asciiTheme="minorHAnsi" w:hAnsiTheme="minorHAnsi"/>
          <w:snapToGrid w:val="0"/>
        </w:rPr>
        <w:t>The PBAC accepted</w:t>
      </w:r>
      <w:r w:rsidR="00301067" w:rsidRPr="0098660A">
        <w:rPr>
          <w:rFonts w:asciiTheme="minorHAnsi" w:hAnsiTheme="minorHAnsi"/>
          <w:snapToGrid w:val="0"/>
        </w:rPr>
        <w:t xml:space="preserve"> </w:t>
      </w:r>
      <w:r w:rsidR="00301067" w:rsidRPr="0098660A">
        <w:t xml:space="preserve">ravulizumab </w:t>
      </w:r>
      <w:r w:rsidR="005008B2" w:rsidRPr="0098660A">
        <w:t>w</w:t>
      </w:r>
      <w:r w:rsidR="00301067" w:rsidRPr="0098660A">
        <w:t>as the appropriate comparator.</w:t>
      </w:r>
      <w:r w:rsidRPr="0098660A">
        <w:rPr>
          <w:rFonts w:asciiTheme="minorHAnsi" w:hAnsiTheme="minorHAnsi"/>
          <w:snapToGrid w:val="0"/>
        </w:rPr>
        <w:t xml:space="preserve"> </w:t>
      </w:r>
      <w:r w:rsidR="008F5425" w:rsidRPr="0098660A">
        <w:rPr>
          <w:rFonts w:asciiTheme="minorHAnsi" w:hAnsiTheme="minorHAnsi"/>
          <w:snapToGrid w:val="0"/>
        </w:rPr>
        <w:t>It was noted the PBAC</w:t>
      </w:r>
      <w:r w:rsidR="00BB072C" w:rsidRPr="0098660A">
        <w:rPr>
          <w:rFonts w:asciiTheme="minorHAnsi" w:hAnsiTheme="minorHAnsi"/>
          <w:snapToGrid w:val="0"/>
        </w:rPr>
        <w:t xml:space="preserve"> had previously </w:t>
      </w:r>
      <w:r w:rsidR="00BB072C" w:rsidRPr="0098660A">
        <w:t xml:space="preserve">considered ravulizumab would be the C5i most likely to be replaced in clinical practice and hence the appropriate base case comparator for any future cost-minimisation analysis (see paragraph </w:t>
      </w:r>
      <w:r w:rsidR="00BB072C" w:rsidRPr="0098660A">
        <w:fldChar w:fldCharType="begin"/>
      </w:r>
      <w:r w:rsidR="00BB072C" w:rsidRPr="0098660A">
        <w:instrText xml:space="preserve"> REF _Ref198196423 \r \h </w:instrText>
      </w:r>
      <w:r w:rsidR="00BB072C" w:rsidRPr="0098660A">
        <w:fldChar w:fldCharType="separate"/>
      </w:r>
      <w:r w:rsidR="00134128">
        <w:t>5.1</w:t>
      </w:r>
      <w:r w:rsidR="00BB072C" w:rsidRPr="0098660A">
        <w:fldChar w:fldCharType="end"/>
      </w:r>
      <w:r w:rsidR="00BB072C" w:rsidRPr="0098660A">
        <w:t>).</w:t>
      </w:r>
    </w:p>
    <w:p w14:paraId="32CA945A" w14:textId="6D91CA4A" w:rsidR="00AA58E6" w:rsidRPr="0098660A" w:rsidRDefault="00AA58E6" w:rsidP="00EC7C47">
      <w:pPr>
        <w:widowControl w:val="0"/>
        <w:numPr>
          <w:ilvl w:val="1"/>
          <w:numId w:val="1"/>
        </w:numPr>
        <w:spacing w:after="120"/>
        <w:rPr>
          <w:rFonts w:asciiTheme="minorHAnsi" w:hAnsiTheme="minorHAnsi"/>
          <w:snapToGrid w:val="0"/>
        </w:rPr>
      </w:pPr>
      <w:r w:rsidRPr="0098660A">
        <w:rPr>
          <w:rFonts w:asciiTheme="minorHAnsi" w:hAnsiTheme="minorHAnsi"/>
          <w:snapToGrid w:val="0"/>
        </w:rPr>
        <w:t xml:space="preserve">The PBAC noted the </w:t>
      </w:r>
      <w:r w:rsidR="007D561A" w:rsidRPr="0098660A">
        <w:rPr>
          <w:rFonts w:asciiTheme="minorHAnsi" w:hAnsiTheme="minorHAnsi"/>
          <w:snapToGrid w:val="0"/>
        </w:rPr>
        <w:t xml:space="preserve">comparison between pegcetacoplan and ravulizumab </w:t>
      </w:r>
      <w:r w:rsidRPr="0098660A">
        <w:rPr>
          <w:rFonts w:asciiTheme="minorHAnsi" w:hAnsiTheme="minorHAnsi"/>
          <w:snapToGrid w:val="0"/>
        </w:rPr>
        <w:t xml:space="preserve">was </w:t>
      </w:r>
      <w:r w:rsidR="00CC1315" w:rsidRPr="0098660A">
        <w:rPr>
          <w:rFonts w:asciiTheme="minorHAnsi" w:hAnsiTheme="minorHAnsi"/>
          <w:snapToGrid w:val="0"/>
        </w:rPr>
        <w:t xml:space="preserve">based on </w:t>
      </w:r>
      <w:r w:rsidR="00DF6360" w:rsidRPr="0098660A">
        <w:rPr>
          <w:rFonts w:asciiTheme="minorHAnsi" w:hAnsiTheme="minorHAnsi"/>
          <w:snapToGrid w:val="0"/>
        </w:rPr>
        <w:t xml:space="preserve">an </w:t>
      </w:r>
      <w:r w:rsidR="00DF6360" w:rsidRPr="0098660A">
        <w:t>unanchored matching-adjusted indirect comparison (MAIC)</w:t>
      </w:r>
      <w:r w:rsidR="00872DAD" w:rsidRPr="0098660A">
        <w:t xml:space="preserve"> between one randomised controlled trial (RCT) which compared pegcetacoplan to best supportive care (BSC) in treatment naïve PNH patients (PRINCE), and one RCT comparing ravulizumab to eculizumab in treatment naïve patients (ALXN1210-301),</w:t>
      </w:r>
      <w:r w:rsidR="0022721F" w:rsidRPr="0098660A">
        <w:t xml:space="preserve"> The safety of pegcetacoplan and ravulizumab w</w:t>
      </w:r>
      <w:r w:rsidR="008C5140" w:rsidRPr="0098660A">
        <w:t>as</w:t>
      </w:r>
      <w:r w:rsidR="0022721F" w:rsidRPr="0098660A">
        <w:t xml:space="preserve"> compared without any adjustments</w:t>
      </w:r>
      <w:r w:rsidR="008C5140" w:rsidRPr="0098660A">
        <w:t>.</w:t>
      </w:r>
    </w:p>
    <w:p w14:paraId="50B0EF1C" w14:textId="1752455A" w:rsidR="00EC1759" w:rsidRPr="0098660A" w:rsidRDefault="0090050F" w:rsidP="000E2127">
      <w:pPr>
        <w:widowControl w:val="0"/>
        <w:numPr>
          <w:ilvl w:val="1"/>
          <w:numId w:val="1"/>
        </w:numPr>
        <w:spacing w:after="120"/>
        <w:rPr>
          <w:snapToGrid w:val="0"/>
        </w:rPr>
      </w:pPr>
      <w:bookmarkStart w:id="99" w:name="_Ref198201123"/>
      <w:r w:rsidRPr="0098660A">
        <w:rPr>
          <w:snapToGrid w:val="0"/>
        </w:rPr>
        <w:t>The PBAC noted the</w:t>
      </w:r>
      <w:r w:rsidR="00DA4476" w:rsidRPr="0098660A">
        <w:rPr>
          <w:snapToGrid w:val="0"/>
        </w:rPr>
        <w:t xml:space="preserve"> outcomes of</w:t>
      </w:r>
      <w:r w:rsidR="00B7633C" w:rsidRPr="0098660A">
        <w:rPr>
          <w:snapToGrid w:val="0"/>
        </w:rPr>
        <w:t xml:space="preserve"> comparative effectiveness </w:t>
      </w:r>
      <w:r w:rsidR="00E6219F" w:rsidRPr="0098660A">
        <w:rPr>
          <w:snapToGrid w:val="0"/>
        </w:rPr>
        <w:t xml:space="preserve">from the MAIC </w:t>
      </w:r>
      <w:r w:rsidR="00EC1759" w:rsidRPr="0098660A">
        <w:rPr>
          <w:snapToGrid w:val="0"/>
        </w:rPr>
        <w:t xml:space="preserve">in terms of change in </w:t>
      </w:r>
      <w:r w:rsidR="001A35EA" w:rsidRPr="0098660A">
        <w:rPr>
          <w:snapToGrid w:val="0"/>
        </w:rPr>
        <w:t>lactate dehydrogenase (</w:t>
      </w:r>
      <w:r w:rsidR="00EC1759" w:rsidRPr="0098660A">
        <w:rPr>
          <w:snapToGrid w:val="0"/>
        </w:rPr>
        <w:t>LDH</w:t>
      </w:r>
      <w:r w:rsidR="001A35EA" w:rsidRPr="0098660A">
        <w:rPr>
          <w:snapToGrid w:val="0"/>
        </w:rPr>
        <w:t>)</w:t>
      </w:r>
      <w:r w:rsidR="00EC1759" w:rsidRPr="0098660A">
        <w:rPr>
          <w:snapToGrid w:val="0"/>
        </w:rPr>
        <w:t xml:space="preserve"> level from baseline, LDH normalisation, haemoglobin stabilisation, and transfusion avoidance</w:t>
      </w:r>
      <w:r w:rsidR="00E6219F" w:rsidRPr="0098660A">
        <w:rPr>
          <w:snapToGrid w:val="0"/>
        </w:rPr>
        <w:t>,</w:t>
      </w:r>
      <w:r w:rsidR="00EC1759" w:rsidRPr="0098660A">
        <w:rPr>
          <w:snapToGrid w:val="0"/>
        </w:rPr>
        <w:t xml:space="preserve"> numerically favoured </w:t>
      </w:r>
      <w:proofErr w:type="spellStart"/>
      <w:r w:rsidR="00EC1759" w:rsidRPr="0098660A">
        <w:rPr>
          <w:snapToGrid w:val="0"/>
        </w:rPr>
        <w:t>pegcetacoplan</w:t>
      </w:r>
      <w:proofErr w:type="spellEnd"/>
      <w:r w:rsidR="00DA4476" w:rsidRPr="0098660A">
        <w:rPr>
          <w:snapToGrid w:val="0"/>
        </w:rPr>
        <w:t xml:space="preserve"> (see </w:t>
      </w:r>
      <w:r w:rsidR="00C05911" w:rsidRPr="0098660A">
        <w:rPr>
          <w:snapToGrid w:val="0"/>
        </w:rPr>
        <w:fldChar w:fldCharType="begin"/>
      </w:r>
      <w:r w:rsidR="00C05911" w:rsidRPr="0098660A">
        <w:rPr>
          <w:snapToGrid w:val="0"/>
        </w:rPr>
        <w:instrText xml:space="preserve"> REF _Ref189935438 \h </w:instrText>
      </w:r>
      <w:r w:rsidR="00C05911" w:rsidRPr="0098660A">
        <w:rPr>
          <w:snapToGrid w:val="0"/>
        </w:rPr>
      </w:r>
      <w:r w:rsidR="00C05911" w:rsidRPr="0098660A">
        <w:rPr>
          <w:snapToGrid w:val="0"/>
        </w:rPr>
        <w:fldChar w:fldCharType="separate"/>
      </w:r>
      <w:r w:rsidR="00134128" w:rsidRPr="0098660A">
        <w:t xml:space="preserve">Table </w:t>
      </w:r>
      <w:r w:rsidR="00134128">
        <w:rPr>
          <w:noProof/>
        </w:rPr>
        <w:t>5</w:t>
      </w:r>
      <w:r w:rsidR="00C05911" w:rsidRPr="0098660A">
        <w:rPr>
          <w:snapToGrid w:val="0"/>
        </w:rPr>
        <w:fldChar w:fldCharType="end"/>
      </w:r>
      <w:r w:rsidR="00C05911" w:rsidRPr="0098660A">
        <w:rPr>
          <w:snapToGrid w:val="0"/>
        </w:rPr>
        <w:t>)</w:t>
      </w:r>
      <w:r w:rsidR="00EC1759" w:rsidRPr="0098660A">
        <w:rPr>
          <w:snapToGrid w:val="0"/>
        </w:rPr>
        <w:t xml:space="preserve">. </w:t>
      </w:r>
      <w:r w:rsidR="004614F0" w:rsidRPr="0098660A">
        <w:rPr>
          <w:snapToGrid w:val="0"/>
        </w:rPr>
        <w:t xml:space="preserve">The PBAC </w:t>
      </w:r>
      <w:r w:rsidR="00E6219F" w:rsidRPr="0098660A">
        <w:rPr>
          <w:snapToGrid w:val="0"/>
        </w:rPr>
        <w:t>not</w:t>
      </w:r>
      <w:r w:rsidR="004614F0" w:rsidRPr="0098660A">
        <w:rPr>
          <w:snapToGrid w:val="0"/>
        </w:rPr>
        <w:t>ed the h</w:t>
      </w:r>
      <w:r w:rsidR="00EC1759" w:rsidRPr="0098660A">
        <w:rPr>
          <w:snapToGrid w:val="0"/>
        </w:rPr>
        <w:t>eterogeneity and transitivity assumptions affect</w:t>
      </w:r>
      <w:r w:rsidR="00E6219F" w:rsidRPr="0098660A">
        <w:rPr>
          <w:snapToGrid w:val="0"/>
        </w:rPr>
        <w:t>ed</w:t>
      </w:r>
      <w:r w:rsidR="00EC1759" w:rsidRPr="0098660A">
        <w:rPr>
          <w:snapToGrid w:val="0"/>
        </w:rPr>
        <w:t xml:space="preserve"> the ability to assess the clinical claim of </w:t>
      </w:r>
      <w:r w:rsidR="004614F0" w:rsidRPr="0098660A">
        <w:rPr>
          <w:snapToGrid w:val="0"/>
        </w:rPr>
        <w:t>non-</w:t>
      </w:r>
      <w:r w:rsidR="00B76A89" w:rsidRPr="0098660A">
        <w:rPr>
          <w:snapToGrid w:val="0"/>
        </w:rPr>
        <w:t>inferior</w:t>
      </w:r>
      <w:r w:rsidR="004614F0" w:rsidRPr="0098660A">
        <w:rPr>
          <w:snapToGrid w:val="0"/>
        </w:rPr>
        <w:t xml:space="preserve"> </w:t>
      </w:r>
      <w:r w:rsidR="00B76A89" w:rsidRPr="0098660A">
        <w:rPr>
          <w:snapToGrid w:val="0"/>
        </w:rPr>
        <w:t xml:space="preserve">comparative effectiveness based on the MAIC (see paragraphs </w:t>
      </w:r>
      <w:r w:rsidR="00B76A89" w:rsidRPr="0098660A">
        <w:rPr>
          <w:snapToGrid w:val="0"/>
        </w:rPr>
        <w:fldChar w:fldCharType="begin"/>
      </w:r>
      <w:r w:rsidR="00B76A89" w:rsidRPr="0098660A">
        <w:rPr>
          <w:snapToGrid w:val="0"/>
        </w:rPr>
        <w:instrText xml:space="preserve"> REF _Ref191394125 \r \h </w:instrText>
      </w:r>
      <w:r w:rsidR="00B76A89" w:rsidRPr="0098660A">
        <w:rPr>
          <w:snapToGrid w:val="0"/>
        </w:rPr>
      </w:r>
      <w:r w:rsidR="00B76A89" w:rsidRPr="0098660A">
        <w:rPr>
          <w:snapToGrid w:val="0"/>
        </w:rPr>
        <w:fldChar w:fldCharType="separate"/>
      </w:r>
      <w:r w:rsidR="00134128">
        <w:rPr>
          <w:snapToGrid w:val="0"/>
        </w:rPr>
        <w:t>6.8</w:t>
      </w:r>
      <w:r w:rsidR="00B76A89" w:rsidRPr="0098660A">
        <w:rPr>
          <w:snapToGrid w:val="0"/>
        </w:rPr>
        <w:fldChar w:fldCharType="end"/>
      </w:r>
      <w:r w:rsidR="00B76A89" w:rsidRPr="0098660A">
        <w:rPr>
          <w:snapToGrid w:val="0"/>
        </w:rPr>
        <w:t xml:space="preserve"> to </w:t>
      </w:r>
      <w:r w:rsidR="00B76A89" w:rsidRPr="0098660A">
        <w:rPr>
          <w:snapToGrid w:val="0"/>
        </w:rPr>
        <w:fldChar w:fldCharType="begin"/>
      </w:r>
      <w:r w:rsidR="00B76A89" w:rsidRPr="0098660A">
        <w:rPr>
          <w:snapToGrid w:val="0"/>
        </w:rPr>
        <w:instrText xml:space="preserve"> REF _Ref191394127 \r \h </w:instrText>
      </w:r>
      <w:r w:rsidR="00B76A89" w:rsidRPr="0098660A">
        <w:rPr>
          <w:snapToGrid w:val="0"/>
        </w:rPr>
      </w:r>
      <w:r w:rsidR="00B76A89" w:rsidRPr="0098660A">
        <w:rPr>
          <w:snapToGrid w:val="0"/>
        </w:rPr>
        <w:fldChar w:fldCharType="separate"/>
      </w:r>
      <w:r w:rsidR="00134128">
        <w:rPr>
          <w:snapToGrid w:val="0"/>
        </w:rPr>
        <w:t>6.11</w:t>
      </w:r>
      <w:r w:rsidR="00B76A89" w:rsidRPr="0098660A">
        <w:rPr>
          <w:snapToGrid w:val="0"/>
        </w:rPr>
        <w:fldChar w:fldCharType="end"/>
      </w:r>
      <w:r w:rsidR="00B76A89" w:rsidRPr="0098660A">
        <w:rPr>
          <w:snapToGrid w:val="0"/>
        </w:rPr>
        <w:t>), however, the PBAC agreed with the ESC that p</w:t>
      </w:r>
      <w:r w:rsidR="00EC1759" w:rsidRPr="0098660A">
        <w:rPr>
          <w:snapToGrid w:val="0"/>
        </w:rPr>
        <w:t xml:space="preserve">egcetacoplan </w:t>
      </w:r>
      <w:r w:rsidR="00B76A89" w:rsidRPr="0098660A">
        <w:rPr>
          <w:snapToGrid w:val="0"/>
        </w:rPr>
        <w:t>wa</w:t>
      </w:r>
      <w:r w:rsidR="00EC1759" w:rsidRPr="0098660A">
        <w:rPr>
          <w:snapToGrid w:val="0"/>
        </w:rPr>
        <w:t>s likely non</w:t>
      </w:r>
      <w:r w:rsidR="008C5140" w:rsidRPr="0098660A">
        <w:rPr>
          <w:snapToGrid w:val="0"/>
        </w:rPr>
        <w:t>-</w:t>
      </w:r>
      <w:r w:rsidR="00EC1759" w:rsidRPr="0098660A">
        <w:rPr>
          <w:snapToGrid w:val="0"/>
        </w:rPr>
        <w:t xml:space="preserve">inferior to ravulizumab </w:t>
      </w:r>
      <w:r w:rsidR="00BA38EF" w:rsidRPr="0098660A">
        <w:rPr>
          <w:snapToGrid w:val="0"/>
        </w:rPr>
        <w:t xml:space="preserve">based on this short-term data, </w:t>
      </w:r>
      <w:r w:rsidR="00E7375A" w:rsidRPr="0098660A">
        <w:rPr>
          <w:snapToGrid w:val="0"/>
        </w:rPr>
        <w:t>despite</w:t>
      </w:r>
      <w:r w:rsidR="00EC1759" w:rsidRPr="0098660A">
        <w:rPr>
          <w:snapToGrid w:val="0"/>
        </w:rPr>
        <w:t xml:space="preserve"> some</w:t>
      </w:r>
      <w:r w:rsidR="00B76A89" w:rsidRPr="0098660A">
        <w:rPr>
          <w:snapToGrid w:val="0"/>
        </w:rPr>
        <w:t xml:space="preserve"> moderate</w:t>
      </w:r>
      <w:r w:rsidR="00EC1759" w:rsidRPr="0098660A">
        <w:rPr>
          <w:snapToGrid w:val="0"/>
        </w:rPr>
        <w:t xml:space="preserve"> uncertainty</w:t>
      </w:r>
      <w:r w:rsidR="00B76A89" w:rsidRPr="0098660A">
        <w:rPr>
          <w:snapToGrid w:val="0"/>
        </w:rPr>
        <w:t xml:space="preserve">. The PBAC noted </w:t>
      </w:r>
      <w:r w:rsidR="002318F2" w:rsidRPr="0098660A">
        <w:rPr>
          <w:snapToGrid w:val="0"/>
        </w:rPr>
        <w:t xml:space="preserve">there was no </w:t>
      </w:r>
      <w:r w:rsidR="00386C13" w:rsidRPr="0098660A">
        <w:rPr>
          <w:snapToGrid w:val="0"/>
        </w:rPr>
        <w:t xml:space="preserve">data on </w:t>
      </w:r>
      <w:r w:rsidR="00B76A89" w:rsidRPr="0098660A">
        <w:rPr>
          <w:snapToGrid w:val="0"/>
        </w:rPr>
        <w:t>l</w:t>
      </w:r>
      <w:r w:rsidR="00EC1759" w:rsidRPr="0098660A">
        <w:rPr>
          <w:snapToGrid w:val="0"/>
        </w:rPr>
        <w:t>ong</w:t>
      </w:r>
      <w:r w:rsidR="00C174F4" w:rsidRPr="0098660A">
        <w:rPr>
          <w:snapToGrid w:val="0"/>
        </w:rPr>
        <w:t>-</w:t>
      </w:r>
      <w:r w:rsidR="00EC1759" w:rsidRPr="0098660A">
        <w:rPr>
          <w:snapToGrid w:val="0"/>
        </w:rPr>
        <w:t xml:space="preserve">term efficacy with pegcetacoplan but </w:t>
      </w:r>
      <w:r w:rsidR="002318F2" w:rsidRPr="0098660A">
        <w:rPr>
          <w:snapToGrid w:val="0"/>
        </w:rPr>
        <w:t xml:space="preserve">that </w:t>
      </w:r>
      <w:r w:rsidR="00F32ACD" w:rsidRPr="0098660A">
        <w:rPr>
          <w:snapToGrid w:val="0"/>
        </w:rPr>
        <w:t>it had previously accepted</w:t>
      </w:r>
      <w:r w:rsidR="00B1648A" w:rsidRPr="0098660A">
        <w:rPr>
          <w:snapToGrid w:val="0"/>
        </w:rPr>
        <w:t xml:space="preserve"> </w:t>
      </w:r>
      <w:r w:rsidR="00E7375A" w:rsidRPr="0098660A">
        <w:rPr>
          <w:snapToGrid w:val="0"/>
        </w:rPr>
        <w:t xml:space="preserve">non-inferiority to </w:t>
      </w:r>
      <w:r w:rsidR="00A62F5A" w:rsidRPr="0098660A">
        <w:rPr>
          <w:snapToGrid w:val="0"/>
        </w:rPr>
        <w:t>C5i</w:t>
      </w:r>
      <w:r w:rsidR="008F5425" w:rsidRPr="0098660A">
        <w:rPr>
          <w:snapToGrid w:val="0"/>
        </w:rPr>
        <w:t>s</w:t>
      </w:r>
      <w:r w:rsidR="00A62F5A" w:rsidRPr="0098660A">
        <w:rPr>
          <w:snapToGrid w:val="0"/>
        </w:rPr>
        <w:t xml:space="preserve"> based on </w:t>
      </w:r>
      <w:r w:rsidR="00C9372A" w:rsidRPr="0098660A">
        <w:rPr>
          <w:snapToGrid w:val="0"/>
        </w:rPr>
        <w:t xml:space="preserve">evidence of </w:t>
      </w:r>
      <w:r w:rsidR="00B1648A" w:rsidRPr="0098660A">
        <w:rPr>
          <w:snapToGrid w:val="0"/>
        </w:rPr>
        <w:t xml:space="preserve">ongoing stable long-term responses </w:t>
      </w:r>
      <w:r w:rsidR="00EC1759" w:rsidRPr="0098660A">
        <w:rPr>
          <w:snapToGrid w:val="0"/>
        </w:rPr>
        <w:t xml:space="preserve">available for </w:t>
      </w:r>
      <w:r w:rsidR="00C9372A" w:rsidRPr="0098660A">
        <w:rPr>
          <w:snapToGrid w:val="0"/>
        </w:rPr>
        <w:t>eculizumab (</w:t>
      </w:r>
      <w:r w:rsidR="00BA3382" w:rsidRPr="0098660A">
        <w:rPr>
          <w:rFonts w:eastAsia="Calibri"/>
        </w:rPr>
        <w:t xml:space="preserve">see paragraph </w:t>
      </w:r>
      <w:r w:rsidR="00BA3382" w:rsidRPr="0098660A">
        <w:rPr>
          <w:rFonts w:eastAsia="Calibri"/>
        </w:rPr>
        <w:fldChar w:fldCharType="begin"/>
      </w:r>
      <w:r w:rsidR="00BA3382" w:rsidRPr="0098660A">
        <w:rPr>
          <w:rFonts w:eastAsia="Calibri"/>
        </w:rPr>
        <w:instrText xml:space="preserve"> REF _Ref198040362 \r \h </w:instrText>
      </w:r>
      <w:r w:rsidR="00BA3382" w:rsidRPr="0098660A">
        <w:rPr>
          <w:rFonts w:eastAsia="Calibri"/>
        </w:rPr>
      </w:r>
      <w:r w:rsidR="00BA3382" w:rsidRPr="0098660A">
        <w:rPr>
          <w:rFonts w:eastAsia="Calibri"/>
        </w:rPr>
        <w:fldChar w:fldCharType="separate"/>
      </w:r>
      <w:r w:rsidR="00134128">
        <w:rPr>
          <w:rFonts w:eastAsia="Calibri"/>
        </w:rPr>
        <w:t>6.28</w:t>
      </w:r>
      <w:r w:rsidR="00BA3382" w:rsidRPr="0098660A">
        <w:rPr>
          <w:rFonts w:eastAsia="Calibri"/>
        </w:rPr>
        <w:fldChar w:fldCharType="end"/>
      </w:r>
      <w:r w:rsidR="00BA3382" w:rsidRPr="0098660A">
        <w:rPr>
          <w:rFonts w:eastAsia="Calibri"/>
        </w:rPr>
        <w:t xml:space="preserve"> and </w:t>
      </w:r>
      <w:r w:rsidR="00BA3382" w:rsidRPr="0098660A">
        <w:rPr>
          <w:rFonts w:eastAsia="Calibri"/>
        </w:rPr>
        <w:fldChar w:fldCharType="begin"/>
      </w:r>
      <w:r w:rsidR="00BA3382" w:rsidRPr="0098660A">
        <w:rPr>
          <w:rFonts w:eastAsia="Calibri"/>
        </w:rPr>
        <w:instrText xml:space="preserve"> REF _Ref198040385 \r \h </w:instrText>
      </w:r>
      <w:r w:rsidR="00BA3382" w:rsidRPr="0098660A">
        <w:rPr>
          <w:rFonts w:eastAsia="Calibri"/>
        </w:rPr>
      </w:r>
      <w:r w:rsidR="00BA3382" w:rsidRPr="0098660A">
        <w:rPr>
          <w:rFonts w:eastAsia="Calibri"/>
        </w:rPr>
        <w:fldChar w:fldCharType="separate"/>
      </w:r>
      <w:r w:rsidR="00134128">
        <w:rPr>
          <w:rFonts w:eastAsia="Calibri"/>
        </w:rPr>
        <w:t>6.29</w:t>
      </w:r>
      <w:r w:rsidR="00BA3382" w:rsidRPr="0098660A">
        <w:rPr>
          <w:rFonts w:eastAsia="Calibri"/>
        </w:rPr>
        <w:fldChar w:fldCharType="end"/>
      </w:r>
      <w:r w:rsidR="007D36DF" w:rsidRPr="0098660A">
        <w:rPr>
          <w:rFonts w:eastAsia="Calibri"/>
        </w:rPr>
        <w:t>).</w:t>
      </w:r>
      <w:bookmarkEnd w:id="99"/>
    </w:p>
    <w:p w14:paraId="1E5BE2BC" w14:textId="5703E57D" w:rsidR="00EC1759" w:rsidRPr="0098660A" w:rsidRDefault="00D328C8" w:rsidP="000E2127">
      <w:pPr>
        <w:widowControl w:val="0"/>
        <w:numPr>
          <w:ilvl w:val="1"/>
          <w:numId w:val="1"/>
        </w:numPr>
        <w:spacing w:after="120"/>
        <w:rPr>
          <w:snapToGrid w:val="0"/>
        </w:rPr>
      </w:pPr>
      <w:r w:rsidRPr="0098660A">
        <w:rPr>
          <w:snapToGrid w:val="0"/>
        </w:rPr>
        <w:t>The PBAC noted th</w:t>
      </w:r>
      <w:r w:rsidR="00C174F4" w:rsidRPr="0098660A">
        <w:rPr>
          <w:snapToGrid w:val="0"/>
        </w:rPr>
        <w:t>at comparative</w:t>
      </w:r>
      <w:r w:rsidRPr="0098660A">
        <w:rPr>
          <w:snapToGrid w:val="0"/>
        </w:rPr>
        <w:t xml:space="preserve"> h</w:t>
      </w:r>
      <w:r w:rsidR="00EC1759" w:rsidRPr="0098660A">
        <w:rPr>
          <w:snapToGrid w:val="0"/>
        </w:rPr>
        <w:t xml:space="preserve">arms </w:t>
      </w:r>
      <w:r w:rsidR="00B44542" w:rsidRPr="0098660A">
        <w:rPr>
          <w:snapToGrid w:val="0"/>
        </w:rPr>
        <w:t xml:space="preserve">would </w:t>
      </w:r>
      <w:r w:rsidR="00EC1759" w:rsidRPr="0098660A">
        <w:rPr>
          <w:snapToGrid w:val="0"/>
        </w:rPr>
        <w:t xml:space="preserve">vary by </w:t>
      </w:r>
      <w:r w:rsidR="000F02A8" w:rsidRPr="0098660A">
        <w:rPr>
          <w:snapToGrid w:val="0"/>
        </w:rPr>
        <w:t xml:space="preserve">frequency and </w:t>
      </w:r>
      <w:r w:rsidR="00EC1759" w:rsidRPr="0098660A">
        <w:rPr>
          <w:snapToGrid w:val="0"/>
        </w:rPr>
        <w:t>mode of administration</w:t>
      </w:r>
      <w:r w:rsidR="000F02A8" w:rsidRPr="0098660A">
        <w:rPr>
          <w:snapToGrid w:val="0"/>
        </w:rPr>
        <w:t xml:space="preserve"> (see paragraph </w:t>
      </w:r>
      <w:r w:rsidR="000F02A8" w:rsidRPr="0098660A">
        <w:rPr>
          <w:snapToGrid w:val="0"/>
        </w:rPr>
        <w:fldChar w:fldCharType="begin"/>
      </w:r>
      <w:r w:rsidR="000F02A8" w:rsidRPr="0098660A">
        <w:rPr>
          <w:snapToGrid w:val="0"/>
        </w:rPr>
        <w:instrText xml:space="preserve"> REF _Ref198039284 \r \h </w:instrText>
      </w:r>
      <w:r w:rsidR="000F02A8" w:rsidRPr="0098660A">
        <w:rPr>
          <w:snapToGrid w:val="0"/>
        </w:rPr>
      </w:r>
      <w:r w:rsidR="000F02A8" w:rsidRPr="0098660A">
        <w:rPr>
          <w:snapToGrid w:val="0"/>
        </w:rPr>
        <w:fldChar w:fldCharType="separate"/>
      </w:r>
      <w:r w:rsidR="00134128">
        <w:rPr>
          <w:snapToGrid w:val="0"/>
        </w:rPr>
        <w:t>6.26</w:t>
      </w:r>
      <w:r w:rsidR="000F02A8" w:rsidRPr="0098660A">
        <w:rPr>
          <w:snapToGrid w:val="0"/>
        </w:rPr>
        <w:fldChar w:fldCharType="end"/>
      </w:r>
      <w:r w:rsidR="000F02A8" w:rsidRPr="0098660A">
        <w:rPr>
          <w:snapToGrid w:val="0"/>
        </w:rPr>
        <w:t>)</w:t>
      </w:r>
      <w:r w:rsidR="00B44542" w:rsidRPr="0098660A">
        <w:rPr>
          <w:snapToGrid w:val="0"/>
        </w:rPr>
        <w:t>, with subcutaneous</w:t>
      </w:r>
      <w:r w:rsidR="00EC1759" w:rsidRPr="0098660A">
        <w:rPr>
          <w:snapToGrid w:val="0"/>
        </w:rPr>
        <w:t xml:space="preserve"> injection site issues</w:t>
      </w:r>
      <w:r w:rsidR="00B44542" w:rsidRPr="0098660A">
        <w:rPr>
          <w:snapToGrid w:val="0"/>
        </w:rPr>
        <w:t xml:space="preserve"> with pegcetacoplan</w:t>
      </w:r>
      <w:r w:rsidR="00EC1759" w:rsidRPr="0098660A">
        <w:rPr>
          <w:snapToGrid w:val="0"/>
        </w:rPr>
        <w:t xml:space="preserve">, </w:t>
      </w:r>
      <w:r w:rsidR="00B44542" w:rsidRPr="0098660A">
        <w:rPr>
          <w:snapToGrid w:val="0"/>
        </w:rPr>
        <w:t xml:space="preserve">and </w:t>
      </w:r>
      <w:r w:rsidR="00EC1759" w:rsidRPr="0098660A">
        <w:rPr>
          <w:snapToGrid w:val="0"/>
        </w:rPr>
        <w:t xml:space="preserve">IV </w:t>
      </w:r>
      <w:r w:rsidR="00B44542" w:rsidRPr="0098660A">
        <w:rPr>
          <w:snapToGrid w:val="0"/>
        </w:rPr>
        <w:t xml:space="preserve">infusion </w:t>
      </w:r>
      <w:r w:rsidR="00EC1759" w:rsidRPr="0098660A">
        <w:rPr>
          <w:snapToGrid w:val="0"/>
        </w:rPr>
        <w:t>site issues</w:t>
      </w:r>
      <w:r w:rsidR="00B44542" w:rsidRPr="0098660A">
        <w:rPr>
          <w:snapToGrid w:val="0"/>
        </w:rPr>
        <w:t xml:space="preserve"> with ravulizumab. </w:t>
      </w:r>
      <w:r w:rsidR="007F17FF" w:rsidRPr="0098660A">
        <w:rPr>
          <w:snapToGrid w:val="0"/>
        </w:rPr>
        <w:t>The</w:t>
      </w:r>
      <w:r w:rsidR="00EC1759" w:rsidRPr="0098660A">
        <w:rPr>
          <w:snapToGrid w:val="0"/>
        </w:rPr>
        <w:t xml:space="preserve"> MAIC </w:t>
      </w:r>
      <w:r w:rsidR="007F17FF" w:rsidRPr="0098660A">
        <w:rPr>
          <w:snapToGrid w:val="0"/>
        </w:rPr>
        <w:t xml:space="preserve">was </w:t>
      </w:r>
      <w:r w:rsidR="00EC1759" w:rsidRPr="0098660A">
        <w:rPr>
          <w:snapToGrid w:val="0"/>
        </w:rPr>
        <w:t>not powered to detect a difference</w:t>
      </w:r>
      <w:r w:rsidR="007F17FF" w:rsidRPr="0098660A">
        <w:rPr>
          <w:snapToGrid w:val="0"/>
        </w:rPr>
        <w:t xml:space="preserve"> in adverse events. </w:t>
      </w:r>
      <w:r w:rsidR="00173C3A" w:rsidRPr="0098660A">
        <w:rPr>
          <w:snapToGrid w:val="0"/>
        </w:rPr>
        <w:t>Overall, the PBAC considered that the claim of non-inferior comparative safety was uncertain but reasonable</w:t>
      </w:r>
      <w:r w:rsidR="00EC1759" w:rsidRPr="0098660A">
        <w:rPr>
          <w:snapToGrid w:val="0"/>
        </w:rPr>
        <w:t>.</w:t>
      </w:r>
    </w:p>
    <w:p w14:paraId="68A146B5" w14:textId="2C0A00B3" w:rsidR="00EC7C47" w:rsidRPr="0098660A" w:rsidRDefault="00B90557" w:rsidP="00EC7C47">
      <w:pPr>
        <w:widowControl w:val="0"/>
        <w:numPr>
          <w:ilvl w:val="1"/>
          <w:numId w:val="1"/>
        </w:numPr>
        <w:spacing w:after="120"/>
        <w:rPr>
          <w:rFonts w:asciiTheme="minorHAnsi" w:hAnsiTheme="minorHAnsi"/>
          <w:snapToGrid w:val="0"/>
        </w:rPr>
      </w:pPr>
      <w:r w:rsidRPr="0098660A">
        <w:rPr>
          <w:rFonts w:asciiTheme="minorHAnsi" w:hAnsiTheme="minorHAnsi"/>
          <w:snapToGrid w:val="0"/>
        </w:rPr>
        <w:t xml:space="preserve">The PBAC considered </w:t>
      </w:r>
      <w:r w:rsidR="00537103" w:rsidRPr="0098660A">
        <w:rPr>
          <w:rFonts w:asciiTheme="minorHAnsi" w:hAnsiTheme="minorHAnsi"/>
          <w:snapToGrid w:val="0"/>
        </w:rPr>
        <w:t xml:space="preserve">a cost-minimisation </w:t>
      </w:r>
      <w:r w:rsidR="001A35EA" w:rsidRPr="0098660A">
        <w:rPr>
          <w:rFonts w:asciiTheme="minorHAnsi" w:hAnsiTheme="minorHAnsi"/>
          <w:snapToGrid w:val="0"/>
        </w:rPr>
        <w:t xml:space="preserve">approach (CMA) </w:t>
      </w:r>
      <w:r w:rsidR="00537103" w:rsidRPr="0098660A">
        <w:rPr>
          <w:rFonts w:asciiTheme="minorHAnsi" w:hAnsiTheme="minorHAnsi"/>
          <w:snapToGrid w:val="0"/>
        </w:rPr>
        <w:t>was</w:t>
      </w:r>
      <w:r w:rsidR="001A35EA" w:rsidRPr="0098660A">
        <w:rPr>
          <w:rFonts w:asciiTheme="minorHAnsi" w:hAnsiTheme="minorHAnsi"/>
          <w:snapToGrid w:val="0"/>
        </w:rPr>
        <w:t xml:space="preserve"> </w:t>
      </w:r>
      <w:r w:rsidR="00CE3D80" w:rsidRPr="0098660A">
        <w:rPr>
          <w:rFonts w:asciiTheme="minorHAnsi" w:hAnsiTheme="minorHAnsi"/>
          <w:snapToGrid w:val="0"/>
        </w:rPr>
        <w:t>appropriate</w:t>
      </w:r>
      <w:r w:rsidR="004C23BC" w:rsidRPr="0098660A">
        <w:rPr>
          <w:rFonts w:asciiTheme="minorHAnsi" w:hAnsiTheme="minorHAnsi"/>
          <w:snapToGrid w:val="0"/>
        </w:rPr>
        <w:t>.</w:t>
      </w:r>
      <w:r w:rsidR="00DD2232" w:rsidRPr="0098660A">
        <w:rPr>
          <w:rFonts w:asciiTheme="minorHAnsi" w:hAnsiTheme="minorHAnsi"/>
          <w:snapToGrid w:val="0"/>
        </w:rPr>
        <w:t xml:space="preserve"> </w:t>
      </w:r>
      <w:r w:rsidR="004C23BC" w:rsidRPr="0098660A">
        <w:rPr>
          <w:rFonts w:asciiTheme="minorHAnsi" w:hAnsiTheme="minorHAnsi"/>
          <w:snapToGrid w:val="0"/>
        </w:rPr>
        <w:t>The PBAC</w:t>
      </w:r>
      <w:r w:rsidR="00DD2232" w:rsidRPr="0098660A">
        <w:rPr>
          <w:rFonts w:asciiTheme="minorHAnsi" w:hAnsiTheme="minorHAnsi"/>
          <w:snapToGrid w:val="0"/>
        </w:rPr>
        <w:t xml:space="preserve"> agreed with the ESC </w:t>
      </w:r>
      <w:r w:rsidR="004804CC" w:rsidRPr="0098660A">
        <w:rPr>
          <w:rFonts w:asciiTheme="minorHAnsi" w:hAnsiTheme="minorHAnsi"/>
          <w:snapToGrid w:val="0"/>
        </w:rPr>
        <w:t xml:space="preserve">that the CMA </w:t>
      </w:r>
      <w:r w:rsidR="00CC627D" w:rsidRPr="0098660A">
        <w:rPr>
          <w:rFonts w:asciiTheme="minorHAnsi" w:hAnsiTheme="minorHAnsi"/>
          <w:snapToGrid w:val="0"/>
        </w:rPr>
        <w:t>s</w:t>
      </w:r>
      <w:r w:rsidR="004804CC" w:rsidRPr="0098660A">
        <w:rPr>
          <w:rFonts w:asciiTheme="minorHAnsi" w:hAnsiTheme="minorHAnsi"/>
          <w:snapToGrid w:val="0"/>
        </w:rPr>
        <w:t>hould be</w:t>
      </w:r>
      <w:r w:rsidR="00CC627D" w:rsidRPr="0098660A">
        <w:rPr>
          <w:rFonts w:asciiTheme="minorHAnsi" w:hAnsiTheme="minorHAnsi"/>
          <w:snapToGrid w:val="0"/>
        </w:rPr>
        <w:t xml:space="preserve"> </w:t>
      </w:r>
      <w:r w:rsidR="004804CC" w:rsidRPr="0098660A">
        <w:rPr>
          <w:rFonts w:asciiTheme="minorHAnsi" w:hAnsiTheme="minorHAnsi"/>
          <w:snapToGrid w:val="0"/>
        </w:rPr>
        <w:t>consistent</w:t>
      </w:r>
      <w:r w:rsidR="00CC627D" w:rsidRPr="0098660A">
        <w:rPr>
          <w:rFonts w:asciiTheme="minorHAnsi" w:hAnsiTheme="minorHAnsi"/>
          <w:snapToGrid w:val="0"/>
        </w:rPr>
        <w:t xml:space="preserve"> with the previous </w:t>
      </w:r>
      <w:r w:rsidR="00F50A3B" w:rsidRPr="0098660A">
        <w:rPr>
          <w:rFonts w:asciiTheme="minorHAnsi" w:hAnsiTheme="minorHAnsi"/>
          <w:snapToGrid w:val="0"/>
        </w:rPr>
        <w:t xml:space="preserve">CMA for </w:t>
      </w:r>
      <w:r w:rsidR="00CC627D" w:rsidRPr="0098660A">
        <w:rPr>
          <w:rFonts w:asciiTheme="minorHAnsi" w:hAnsiTheme="minorHAnsi"/>
          <w:snapToGrid w:val="0"/>
        </w:rPr>
        <w:t xml:space="preserve">second-line </w:t>
      </w:r>
      <w:r w:rsidR="0032302C" w:rsidRPr="0098660A">
        <w:rPr>
          <w:rFonts w:asciiTheme="minorHAnsi" w:hAnsiTheme="minorHAnsi"/>
          <w:snapToGrid w:val="0"/>
        </w:rPr>
        <w:t xml:space="preserve">and </w:t>
      </w:r>
      <w:r w:rsidR="00CE3D80" w:rsidRPr="0098660A">
        <w:rPr>
          <w:rFonts w:asciiTheme="minorHAnsi" w:hAnsiTheme="minorHAnsi"/>
          <w:snapToGrid w:val="0"/>
        </w:rPr>
        <w:t>include dat</w:t>
      </w:r>
      <w:r w:rsidR="0032302C" w:rsidRPr="0098660A">
        <w:rPr>
          <w:rFonts w:asciiTheme="minorHAnsi" w:hAnsiTheme="minorHAnsi"/>
          <w:snapToGrid w:val="0"/>
        </w:rPr>
        <w:t>a</w:t>
      </w:r>
      <w:r w:rsidR="00CE3D80" w:rsidRPr="0098660A">
        <w:rPr>
          <w:rFonts w:asciiTheme="minorHAnsi" w:hAnsiTheme="minorHAnsi"/>
          <w:snapToGrid w:val="0"/>
        </w:rPr>
        <w:t xml:space="preserve"> from the </w:t>
      </w:r>
      <w:r w:rsidR="00CC627D" w:rsidRPr="0098660A">
        <w:rPr>
          <w:rFonts w:asciiTheme="minorHAnsi" w:hAnsiTheme="minorHAnsi"/>
          <w:snapToGrid w:val="0"/>
        </w:rPr>
        <w:t>OLE</w:t>
      </w:r>
      <w:r w:rsidR="00CE3D80" w:rsidRPr="0098660A">
        <w:rPr>
          <w:rFonts w:asciiTheme="minorHAnsi" w:hAnsiTheme="minorHAnsi"/>
          <w:snapToGrid w:val="0"/>
        </w:rPr>
        <w:t xml:space="preserve"> period, </w:t>
      </w:r>
      <w:r w:rsidR="00CC627D" w:rsidRPr="0098660A">
        <w:rPr>
          <w:rFonts w:asciiTheme="minorHAnsi" w:hAnsiTheme="minorHAnsi"/>
          <w:snapToGrid w:val="0"/>
        </w:rPr>
        <w:t>no cost offsets for ravulizumab infusions</w:t>
      </w:r>
      <w:r w:rsidR="0032302C" w:rsidRPr="0098660A">
        <w:rPr>
          <w:rFonts w:asciiTheme="minorHAnsi" w:hAnsiTheme="minorHAnsi"/>
          <w:snapToGrid w:val="0"/>
        </w:rPr>
        <w:t xml:space="preserve">, and </w:t>
      </w:r>
      <w:r w:rsidR="004804CC" w:rsidRPr="0098660A">
        <w:rPr>
          <w:rFonts w:asciiTheme="minorHAnsi" w:hAnsiTheme="minorHAnsi"/>
          <w:snapToGrid w:val="0"/>
        </w:rPr>
        <w:t xml:space="preserve">costs of </w:t>
      </w:r>
      <w:r w:rsidR="0032302C" w:rsidRPr="0098660A">
        <w:rPr>
          <w:rFonts w:asciiTheme="minorHAnsi" w:hAnsiTheme="minorHAnsi"/>
          <w:snapToGrid w:val="0"/>
        </w:rPr>
        <w:t xml:space="preserve">additional </w:t>
      </w:r>
      <w:r w:rsidR="004804CC" w:rsidRPr="0098660A">
        <w:rPr>
          <w:rFonts w:asciiTheme="minorHAnsi" w:hAnsiTheme="minorHAnsi"/>
          <w:snapToGrid w:val="0"/>
        </w:rPr>
        <w:t xml:space="preserve">vaccines (see </w:t>
      </w:r>
      <w:r w:rsidR="004804CC" w:rsidRPr="0098660A">
        <w:rPr>
          <w:rFonts w:asciiTheme="minorHAnsi" w:hAnsiTheme="minorHAnsi"/>
          <w:snapToGrid w:val="0"/>
        </w:rPr>
        <w:fldChar w:fldCharType="begin"/>
      </w:r>
      <w:r w:rsidR="004804CC" w:rsidRPr="0098660A">
        <w:rPr>
          <w:rFonts w:asciiTheme="minorHAnsi" w:hAnsiTheme="minorHAnsi"/>
          <w:snapToGrid w:val="0"/>
        </w:rPr>
        <w:instrText xml:space="preserve"> REF _Ref188979674 \h </w:instrText>
      </w:r>
      <w:r w:rsidR="004804CC" w:rsidRPr="0098660A">
        <w:rPr>
          <w:rFonts w:asciiTheme="minorHAnsi" w:hAnsiTheme="minorHAnsi"/>
          <w:snapToGrid w:val="0"/>
        </w:rPr>
      </w:r>
      <w:r w:rsidR="004804CC" w:rsidRPr="0098660A">
        <w:rPr>
          <w:rFonts w:asciiTheme="minorHAnsi" w:hAnsiTheme="minorHAnsi"/>
          <w:snapToGrid w:val="0"/>
        </w:rPr>
        <w:fldChar w:fldCharType="separate"/>
      </w:r>
      <w:r w:rsidR="00134128" w:rsidRPr="0098660A">
        <w:t xml:space="preserve">Table </w:t>
      </w:r>
      <w:r w:rsidR="00134128">
        <w:rPr>
          <w:noProof/>
        </w:rPr>
        <w:t>11</w:t>
      </w:r>
      <w:r w:rsidR="004804CC" w:rsidRPr="0098660A">
        <w:rPr>
          <w:rFonts w:asciiTheme="minorHAnsi" w:hAnsiTheme="minorHAnsi"/>
          <w:snapToGrid w:val="0"/>
        </w:rPr>
        <w:fldChar w:fldCharType="end"/>
      </w:r>
      <w:r w:rsidR="004804CC" w:rsidRPr="0098660A">
        <w:rPr>
          <w:rFonts w:asciiTheme="minorHAnsi" w:hAnsiTheme="minorHAnsi"/>
          <w:snapToGrid w:val="0"/>
        </w:rPr>
        <w:t xml:space="preserve"> and paragraph </w:t>
      </w:r>
      <w:r w:rsidR="004804CC" w:rsidRPr="0098660A">
        <w:rPr>
          <w:rFonts w:asciiTheme="minorHAnsi" w:hAnsiTheme="minorHAnsi"/>
          <w:snapToGrid w:val="0"/>
        </w:rPr>
        <w:fldChar w:fldCharType="begin"/>
      </w:r>
      <w:r w:rsidR="004804CC" w:rsidRPr="0098660A">
        <w:rPr>
          <w:rFonts w:asciiTheme="minorHAnsi" w:hAnsiTheme="minorHAnsi"/>
          <w:snapToGrid w:val="0"/>
        </w:rPr>
        <w:instrText xml:space="preserve"> REF _Ref198196749 \r \h </w:instrText>
      </w:r>
      <w:r w:rsidR="004804CC" w:rsidRPr="0098660A">
        <w:rPr>
          <w:rFonts w:asciiTheme="minorHAnsi" w:hAnsiTheme="minorHAnsi"/>
          <w:snapToGrid w:val="0"/>
        </w:rPr>
      </w:r>
      <w:r w:rsidR="004804CC" w:rsidRPr="0098660A">
        <w:rPr>
          <w:rFonts w:asciiTheme="minorHAnsi" w:hAnsiTheme="minorHAnsi"/>
          <w:snapToGrid w:val="0"/>
        </w:rPr>
        <w:fldChar w:fldCharType="separate"/>
      </w:r>
      <w:r w:rsidR="00134128">
        <w:rPr>
          <w:rFonts w:asciiTheme="minorHAnsi" w:hAnsiTheme="minorHAnsi"/>
          <w:snapToGrid w:val="0"/>
        </w:rPr>
        <w:t>6.48</w:t>
      </w:r>
      <w:r w:rsidR="004804CC" w:rsidRPr="0098660A">
        <w:rPr>
          <w:rFonts w:asciiTheme="minorHAnsi" w:hAnsiTheme="minorHAnsi"/>
          <w:snapToGrid w:val="0"/>
        </w:rPr>
        <w:fldChar w:fldCharType="end"/>
      </w:r>
      <w:r w:rsidR="004804CC" w:rsidRPr="0098660A">
        <w:rPr>
          <w:rFonts w:asciiTheme="minorHAnsi" w:hAnsiTheme="minorHAnsi"/>
          <w:snapToGrid w:val="0"/>
        </w:rPr>
        <w:t>)</w:t>
      </w:r>
      <w:r w:rsidR="0032302C" w:rsidRPr="0098660A">
        <w:rPr>
          <w:rFonts w:asciiTheme="minorHAnsi" w:hAnsiTheme="minorHAnsi"/>
          <w:snapToGrid w:val="0"/>
        </w:rPr>
        <w:t xml:space="preserve">. The PBAC noted this resulted in a slightly lower price </w:t>
      </w:r>
      <w:r w:rsidR="006F17FD" w:rsidRPr="0098660A">
        <w:rPr>
          <w:rFonts w:asciiTheme="minorHAnsi" w:hAnsiTheme="minorHAnsi"/>
          <w:snapToGrid w:val="0"/>
        </w:rPr>
        <w:t xml:space="preserve">per vial </w:t>
      </w:r>
      <w:r w:rsidR="007E1290" w:rsidRPr="0098660A">
        <w:rPr>
          <w:rFonts w:asciiTheme="minorHAnsi" w:hAnsiTheme="minorHAnsi"/>
          <w:snapToGrid w:val="0"/>
        </w:rPr>
        <w:t xml:space="preserve">(approx. 1%) </w:t>
      </w:r>
      <w:r w:rsidR="0032302C" w:rsidRPr="0098660A">
        <w:rPr>
          <w:rFonts w:asciiTheme="minorHAnsi" w:hAnsiTheme="minorHAnsi"/>
          <w:snapToGrid w:val="0"/>
        </w:rPr>
        <w:t>than the current</w:t>
      </w:r>
      <w:r w:rsidR="00DD2232" w:rsidRPr="0098660A">
        <w:rPr>
          <w:rFonts w:asciiTheme="minorHAnsi" w:hAnsiTheme="minorHAnsi"/>
          <w:snapToGrid w:val="0"/>
        </w:rPr>
        <w:t xml:space="preserve"> </w:t>
      </w:r>
      <w:r w:rsidR="006F17FD" w:rsidRPr="0098660A">
        <w:rPr>
          <w:rFonts w:asciiTheme="minorHAnsi" w:hAnsiTheme="minorHAnsi"/>
          <w:snapToGrid w:val="0"/>
        </w:rPr>
        <w:t>second-line price. The PBAC noted the pre-PBAC response</w:t>
      </w:r>
      <w:r w:rsidR="004804CC" w:rsidRPr="0098660A">
        <w:rPr>
          <w:rFonts w:asciiTheme="minorHAnsi" w:hAnsiTheme="minorHAnsi"/>
          <w:snapToGrid w:val="0"/>
        </w:rPr>
        <w:t xml:space="preserve"> suggested </w:t>
      </w:r>
      <w:r w:rsidR="00211CC2" w:rsidRPr="0098660A">
        <w:rPr>
          <w:rFonts w:asciiTheme="minorHAnsi" w:hAnsiTheme="minorHAnsi"/>
          <w:snapToGrid w:val="0"/>
        </w:rPr>
        <w:t xml:space="preserve">no change to the </w:t>
      </w:r>
      <w:r w:rsidR="00211CC2" w:rsidRPr="0098660A">
        <w:rPr>
          <w:rFonts w:asciiTheme="minorHAnsi" w:hAnsiTheme="minorHAnsi"/>
          <w:snapToGrid w:val="0"/>
        </w:rPr>
        <w:lastRenderedPageBreak/>
        <w:t xml:space="preserve">current price might be pragmatic </w:t>
      </w:r>
      <w:r w:rsidR="004804CC" w:rsidRPr="0098660A">
        <w:rPr>
          <w:rFonts w:asciiTheme="minorHAnsi" w:hAnsiTheme="minorHAnsi"/>
          <w:snapToGrid w:val="0"/>
        </w:rPr>
        <w:t xml:space="preserve">given </w:t>
      </w:r>
      <w:r w:rsidR="00B3017F" w:rsidRPr="0098660A">
        <w:rPr>
          <w:rFonts w:asciiTheme="minorHAnsi" w:hAnsiTheme="minorHAnsi"/>
          <w:snapToGrid w:val="0"/>
        </w:rPr>
        <w:t xml:space="preserve">majority of pegcetacoplan use </w:t>
      </w:r>
      <w:r w:rsidR="00986BAC" w:rsidRPr="0098660A">
        <w:rPr>
          <w:rFonts w:asciiTheme="minorHAnsi" w:hAnsiTheme="minorHAnsi"/>
          <w:snapToGrid w:val="0"/>
        </w:rPr>
        <w:t>wa</w:t>
      </w:r>
      <w:r w:rsidR="00B3017F" w:rsidRPr="0098660A">
        <w:rPr>
          <w:rFonts w:asciiTheme="minorHAnsi" w:hAnsiTheme="minorHAnsi"/>
          <w:snapToGrid w:val="0"/>
        </w:rPr>
        <w:t>s anticipated to remain among patients switching from C5i therapy, given the established use of ravulizumab and eculizumab in clinical practice</w:t>
      </w:r>
      <w:r w:rsidR="002C36BA" w:rsidRPr="0098660A">
        <w:rPr>
          <w:rFonts w:asciiTheme="minorHAnsi" w:hAnsiTheme="minorHAnsi"/>
          <w:snapToGrid w:val="0"/>
        </w:rPr>
        <w:t xml:space="preserve">, and that dose escalation </w:t>
      </w:r>
      <w:r w:rsidR="00384EEB" w:rsidRPr="0098660A">
        <w:rPr>
          <w:rFonts w:asciiTheme="minorHAnsi" w:hAnsiTheme="minorHAnsi"/>
          <w:snapToGrid w:val="0"/>
        </w:rPr>
        <w:t>wa</w:t>
      </w:r>
      <w:r w:rsidR="002C36BA" w:rsidRPr="0098660A">
        <w:rPr>
          <w:rFonts w:asciiTheme="minorHAnsi" w:hAnsiTheme="minorHAnsi"/>
          <w:snapToGrid w:val="0"/>
        </w:rPr>
        <w:t>s unlikely to differ between first and second-line in clinical practice</w:t>
      </w:r>
      <w:r w:rsidR="00B3017F" w:rsidRPr="0098660A">
        <w:rPr>
          <w:rFonts w:asciiTheme="minorHAnsi" w:hAnsiTheme="minorHAnsi"/>
          <w:snapToGrid w:val="0"/>
        </w:rPr>
        <w:t xml:space="preserve">. </w:t>
      </w:r>
      <w:r w:rsidR="00800416" w:rsidRPr="0098660A">
        <w:t>T</w:t>
      </w:r>
      <w:r w:rsidR="00B807CA" w:rsidRPr="0098660A">
        <w:t xml:space="preserve">he PBAC considered that overall, the impact to the broader PNH price was likely to be minimal, and </w:t>
      </w:r>
      <w:r w:rsidR="00AE4CA7" w:rsidRPr="0098660A">
        <w:t>it w</w:t>
      </w:r>
      <w:r w:rsidR="0098738B" w:rsidRPr="0098660A">
        <w:t>a</w:t>
      </w:r>
      <w:r w:rsidR="00AE4CA7" w:rsidRPr="0098660A">
        <w:t xml:space="preserve">s accepted </w:t>
      </w:r>
      <w:r w:rsidR="00B807CA" w:rsidRPr="0098660A">
        <w:t>that the primary role of pegcetacoplan would be for patients not adequately responding to C5is</w:t>
      </w:r>
      <w:r w:rsidR="00F8635E" w:rsidRPr="0098660A">
        <w:rPr>
          <w:rFonts w:asciiTheme="minorHAnsi" w:hAnsiTheme="minorHAnsi"/>
          <w:snapToGrid w:val="0"/>
        </w:rPr>
        <w:t>.</w:t>
      </w:r>
      <w:r w:rsidR="00EC7C47" w:rsidRPr="0098660A">
        <w:rPr>
          <w:rFonts w:asciiTheme="minorHAnsi" w:hAnsiTheme="minorHAnsi"/>
          <w:snapToGrid w:val="0"/>
        </w:rPr>
        <w:t xml:space="preserve"> </w:t>
      </w:r>
    </w:p>
    <w:p w14:paraId="0E227130" w14:textId="2BBB8DED" w:rsidR="00EC7C47" w:rsidRPr="0098660A" w:rsidRDefault="00265FFA" w:rsidP="00EC7C47">
      <w:pPr>
        <w:widowControl w:val="0"/>
        <w:numPr>
          <w:ilvl w:val="1"/>
          <w:numId w:val="1"/>
        </w:numPr>
        <w:spacing w:after="120"/>
      </w:pPr>
      <w:r w:rsidRPr="0098660A">
        <w:t>The PBAC considered that the structure of the financial estimates was reasonable in capturing the treatment changes between both first and second-line use.</w:t>
      </w:r>
      <w:r w:rsidRPr="0098660A">
        <w:rPr>
          <w:rFonts w:asciiTheme="minorHAnsi" w:hAnsiTheme="minorHAnsi"/>
          <w:snapToGrid w:val="0"/>
        </w:rPr>
        <w:t xml:space="preserve"> </w:t>
      </w:r>
      <w:r w:rsidR="007D75B4" w:rsidRPr="0098660A">
        <w:rPr>
          <w:rFonts w:asciiTheme="minorHAnsi" w:hAnsiTheme="minorHAnsi"/>
          <w:snapToGrid w:val="0"/>
        </w:rPr>
        <w:t xml:space="preserve">The PBAC noted the </w:t>
      </w:r>
      <w:r w:rsidR="003B2DD3" w:rsidRPr="0098660A">
        <w:rPr>
          <w:rFonts w:asciiTheme="minorHAnsi" w:hAnsiTheme="minorHAnsi"/>
          <w:snapToGrid w:val="0"/>
        </w:rPr>
        <w:t xml:space="preserve">submission </w:t>
      </w:r>
      <w:r w:rsidR="004D5779" w:rsidRPr="0098660A">
        <w:rPr>
          <w:rFonts w:asciiTheme="minorHAnsi" w:hAnsiTheme="minorHAnsi"/>
          <w:snapToGrid w:val="0"/>
        </w:rPr>
        <w:t>estimated</w:t>
      </w:r>
      <w:r w:rsidR="003B2DD3" w:rsidRPr="0098660A">
        <w:rPr>
          <w:rFonts w:asciiTheme="minorHAnsi" w:hAnsiTheme="minorHAnsi"/>
          <w:snapToGrid w:val="0"/>
        </w:rPr>
        <w:t xml:space="preserve"> a small savings to Government </w:t>
      </w:r>
      <w:r w:rsidR="00E76B15" w:rsidRPr="0098660A">
        <w:rPr>
          <w:rFonts w:asciiTheme="minorHAnsi" w:hAnsiTheme="minorHAnsi"/>
          <w:snapToGrid w:val="0"/>
        </w:rPr>
        <w:t>over 6 years</w:t>
      </w:r>
      <w:r w:rsidR="00235AA2" w:rsidRPr="0098660A">
        <w:rPr>
          <w:rFonts w:asciiTheme="minorHAnsi" w:hAnsiTheme="minorHAnsi"/>
          <w:snapToGrid w:val="0"/>
        </w:rPr>
        <w:t xml:space="preserve"> </w:t>
      </w:r>
      <w:r w:rsidR="00C138DD" w:rsidRPr="0098660A">
        <w:rPr>
          <w:rFonts w:asciiTheme="minorHAnsi" w:hAnsiTheme="minorHAnsi"/>
          <w:snapToGrid w:val="0"/>
        </w:rPr>
        <w:t xml:space="preserve">using the </w:t>
      </w:r>
      <w:r w:rsidR="00A521AA" w:rsidRPr="0098660A">
        <w:rPr>
          <w:rFonts w:asciiTheme="minorHAnsi" w:hAnsiTheme="minorHAnsi"/>
          <w:snapToGrid w:val="0"/>
        </w:rPr>
        <w:t xml:space="preserve">proposed </w:t>
      </w:r>
      <w:r w:rsidR="00C138DD" w:rsidRPr="0098660A">
        <w:rPr>
          <w:rFonts w:asciiTheme="minorHAnsi" w:hAnsiTheme="minorHAnsi"/>
          <w:snapToGrid w:val="0"/>
        </w:rPr>
        <w:t>published price</w:t>
      </w:r>
      <w:r w:rsidR="00C35E56" w:rsidRPr="0098660A">
        <w:rPr>
          <w:rFonts w:asciiTheme="minorHAnsi" w:hAnsiTheme="minorHAnsi"/>
          <w:snapToGrid w:val="0"/>
        </w:rPr>
        <w:t xml:space="preserve"> for pegcetacoplan and published prices for C5is. </w:t>
      </w:r>
      <w:r w:rsidR="005F4268" w:rsidRPr="0098660A">
        <w:rPr>
          <w:rFonts w:asciiTheme="minorHAnsi" w:hAnsiTheme="minorHAnsi"/>
          <w:snapToGrid w:val="0"/>
        </w:rPr>
        <w:t>The PBAC noted the cost</w:t>
      </w:r>
      <w:r w:rsidR="007A0E68" w:rsidRPr="0098660A">
        <w:rPr>
          <w:rFonts w:asciiTheme="minorHAnsi" w:hAnsiTheme="minorHAnsi"/>
          <w:snapToGrid w:val="0"/>
        </w:rPr>
        <w:t xml:space="preserve"> </w:t>
      </w:r>
      <w:r w:rsidR="005F4268" w:rsidRPr="0098660A">
        <w:rPr>
          <w:rFonts w:asciiTheme="minorHAnsi" w:hAnsiTheme="minorHAnsi"/>
          <w:snapToGrid w:val="0"/>
        </w:rPr>
        <w:t>s</w:t>
      </w:r>
      <w:r w:rsidR="007A0E68" w:rsidRPr="0098660A">
        <w:rPr>
          <w:rFonts w:asciiTheme="minorHAnsi" w:hAnsiTheme="minorHAnsi"/>
          <w:snapToGrid w:val="0"/>
        </w:rPr>
        <w:t>avings</w:t>
      </w:r>
      <w:r w:rsidR="005F4268" w:rsidRPr="0098660A">
        <w:rPr>
          <w:rFonts w:asciiTheme="minorHAnsi" w:hAnsiTheme="minorHAnsi"/>
          <w:snapToGrid w:val="0"/>
        </w:rPr>
        <w:t xml:space="preserve"> would be </w:t>
      </w:r>
      <w:r w:rsidR="007A0E68" w:rsidRPr="0098660A">
        <w:rPr>
          <w:rFonts w:asciiTheme="minorHAnsi" w:hAnsiTheme="minorHAnsi"/>
          <w:snapToGrid w:val="0"/>
        </w:rPr>
        <w:t>reduc</w:t>
      </w:r>
      <w:r w:rsidR="005F4268" w:rsidRPr="0098660A">
        <w:rPr>
          <w:rFonts w:asciiTheme="minorHAnsi" w:hAnsiTheme="minorHAnsi"/>
          <w:snapToGrid w:val="0"/>
        </w:rPr>
        <w:t xml:space="preserve">ed with the </w:t>
      </w:r>
      <w:r w:rsidR="007A0E68" w:rsidRPr="0098660A">
        <w:rPr>
          <w:rFonts w:asciiTheme="minorHAnsi" w:hAnsiTheme="minorHAnsi"/>
          <w:snapToGrid w:val="0"/>
        </w:rPr>
        <w:t>inclusion</w:t>
      </w:r>
      <w:r w:rsidR="005F4268" w:rsidRPr="0098660A">
        <w:rPr>
          <w:rFonts w:asciiTheme="minorHAnsi" w:hAnsiTheme="minorHAnsi"/>
          <w:snapToGrid w:val="0"/>
        </w:rPr>
        <w:t xml:space="preserve"> of the </w:t>
      </w:r>
      <w:r w:rsidR="007A0E68" w:rsidRPr="0098660A">
        <w:rPr>
          <w:rFonts w:asciiTheme="minorHAnsi" w:hAnsiTheme="minorHAnsi"/>
          <w:snapToGrid w:val="0"/>
        </w:rPr>
        <w:t>escalated dosing from the OLE period</w:t>
      </w:r>
      <w:r w:rsidR="008D3C48" w:rsidRPr="0098660A">
        <w:rPr>
          <w:rFonts w:asciiTheme="minorHAnsi" w:hAnsiTheme="minorHAnsi"/>
          <w:snapToGrid w:val="0"/>
        </w:rPr>
        <w:t>,</w:t>
      </w:r>
      <w:r w:rsidR="003E1132" w:rsidRPr="0098660A">
        <w:rPr>
          <w:rFonts w:asciiTheme="minorHAnsi" w:hAnsiTheme="minorHAnsi"/>
          <w:snapToGrid w:val="0"/>
        </w:rPr>
        <w:t xml:space="preserve"> if uptake was lower than predicted (</w:t>
      </w:r>
      <w:r w:rsidR="00E23C73" w:rsidRPr="0098660A">
        <w:t xml:space="preserve">base case: </w:t>
      </w:r>
      <w:r w:rsidR="00910397" w:rsidRPr="00910397">
        <w:rPr>
          <w:color w:val="000000"/>
          <w:w w:val="60"/>
          <w:shd w:val="solid" w:color="000000" w:fill="000000"/>
          <w:fitText w:val="470" w:id="-663462649"/>
          <w14:textFill>
            <w14:solidFill>
              <w14:srgbClr w14:val="000000">
                <w14:alpha w14:val="100000"/>
              </w14:srgbClr>
            </w14:solidFill>
          </w14:textFill>
        </w:rPr>
        <w:t>|||  ||</w:t>
      </w:r>
      <w:r w:rsidR="00910397" w:rsidRPr="00910397">
        <w:rPr>
          <w:color w:val="000000"/>
          <w:spacing w:val="6"/>
          <w:w w:val="60"/>
          <w:shd w:val="solid" w:color="000000" w:fill="000000"/>
          <w:fitText w:val="470" w:id="-663462649"/>
          <w14:textFill>
            <w14:solidFill>
              <w14:srgbClr w14:val="000000">
                <w14:alpha w14:val="100000"/>
              </w14:srgbClr>
            </w14:solidFill>
          </w14:textFill>
        </w:rPr>
        <w:t>|</w:t>
      </w:r>
      <w:r w:rsidR="00E23C73" w:rsidRPr="0098660A">
        <w:t xml:space="preserve">% in Year 1 increasing to </w:t>
      </w:r>
      <w:r w:rsidR="00910397" w:rsidRPr="008E0BAA">
        <w:rPr>
          <w:color w:val="000000"/>
          <w:w w:val="60"/>
          <w:shd w:val="solid" w:color="000000" w:fill="000000"/>
          <w:fitText w:val="470" w:id="-663462648"/>
          <w14:textFill>
            <w14:solidFill>
              <w14:srgbClr w14:val="000000">
                <w14:alpha w14:val="100000"/>
              </w14:srgbClr>
            </w14:solidFill>
          </w14:textFill>
        </w:rPr>
        <w:t>|||  ||</w:t>
      </w:r>
      <w:r w:rsidR="00910397" w:rsidRPr="008E0BAA">
        <w:rPr>
          <w:color w:val="000000"/>
          <w:spacing w:val="6"/>
          <w:w w:val="60"/>
          <w:shd w:val="solid" w:color="000000" w:fill="000000"/>
          <w:fitText w:val="470" w:id="-663462648"/>
          <w14:textFill>
            <w14:solidFill>
              <w14:srgbClr w14:val="000000">
                <w14:alpha w14:val="100000"/>
              </w14:srgbClr>
            </w14:solidFill>
          </w14:textFill>
        </w:rPr>
        <w:t>|</w:t>
      </w:r>
      <w:r w:rsidR="00E23C73" w:rsidRPr="0098660A">
        <w:t>% in Year 6)</w:t>
      </w:r>
      <w:r w:rsidR="00BC4A60" w:rsidRPr="0098660A">
        <w:rPr>
          <w:rFonts w:asciiTheme="minorHAnsi" w:hAnsiTheme="minorHAnsi"/>
          <w:snapToGrid w:val="0"/>
        </w:rPr>
        <w:t xml:space="preserve"> and </w:t>
      </w:r>
      <w:r w:rsidR="00E23C73" w:rsidRPr="0098660A">
        <w:rPr>
          <w:rFonts w:asciiTheme="minorHAnsi" w:hAnsiTheme="minorHAnsi"/>
          <w:snapToGrid w:val="0"/>
        </w:rPr>
        <w:t xml:space="preserve">with </w:t>
      </w:r>
      <w:r w:rsidR="00BC4A60" w:rsidRPr="0098660A">
        <w:rPr>
          <w:rFonts w:asciiTheme="minorHAnsi" w:hAnsiTheme="minorHAnsi"/>
          <w:snapToGrid w:val="0"/>
        </w:rPr>
        <w:t>use of effective prices</w:t>
      </w:r>
      <w:r w:rsidR="007A0E68" w:rsidRPr="0098660A">
        <w:rPr>
          <w:rFonts w:asciiTheme="minorHAnsi" w:hAnsiTheme="minorHAnsi"/>
          <w:snapToGrid w:val="0"/>
        </w:rPr>
        <w:t>.</w:t>
      </w:r>
      <w:r w:rsidR="004D5779" w:rsidRPr="0098660A">
        <w:rPr>
          <w:rFonts w:asciiTheme="minorHAnsi" w:hAnsiTheme="minorHAnsi"/>
          <w:snapToGrid w:val="0"/>
        </w:rPr>
        <w:t xml:space="preserve"> </w:t>
      </w:r>
      <w:r w:rsidR="003534D2" w:rsidRPr="0098660A">
        <w:rPr>
          <w:rFonts w:asciiTheme="minorHAnsi" w:hAnsiTheme="minorHAnsi"/>
          <w:snapToGrid w:val="0"/>
        </w:rPr>
        <w:t xml:space="preserve">The PBAC agreed with </w:t>
      </w:r>
      <w:r w:rsidR="00FF4283" w:rsidRPr="0098660A">
        <w:rPr>
          <w:rFonts w:asciiTheme="minorHAnsi" w:hAnsiTheme="minorHAnsi"/>
          <w:snapToGrid w:val="0"/>
        </w:rPr>
        <w:t xml:space="preserve">the </w:t>
      </w:r>
      <w:r w:rsidR="003534D2" w:rsidRPr="0098660A">
        <w:rPr>
          <w:rFonts w:asciiTheme="minorHAnsi" w:hAnsiTheme="minorHAnsi"/>
          <w:snapToGrid w:val="0"/>
        </w:rPr>
        <w:t>submission proposal for no change to the current RSA in place for the</w:t>
      </w:r>
      <w:r w:rsidR="00EE7455" w:rsidRPr="0098660A">
        <w:rPr>
          <w:rFonts w:asciiTheme="minorHAnsi" w:hAnsiTheme="minorHAnsi"/>
          <w:snapToGrid w:val="0"/>
        </w:rPr>
        <w:t xml:space="preserve"> complement inhibitors</w:t>
      </w:r>
      <w:r w:rsidR="003534D2" w:rsidRPr="0098660A">
        <w:rPr>
          <w:rFonts w:asciiTheme="minorHAnsi" w:hAnsiTheme="minorHAnsi"/>
          <w:snapToGrid w:val="0"/>
        </w:rPr>
        <w:t>.</w:t>
      </w:r>
    </w:p>
    <w:p w14:paraId="28755C87" w14:textId="77777777" w:rsidR="00B876A8" w:rsidRPr="0098660A" w:rsidRDefault="00B876A8" w:rsidP="00A347AF">
      <w:pPr>
        <w:pStyle w:val="ListParagraph"/>
        <w:numPr>
          <w:ilvl w:val="1"/>
          <w:numId w:val="1"/>
        </w:numPr>
        <w:contextualSpacing/>
        <w:jc w:val="both"/>
        <w:rPr>
          <w:lang w:eastAsia="en-US"/>
        </w:rPr>
      </w:pPr>
      <w:r w:rsidRPr="0098660A">
        <w:rPr>
          <w:rFonts w:ascii="Calibri" w:hAnsi="Calibri"/>
        </w:rPr>
        <w:t xml:space="preserve">The PBAC noted the Product Information for pegcetacoplan </w:t>
      </w:r>
      <w:r w:rsidRPr="0098660A">
        <w:t xml:space="preserve">included a boxed warning regarding the risk of serious infections caused by encapsulated bacteria, such as Streptococcus pneumoniae, Neisseria meningitidis, and Haemophilus influenzae type B (HIB), with recommendations to vaccinate against these bacteria prior to initiation of pegcetacoplan treatment. </w:t>
      </w:r>
      <w:r w:rsidRPr="0098660A">
        <w:rPr>
          <w:rFonts w:ascii="Calibri" w:hAnsi="Calibri"/>
        </w:rPr>
        <w:t>The PBAC advised it would be appropriate to extend access on the National Immunisation Program for the vaccinations recommended in the Product Information, not limited to patients with PNH who have an inadequate clinical response or are intolerant to treatment with eculizumab or ravulizumab</w:t>
      </w:r>
      <w:r w:rsidRPr="0098660A">
        <w:rPr>
          <w:rStyle w:val="FootnoteReference"/>
          <w:rFonts w:ascii="Calibri" w:hAnsi="Calibri"/>
        </w:rPr>
        <w:footnoteReference w:id="20"/>
      </w:r>
      <w:r w:rsidRPr="0098660A">
        <w:rPr>
          <w:rFonts w:ascii="Calibri" w:hAnsi="Calibri"/>
        </w:rPr>
        <w:t>.</w:t>
      </w:r>
    </w:p>
    <w:p w14:paraId="6FFD8D96" w14:textId="467B9C68" w:rsidR="00EC7C47" w:rsidRPr="0098660A" w:rsidRDefault="00EC7C47" w:rsidP="00A347AF">
      <w:pPr>
        <w:widowControl w:val="0"/>
        <w:numPr>
          <w:ilvl w:val="1"/>
          <w:numId w:val="1"/>
        </w:numPr>
        <w:spacing w:after="120"/>
      </w:pPr>
      <w:r w:rsidRPr="0098660A">
        <w:rPr>
          <w:rFonts w:asciiTheme="minorHAnsi" w:hAnsiTheme="minorHAnsi"/>
          <w:bCs/>
          <w:snapToGrid w:val="0"/>
        </w:rPr>
        <w:t>The PBAC advised that</w:t>
      </w:r>
      <w:r w:rsidR="001A69AF" w:rsidRPr="0098660A">
        <w:rPr>
          <w:rFonts w:asciiTheme="minorHAnsi" w:hAnsiTheme="minorHAnsi"/>
          <w:bCs/>
          <w:snapToGrid w:val="0"/>
        </w:rPr>
        <w:t xml:space="preserve"> pegcetacoplan</w:t>
      </w:r>
      <w:r w:rsidRPr="0098660A">
        <w:rPr>
          <w:rFonts w:asciiTheme="minorHAnsi" w:hAnsiTheme="minorHAnsi"/>
          <w:bCs/>
          <w:snapToGrid w:val="0"/>
        </w:rPr>
        <w:t xml:space="preserve"> is not suitable for prescribing by nurse practitioners.</w:t>
      </w:r>
    </w:p>
    <w:p w14:paraId="52E344CB" w14:textId="2B68C81B" w:rsidR="00EC7C47" w:rsidRPr="0098660A" w:rsidRDefault="00EC7C47" w:rsidP="00574912">
      <w:pPr>
        <w:widowControl w:val="0"/>
        <w:numPr>
          <w:ilvl w:val="1"/>
          <w:numId w:val="1"/>
        </w:numPr>
        <w:spacing w:after="120"/>
        <w:rPr>
          <w:rFonts w:cstheme="minorHAnsi"/>
        </w:rPr>
      </w:pPr>
      <w:r w:rsidRPr="0098660A">
        <w:rPr>
          <w:rFonts w:asciiTheme="minorHAnsi" w:hAnsiTheme="minorHAnsi"/>
          <w:bCs/>
          <w:snapToGrid w:val="0"/>
        </w:rPr>
        <w:t>The</w:t>
      </w:r>
      <w:r w:rsidRPr="0098660A">
        <w:rPr>
          <w:rFonts w:asciiTheme="minorHAnsi" w:hAnsiTheme="minorHAnsi" w:cstheme="minorHAnsi"/>
        </w:rPr>
        <w:t xml:space="preserve"> PBAC noted that its recommendation was on a cost-minimisation basis and advised that, because </w:t>
      </w:r>
      <w:r w:rsidR="00574912" w:rsidRPr="0098660A">
        <w:rPr>
          <w:rFonts w:asciiTheme="minorHAnsi" w:hAnsiTheme="minorHAnsi" w:cstheme="minorHAnsi"/>
        </w:rPr>
        <w:t>pegcetacoplan</w:t>
      </w:r>
      <w:r w:rsidRPr="0098660A">
        <w:rPr>
          <w:rFonts w:asciiTheme="minorHAnsi" w:hAnsiTheme="minorHAnsi" w:cstheme="minorHAnsi"/>
        </w:rPr>
        <w:t xml:space="preserve"> is not expected to provide a substantial</w:t>
      </w:r>
      <w:r w:rsidRPr="0098660A">
        <w:rPr>
          <w:rFonts w:asciiTheme="minorHAnsi" w:hAnsiTheme="minorHAnsi"/>
          <w:bCs/>
        </w:rPr>
        <w:t xml:space="preserve"> and clinically relevant improvement in efficacy, or reduction of toxicity, over</w:t>
      </w:r>
      <w:r w:rsidR="00253EA2">
        <w:rPr>
          <w:rFonts w:asciiTheme="minorHAnsi" w:hAnsiTheme="minorHAnsi"/>
          <w:bCs/>
        </w:rPr>
        <w:t xml:space="preserve"> ravulizumab</w:t>
      </w:r>
      <w:r w:rsidRPr="0098660A">
        <w:rPr>
          <w:rFonts w:asciiTheme="minorHAnsi" w:hAnsiTheme="minorHAnsi"/>
          <w:bCs/>
        </w:rPr>
        <w:t xml:space="preserve">, or not expected to address a high and urgent unmet clinical need given the presence of an alternative therapy, the criteria prescribed by the </w:t>
      </w:r>
      <w:r w:rsidRPr="0098660A">
        <w:rPr>
          <w:rFonts w:asciiTheme="minorHAnsi" w:hAnsiTheme="minorHAnsi"/>
          <w:bCs/>
          <w:i/>
        </w:rPr>
        <w:t>National Health (Pharmaceuticals and Vaccines – Cost Recovery) Regulations 2022</w:t>
      </w:r>
      <w:r w:rsidRPr="0098660A">
        <w:rPr>
          <w:rFonts w:asciiTheme="minorHAnsi" w:hAnsiTheme="minorHAnsi"/>
          <w:bCs/>
        </w:rPr>
        <w:t xml:space="preserve"> for Pricing Pathway A were not met.</w:t>
      </w:r>
    </w:p>
    <w:p w14:paraId="6EE74B5A" w14:textId="623B8EC7" w:rsidR="00743D58" w:rsidRPr="0098660A" w:rsidRDefault="00EC7C47" w:rsidP="00B72BBC">
      <w:pPr>
        <w:widowControl w:val="0"/>
        <w:numPr>
          <w:ilvl w:val="1"/>
          <w:numId w:val="1"/>
        </w:numPr>
        <w:spacing w:after="120"/>
        <w:rPr>
          <w:rFonts w:asciiTheme="minorHAnsi" w:hAnsiTheme="minorHAnsi"/>
          <w:bCs/>
          <w:snapToGrid w:val="0"/>
        </w:rPr>
      </w:pPr>
      <w:r w:rsidRPr="0098660A">
        <w:rPr>
          <w:rFonts w:asciiTheme="minorHAnsi" w:hAnsiTheme="minorHAnsi"/>
          <w:bCs/>
          <w:snapToGrid w:val="0"/>
        </w:rPr>
        <w:t>The PBAC noted that this submission not eligible for an Independent Review</w:t>
      </w:r>
      <w:r w:rsidR="00B72BBC" w:rsidRPr="0098660A">
        <w:rPr>
          <w:rFonts w:asciiTheme="minorHAnsi" w:hAnsiTheme="minorHAnsi"/>
          <w:bCs/>
          <w:snapToGrid w:val="0"/>
        </w:rPr>
        <w:t xml:space="preserve"> as it received a positive recommendation. </w:t>
      </w:r>
    </w:p>
    <w:p w14:paraId="5D0271CE" w14:textId="637411EB" w:rsidR="00743D58" w:rsidRPr="0098660A" w:rsidRDefault="00743D58" w:rsidP="00B72BBC">
      <w:pPr>
        <w:widowControl w:val="0"/>
        <w:numPr>
          <w:ilvl w:val="1"/>
          <w:numId w:val="1"/>
        </w:numPr>
        <w:spacing w:after="120"/>
        <w:rPr>
          <w:rFonts w:asciiTheme="minorHAnsi" w:hAnsiTheme="minorHAnsi"/>
          <w:bCs/>
          <w:snapToGrid w:val="0"/>
        </w:rPr>
      </w:pPr>
      <w:r w:rsidRPr="0098660A">
        <w:rPr>
          <w:rFonts w:asciiTheme="minorHAnsi" w:hAnsiTheme="minorHAnsi"/>
          <w:bCs/>
          <w:snapToGrid w:val="0"/>
        </w:rPr>
        <w:t>The PBAC recommended that the Early Supply Rule should not apply.</w:t>
      </w:r>
    </w:p>
    <w:p w14:paraId="5958FB3E" w14:textId="77777777" w:rsidR="00EC7C47" w:rsidRPr="0098660A" w:rsidRDefault="00EC7C47" w:rsidP="00EC7C47">
      <w:pPr>
        <w:spacing w:before="240"/>
        <w:rPr>
          <w:rFonts w:asciiTheme="minorHAnsi" w:hAnsiTheme="minorHAnsi"/>
          <w:b/>
          <w:bCs/>
          <w:snapToGrid w:val="0"/>
        </w:rPr>
      </w:pPr>
      <w:r w:rsidRPr="0098660A">
        <w:rPr>
          <w:rFonts w:asciiTheme="minorHAnsi" w:hAnsiTheme="minorHAnsi"/>
          <w:b/>
          <w:bCs/>
          <w:snapToGrid w:val="0"/>
        </w:rPr>
        <w:t>Outcome:</w:t>
      </w:r>
    </w:p>
    <w:p w14:paraId="45AB5AA1" w14:textId="3B18FCE6" w:rsidR="00EC7C47" w:rsidRPr="0098660A" w:rsidRDefault="00EC7C47" w:rsidP="00EC7C47">
      <w:pPr>
        <w:rPr>
          <w:rFonts w:asciiTheme="minorHAnsi" w:hAnsiTheme="minorHAnsi"/>
          <w:bCs/>
          <w:snapToGrid w:val="0"/>
        </w:rPr>
      </w:pPr>
      <w:r w:rsidRPr="0098660A">
        <w:rPr>
          <w:rFonts w:asciiTheme="minorHAnsi" w:hAnsiTheme="minorHAnsi"/>
          <w:bCs/>
          <w:snapToGrid w:val="0"/>
        </w:rPr>
        <w:t xml:space="preserve">Recommended </w:t>
      </w:r>
    </w:p>
    <w:bookmarkEnd w:id="97"/>
    <w:p w14:paraId="6C99E214" w14:textId="7A1F1539" w:rsidR="00EC7C47" w:rsidRPr="0098660A" w:rsidRDefault="00EC7C47" w:rsidP="00EC7C47">
      <w:pPr>
        <w:pStyle w:val="2-SectionHeading"/>
        <w:numPr>
          <w:ilvl w:val="0"/>
          <w:numId w:val="1"/>
        </w:numPr>
      </w:pPr>
      <w:r w:rsidRPr="0098660A">
        <w:lastRenderedPageBreak/>
        <w:t>Recommended listing</w:t>
      </w:r>
    </w:p>
    <w:p w14:paraId="184977E0" w14:textId="2818DA20" w:rsidR="005733D8" w:rsidRPr="0098660A" w:rsidRDefault="00EC7C47" w:rsidP="00CA572A">
      <w:pPr>
        <w:pStyle w:val="3-BodyText"/>
        <w:rPr>
          <w:snapToGrid w:val="0"/>
        </w:rPr>
      </w:pPr>
      <w:r w:rsidRPr="0098660A">
        <w:rPr>
          <w:snapToGrid w:val="0"/>
        </w:rPr>
        <w:t>Amend existing</w:t>
      </w:r>
      <w:r w:rsidR="00A918DF" w:rsidRPr="0098660A">
        <w:rPr>
          <w:snapToGrid w:val="0"/>
        </w:rPr>
        <w:t xml:space="preserve"> </w:t>
      </w:r>
      <w:r w:rsidRPr="0098660A">
        <w:rPr>
          <w:snapToGrid w:val="0"/>
        </w:rPr>
        <w:t>listing as follows:</w:t>
      </w:r>
    </w:p>
    <w:p w14:paraId="292ECE42" w14:textId="1CFB5678" w:rsidR="007718A0" w:rsidRPr="0098660A" w:rsidRDefault="007718A0" w:rsidP="004908CF">
      <w:pPr>
        <w:pStyle w:val="5-SubsectionSubheading"/>
      </w:pPr>
      <w:r w:rsidRPr="0098660A">
        <w:t xml:space="preserve">Initial 1 treatment (complement inhibitor untreated patients): </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1701"/>
        <w:gridCol w:w="709"/>
        <w:gridCol w:w="992"/>
        <w:gridCol w:w="709"/>
        <w:gridCol w:w="1317"/>
        <w:gridCol w:w="49"/>
      </w:tblGrid>
      <w:tr w:rsidR="007718A0" w:rsidRPr="0098660A" w14:paraId="345412DE" w14:textId="77777777" w:rsidTr="51A4B722">
        <w:trPr>
          <w:cantSplit/>
          <w:trHeight w:val="20"/>
        </w:trPr>
        <w:tc>
          <w:tcPr>
            <w:tcW w:w="3545" w:type="dxa"/>
            <w:vAlign w:val="center"/>
          </w:tcPr>
          <w:p w14:paraId="03AB93D2" w14:textId="77777777" w:rsidR="007718A0" w:rsidRPr="0098660A" w:rsidRDefault="007718A0" w:rsidP="000E2127">
            <w:pPr>
              <w:keepLines/>
              <w:rPr>
                <w:rFonts w:ascii="Arial Narrow" w:hAnsi="Arial Narrow"/>
                <w:b/>
                <w:bCs/>
                <w:sz w:val="20"/>
                <w:szCs w:val="20"/>
              </w:rPr>
            </w:pPr>
            <w:r w:rsidRPr="0098660A">
              <w:rPr>
                <w:rFonts w:ascii="Arial Narrow" w:hAnsi="Arial Narrow"/>
                <w:b/>
                <w:bCs/>
                <w:sz w:val="20"/>
                <w:szCs w:val="20"/>
              </w:rPr>
              <w:t>MEDICINAL PRODUCT</w:t>
            </w:r>
          </w:p>
          <w:p w14:paraId="68528A98" w14:textId="77777777" w:rsidR="007718A0" w:rsidRPr="0098660A" w:rsidRDefault="007718A0" w:rsidP="000E2127">
            <w:pPr>
              <w:keepLines/>
              <w:rPr>
                <w:rFonts w:ascii="Arial Narrow" w:hAnsi="Arial Narrow"/>
                <w:b/>
                <w:sz w:val="20"/>
                <w:szCs w:val="20"/>
              </w:rPr>
            </w:pPr>
            <w:r w:rsidRPr="0098660A">
              <w:rPr>
                <w:rFonts w:ascii="Arial Narrow" w:hAnsi="Arial Narrow"/>
                <w:b/>
                <w:bCs/>
                <w:sz w:val="20"/>
                <w:szCs w:val="20"/>
              </w:rPr>
              <w:t>medicinal product pack</w:t>
            </w:r>
          </w:p>
        </w:tc>
        <w:tc>
          <w:tcPr>
            <w:tcW w:w="1701" w:type="dxa"/>
            <w:vAlign w:val="center"/>
          </w:tcPr>
          <w:p w14:paraId="419BE8F9" w14:textId="77777777" w:rsidR="007718A0" w:rsidRPr="0098660A" w:rsidRDefault="007718A0" w:rsidP="000E2127">
            <w:pPr>
              <w:keepLines/>
              <w:jc w:val="center"/>
              <w:rPr>
                <w:rFonts w:ascii="Arial Narrow" w:hAnsi="Arial Narrow"/>
                <w:b/>
                <w:sz w:val="20"/>
                <w:szCs w:val="20"/>
              </w:rPr>
            </w:pPr>
            <w:r w:rsidRPr="0098660A">
              <w:rPr>
                <w:rFonts w:ascii="Arial Narrow" w:hAnsi="Arial Narrow"/>
                <w:b/>
                <w:sz w:val="20"/>
                <w:szCs w:val="20"/>
              </w:rPr>
              <w:t>PBS item code</w:t>
            </w:r>
          </w:p>
        </w:tc>
        <w:tc>
          <w:tcPr>
            <w:tcW w:w="709" w:type="dxa"/>
            <w:vAlign w:val="center"/>
          </w:tcPr>
          <w:p w14:paraId="154566AF" w14:textId="77777777" w:rsidR="007718A0" w:rsidRPr="0098660A" w:rsidRDefault="007718A0" w:rsidP="000E2127">
            <w:pPr>
              <w:keepLines/>
              <w:jc w:val="center"/>
              <w:rPr>
                <w:rFonts w:ascii="Arial Narrow" w:hAnsi="Arial Narrow"/>
                <w:b/>
                <w:sz w:val="20"/>
                <w:szCs w:val="20"/>
              </w:rPr>
            </w:pPr>
            <w:r w:rsidRPr="0098660A">
              <w:rPr>
                <w:rFonts w:ascii="Arial Narrow" w:hAnsi="Arial Narrow"/>
                <w:b/>
                <w:sz w:val="20"/>
                <w:szCs w:val="20"/>
              </w:rPr>
              <w:t>Max. qty packs</w:t>
            </w:r>
          </w:p>
        </w:tc>
        <w:tc>
          <w:tcPr>
            <w:tcW w:w="992" w:type="dxa"/>
            <w:vAlign w:val="center"/>
          </w:tcPr>
          <w:p w14:paraId="22811354" w14:textId="77777777" w:rsidR="007718A0" w:rsidRPr="0098660A" w:rsidRDefault="007718A0" w:rsidP="000E2127">
            <w:pPr>
              <w:keepLines/>
              <w:jc w:val="center"/>
              <w:rPr>
                <w:rFonts w:ascii="Arial Narrow" w:hAnsi="Arial Narrow"/>
                <w:b/>
                <w:sz w:val="20"/>
                <w:szCs w:val="20"/>
              </w:rPr>
            </w:pPr>
            <w:r w:rsidRPr="0098660A">
              <w:rPr>
                <w:rFonts w:ascii="Arial Narrow" w:hAnsi="Arial Narrow"/>
                <w:b/>
                <w:sz w:val="20"/>
                <w:szCs w:val="20"/>
              </w:rPr>
              <w:t>Max. qty units</w:t>
            </w:r>
          </w:p>
        </w:tc>
        <w:tc>
          <w:tcPr>
            <w:tcW w:w="709" w:type="dxa"/>
            <w:vAlign w:val="center"/>
          </w:tcPr>
          <w:p w14:paraId="4CCF497E" w14:textId="77777777" w:rsidR="007718A0" w:rsidRPr="0098660A" w:rsidRDefault="007718A0" w:rsidP="000E2127">
            <w:pPr>
              <w:keepLines/>
              <w:jc w:val="center"/>
              <w:rPr>
                <w:rFonts w:ascii="Arial Narrow" w:hAnsi="Arial Narrow"/>
                <w:b/>
                <w:bCs/>
                <w:sz w:val="20"/>
                <w:szCs w:val="20"/>
              </w:rPr>
            </w:pPr>
            <w:r w:rsidRPr="0098660A">
              <w:rPr>
                <w:rFonts w:ascii="Arial Narrow" w:hAnsi="Arial Narrow"/>
                <w:b/>
                <w:bCs/>
                <w:sz w:val="20"/>
                <w:szCs w:val="20"/>
              </w:rPr>
              <w:t>№.of</w:t>
            </w:r>
          </w:p>
          <w:p w14:paraId="474347A8" w14:textId="77777777" w:rsidR="007718A0" w:rsidRPr="0098660A" w:rsidRDefault="007718A0" w:rsidP="000E2127">
            <w:pPr>
              <w:keepLines/>
              <w:jc w:val="center"/>
              <w:rPr>
                <w:rFonts w:ascii="Arial Narrow" w:hAnsi="Arial Narrow"/>
                <w:b/>
                <w:sz w:val="20"/>
                <w:szCs w:val="20"/>
              </w:rPr>
            </w:pPr>
            <w:r w:rsidRPr="0098660A">
              <w:rPr>
                <w:rFonts w:ascii="Arial Narrow" w:hAnsi="Arial Narrow"/>
                <w:b/>
                <w:sz w:val="20"/>
                <w:szCs w:val="20"/>
              </w:rPr>
              <w:t>Rpts</w:t>
            </w:r>
          </w:p>
        </w:tc>
        <w:tc>
          <w:tcPr>
            <w:tcW w:w="1366" w:type="dxa"/>
            <w:gridSpan w:val="2"/>
            <w:vAlign w:val="center"/>
          </w:tcPr>
          <w:p w14:paraId="7B20CC8C" w14:textId="77777777" w:rsidR="007718A0" w:rsidRPr="0098660A" w:rsidRDefault="007718A0" w:rsidP="000E2127">
            <w:pPr>
              <w:keepLines/>
              <w:rPr>
                <w:rFonts w:ascii="Arial Narrow" w:hAnsi="Arial Narrow"/>
                <w:b/>
                <w:sz w:val="20"/>
                <w:szCs w:val="20"/>
              </w:rPr>
            </w:pPr>
            <w:r w:rsidRPr="0098660A">
              <w:rPr>
                <w:rFonts w:ascii="Arial Narrow" w:hAnsi="Arial Narrow"/>
                <w:b/>
                <w:sz w:val="20"/>
                <w:szCs w:val="20"/>
              </w:rPr>
              <w:t>Available brands</w:t>
            </w:r>
          </w:p>
        </w:tc>
      </w:tr>
      <w:tr w:rsidR="007718A0" w:rsidRPr="0098660A" w14:paraId="666D2E6E" w14:textId="77777777" w:rsidTr="51A4B722">
        <w:trPr>
          <w:cantSplit/>
          <w:trHeight w:val="20"/>
        </w:trPr>
        <w:tc>
          <w:tcPr>
            <w:tcW w:w="9022" w:type="dxa"/>
            <w:gridSpan w:val="7"/>
            <w:vAlign w:val="center"/>
          </w:tcPr>
          <w:p w14:paraId="186499CE" w14:textId="77777777" w:rsidR="007718A0" w:rsidRPr="0098660A" w:rsidRDefault="007718A0" w:rsidP="000E2127">
            <w:pPr>
              <w:keepLines/>
              <w:rPr>
                <w:rFonts w:ascii="Arial Narrow" w:hAnsi="Arial Narrow"/>
                <w:sz w:val="20"/>
                <w:szCs w:val="20"/>
              </w:rPr>
            </w:pPr>
            <w:r w:rsidRPr="0098660A">
              <w:rPr>
                <w:rFonts w:ascii="Arial Narrow" w:hAnsi="Arial Narrow"/>
                <w:sz w:val="20"/>
                <w:szCs w:val="20"/>
              </w:rPr>
              <w:t>PEGCETACOPLAN</w:t>
            </w:r>
          </w:p>
        </w:tc>
      </w:tr>
      <w:tr w:rsidR="007718A0" w:rsidRPr="0098660A" w14:paraId="5DBDE4EF" w14:textId="77777777" w:rsidTr="51A4B722">
        <w:trPr>
          <w:cantSplit/>
          <w:trHeight w:val="20"/>
        </w:trPr>
        <w:tc>
          <w:tcPr>
            <w:tcW w:w="3545" w:type="dxa"/>
            <w:vAlign w:val="center"/>
          </w:tcPr>
          <w:p w14:paraId="059B0D74" w14:textId="77777777" w:rsidR="007718A0" w:rsidRPr="0098660A" w:rsidRDefault="007718A0" w:rsidP="000E2127">
            <w:pPr>
              <w:keepLines/>
              <w:rPr>
                <w:rFonts w:ascii="Arial Narrow" w:hAnsi="Arial Narrow"/>
                <w:sz w:val="20"/>
                <w:szCs w:val="20"/>
              </w:rPr>
            </w:pPr>
            <w:r w:rsidRPr="0098660A">
              <w:rPr>
                <w:rFonts w:ascii="Arial Narrow" w:hAnsi="Arial Narrow"/>
                <w:sz w:val="20"/>
                <w:szCs w:val="20"/>
              </w:rPr>
              <w:t>pegcetacoplan 1.08 g/20 mL injection, 20 mL vial </w:t>
            </w:r>
          </w:p>
        </w:tc>
        <w:tc>
          <w:tcPr>
            <w:tcW w:w="1701" w:type="dxa"/>
            <w:vAlign w:val="center"/>
          </w:tcPr>
          <w:p w14:paraId="285FC64D" w14:textId="77777777" w:rsidR="007718A0" w:rsidRPr="0098660A" w:rsidRDefault="007718A0" w:rsidP="000E2127">
            <w:pPr>
              <w:keepLines/>
              <w:jc w:val="center"/>
              <w:rPr>
                <w:rFonts w:ascii="Arial Narrow" w:hAnsi="Arial Narrow"/>
                <w:sz w:val="20"/>
                <w:szCs w:val="20"/>
              </w:rPr>
            </w:pPr>
            <w:r w:rsidRPr="0098660A">
              <w:rPr>
                <w:rFonts w:ascii="Arial Narrow" w:hAnsi="Arial Narrow"/>
                <w:sz w:val="20"/>
                <w:szCs w:val="20"/>
              </w:rPr>
              <w:t>NEW (HSD Private)</w:t>
            </w:r>
          </w:p>
          <w:p w14:paraId="7D47436C" w14:textId="77777777" w:rsidR="007718A0" w:rsidRPr="0098660A" w:rsidRDefault="007718A0" w:rsidP="000E2127">
            <w:pPr>
              <w:keepLines/>
              <w:jc w:val="center"/>
              <w:rPr>
                <w:rFonts w:ascii="Arial Narrow" w:hAnsi="Arial Narrow"/>
                <w:sz w:val="20"/>
                <w:szCs w:val="20"/>
              </w:rPr>
            </w:pPr>
            <w:r w:rsidRPr="0098660A">
              <w:rPr>
                <w:rFonts w:ascii="Arial Narrow" w:hAnsi="Arial Narrow"/>
                <w:sz w:val="20"/>
                <w:szCs w:val="20"/>
              </w:rPr>
              <w:t>NEW (HSD Public)</w:t>
            </w:r>
          </w:p>
        </w:tc>
        <w:tc>
          <w:tcPr>
            <w:tcW w:w="709" w:type="dxa"/>
            <w:vAlign w:val="center"/>
          </w:tcPr>
          <w:p w14:paraId="31F28311" w14:textId="77777777" w:rsidR="007718A0" w:rsidRPr="0098660A" w:rsidRDefault="007718A0" w:rsidP="000E2127">
            <w:pPr>
              <w:keepLines/>
              <w:jc w:val="center"/>
              <w:rPr>
                <w:rFonts w:ascii="Arial Narrow" w:hAnsi="Arial Narrow"/>
                <w:sz w:val="20"/>
                <w:szCs w:val="20"/>
              </w:rPr>
            </w:pPr>
            <w:r w:rsidRPr="0098660A">
              <w:rPr>
                <w:rFonts w:ascii="Arial Narrow" w:hAnsi="Arial Narrow"/>
                <w:sz w:val="20"/>
                <w:szCs w:val="20"/>
              </w:rPr>
              <w:t>1</w:t>
            </w:r>
          </w:p>
        </w:tc>
        <w:tc>
          <w:tcPr>
            <w:tcW w:w="992" w:type="dxa"/>
            <w:vAlign w:val="center"/>
          </w:tcPr>
          <w:p w14:paraId="3F9AEE54" w14:textId="77777777" w:rsidR="007718A0" w:rsidRPr="0098660A" w:rsidRDefault="007718A0" w:rsidP="000E2127">
            <w:pPr>
              <w:keepLines/>
              <w:jc w:val="center"/>
              <w:rPr>
                <w:rFonts w:ascii="Arial Narrow" w:hAnsi="Arial Narrow"/>
                <w:sz w:val="20"/>
                <w:szCs w:val="20"/>
              </w:rPr>
            </w:pPr>
            <w:r w:rsidRPr="0098660A">
              <w:rPr>
                <w:rFonts w:ascii="Arial Narrow" w:hAnsi="Arial Narrow"/>
                <w:sz w:val="20"/>
                <w:szCs w:val="20"/>
              </w:rPr>
              <w:t>1</w:t>
            </w:r>
          </w:p>
        </w:tc>
        <w:tc>
          <w:tcPr>
            <w:tcW w:w="709" w:type="dxa"/>
            <w:vAlign w:val="center"/>
          </w:tcPr>
          <w:p w14:paraId="35B5ED79" w14:textId="77777777" w:rsidR="007718A0" w:rsidRPr="0098660A" w:rsidRDefault="007718A0" w:rsidP="000E2127">
            <w:pPr>
              <w:keepLines/>
              <w:jc w:val="center"/>
              <w:rPr>
                <w:rFonts w:ascii="Arial Narrow" w:hAnsi="Arial Narrow"/>
                <w:sz w:val="20"/>
                <w:szCs w:val="20"/>
              </w:rPr>
            </w:pPr>
            <w:r w:rsidRPr="0098660A">
              <w:rPr>
                <w:rFonts w:ascii="Arial Narrow" w:hAnsi="Arial Narrow"/>
                <w:sz w:val="20"/>
                <w:szCs w:val="20"/>
              </w:rPr>
              <w:t>0</w:t>
            </w:r>
          </w:p>
        </w:tc>
        <w:tc>
          <w:tcPr>
            <w:tcW w:w="1366" w:type="dxa"/>
            <w:gridSpan w:val="2"/>
            <w:vAlign w:val="center"/>
          </w:tcPr>
          <w:p w14:paraId="1F641672" w14:textId="77777777" w:rsidR="007718A0" w:rsidRPr="0098660A" w:rsidRDefault="007718A0" w:rsidP="000E2127">
            <w:pPr>
              <w:keepLines/>
              <w:rPr>
                <w:rFonts w:ascii="Arial Narrow" w:hAnsi="Arial Narrow"/>
                <w:sz w:val="20"/>
                <w:szCs w:val="20"/>
              </w:rPr>
            </w:pPr>
            <w:r w:rsidRPr="0098660A">
              <w:rPr>
                <w:rFonts w:ascii="Arial Narrow" w:hAnsi="Arial Narrow"/>
                <w:sz w:val="20"/>
                <w:szCs w:val="20"/>
              </w:rPr>
              <w:t xml:space="preserve">Empaveli </w:t>
            </w:r>
          </w:p>
        </w:tc>
      </w:tr>
      <w:tr w:rsidR="007718A0" w:rsidRPr="0098660A" w14:paraId="2013E80C" w14:textId="77777777" w:rsidTr="51A4B722">
        <w:tblPrEx>
          <w:tblCellMar>
            <w:top w:w="15" w:type="dxa"/>
            <w:bottom w:w="15" w:type="dxa"/>
          </w:tblCellMar>
          <w:tblLook w:val="04A0" w:firstRow="1" w:lastRow="0" w:firstColumn="1" w:lastColumn="0" w:noHBand="0" w:noVBand="1"/>
        </w:tblPrEx>
        <w:trPr>
          <w:trHeight w:val="20"/>
        </w:trPr>
        <w:tc>
          <w:tcPr>
            <w:tcW w:w="9022" w:type="dxa"/>
            <w:gridSpan w:val="7"/>
            <w:tcBorders>
              <w:top w:val="single" w:sz="4" w:space="0" w:color="auto"/>
              <w:left w:val="single" w:sz="4" w:space="0" w:color="auto"/>
              <w:right w:val="single" w:sz="4" w:space="0" w:color="auto"/>
            </w:tcBorders>
            <w:vAlign w:val="center"/>
          </w:tcPr>
          <w:p w14:paraId="590496A4" w14:textId="77777777" w:rsidR="007718A0" w:rsidRPr="0098660A" w:rsidRDefault="007718A0" w:rsidP="000E2127">
            <w:pPr>
              <w:rPr>
                <w:rFonts w:ascii="Arial Narrow" w:hAnsi="Arial Narrow"/>
                <w:sz w:val="20"/>
                <w:szCs w:val="20"/>
              </w:rPr>
            </w:pPr>
          </w:p>
        </w:tc>
      </w:tr>
      <w:tr w:rsidR="00B352CB" w:rsidRPr="0098660A" w14:paraId="54E9B273" w14:textId="77777777" w:rsidTr="00147ACC">
        <w:tblPrEx>
          <w:tblCellMar>
            <w:top w:w="15" w:type="dxa"/>
            <w:bottom w:w="15" w:type="dxa"/>
          </w:tblCellMar>
          <w:tblLook w:val="04A0" w:firstRow="1" w:lastRow="0" w:firstColumn="1" w:lastColumn="0" w:noHBand="0" w:noVBand="1"/>
        </w:tblPrEx>
        <w:trPr>
          <w:gridAfter w:val="1"/>
          <w:wAfter w:w="49" w:type="dxa"/>
          <w:trHeight w:val="20"/>
        </w:trPr>
        <w:tc>
          <w:tcPr>
            <w:tcW w:w="8973" w:type="dxa"/>
            <w:gridSpan w:val="6"/>
            <w:tcBorders>
              <w:top w:val="single" w:sz="4" w:space="0" w:color="auto"/>
              <w:left w:val="single" w:sz="4" w:space="0" w:color="auto"/>
              <w:bottom w:val="single" w:sz="4" w:space="0" w:color="auto"/>
              <w:right w:val="single" w:sz="4" w:space="0" w:color="auto"/>
            </w:tcBorders>
            <w:vAlign w:val="center"/>
          </w:tcPr>
          <w:p w14:paraId="7F435390" w14:textId="77777777" w:rsidR="00B352CB" w:rsidRPr="0098660A" w:rsidRDefault="00B352CB" w:rsidP="000E2127">
            <w:pPr>
              <w:keepLines/>
              <w:rPr>
                <w:rFonts w:ascii="Arial Narrow" w:hAnsi="Arial Narrow"/>
                <w:sz w:val="20"/>
                <w:szCs w:val="20"/>
              </w:rPr>
            </w:pPr>
            <w:r w:rsidRPr="0098660A">
              <w:rPr>
                <w:rFonts w:ascii="Arial Narrow" w:hAnsi="Arial Narrow"/>
                <w:b/>
                <w:sz w:val="20"/>
                <w:szCs w:val="20"/>
              </w:rPr>
              <w:t>Category / Program:</w:t>
            </w:r>
            <w:r w:rsidRPr="0098660A">
              <w:rPr>
                <w:rFonts w:ascii="Arial Narrow" w:hAnsi="Arial Narrow"/>
                <w:sz w:val="20"/>
                <w:szCs w:val="20"/>
              </w:rPr>
              <w:t xml:space="preserve"> </w:t>
            </w:r>
            <w:r w:rsidRPr="0098660A">
              <w:rPr>
                <w:rFonts w:ascii="Arial Narrow" w:eastAsia="Calibri" w:hAnsi="Arial Narrow"/>
                <w:sz w:val="20"/>
                <w:szCs w:val="20"/>
              </w:rPr>
              <w:fldChar w:fldCharType="begin" w:fldLock="1">
                <w:ffData>
                  <w:name w:val=""/>
                  <w:enabled/>
                  <w:calcOnExit w:val="0"/>
                  <w:checkBox>
                    <w:sizeAuto/>
                    <w:default w:val="1"/>
                  </w:checkBox>
                </w:ffData>
              </w:fldChar>
            </w:r>
            <w:r w:rsidRPr="0098660A">
              <w:rPr>
                <w:rFonts w:ascii="Arial Narrow" w:eastAsia="Calibri" w:hAnsi="Arial Narrow"/>
                <w:sz w:val="20"/>
                <w:szCs w:val="20"/>
              </w:rPr>
              <w:instrText xml:space="preserve"> FORMCHECKBOX </w:instrText>
            </w:r>
            <w:r w:rsidRPr="0098660A">
              <w:rPr>
                <w:rFonts w:ascii="Arial Narrow" w:eastAsia="Calibri" w:hAnsi="Arial Narrow"/>
                <w:sz w:val="20"/>
                <w:szCs w:val="20"/>
              </w:rPr>
            </w:r>
            <w:r w:rsidRPr="0098660A">
              <w:rPr>
                <w:rFonts w:ascii="Arial Narrow" w:eastAsia="Calibri" w:hAnsi="Arial Narrow"/>
                <w:sz w:val="20"/>
                <w:szCs w:val="20"/>
              </w:rPr>
              <w:fldChar w:fldCharType="separate"/>
            </w:r>
            <w:r w:rsidRPr="0098660A">
              <w:rPr>
                <w:rFonts w:ascii="Arial Narrow" w:eastAsia="Calibri" w:hAnsi="Arial Narrow"/>
                <w:sz w:val="20"/>
                <w:szCs w:val="20"/>
              </w:rPr>
              <w:fldChar w:fldCharType="end"/>
            </w:r>
            <w:r w:rsidRPr="0098660A">
              <w:rPr>
                <w:rFonts w:ascii="Arial Narrow" w:eastAsia="Calibri" w:hAnsi="Arial Narrow"/>
                <w:sz w:val="20"/>
                <w:szCs w:val="20"/>
              </w:rPr>
              <w:t xml:space="preserve"> Section 100 – Highly Specialised Drugs Program – Public (Code HB)</w:t>
            </w:r>
            <w:r w:rsidRPr="0098660A">
              <w:rPr>
                <w:rFonts w:ascii="Arial Narrow" w:eastAsia="Calibri" w:hAnsi="Arial Narrow"/>
                <w:color w:val="FF0000"/>
                <w:sz w:val="20"/>
                <w:szCs w:val="20"/>
              </w:rPr>
              <w:t xml:space="preserve"> </w:t>
            </w:r>
            <w:r w:rsidRPr="0098660A">
              <w:rPr>
                <w:rFonts w:ascii="Arial Narrow" w:eastAsia="Calibri" w:hAnsi="Arial Narrow"/>
                <w:sz w:val="20"/>
                <w:szCs w:val="20"/>
              </w:rPr>
              <w:t>/ Private (Code HS)</w:t>
            </w:r>
          </w:p>
        </w:tc>
      </w:tr>
      <w:tr w:rsidR="00B352CB" w:rsidRPr="0098660A" w14:paraId="2483F06D" w14:textId="77777777" w:rsidTr="00147ACC">
        <w:tblPrEx>
          <w:tblCellMar>
            <w:top w:w="15" w:type="dxa"/>
            <w:bottom w:w="15" w:type="dxa"/>
          </w:tblCellMar>
          <w:tblLook w:val="04A0" w:firstRow="1" w:lastRow="0" w:firstColumn="1" w:lastColumn="0" w:noHBand="0" w:noVBand="1"/>
        </w:tblPrEx>
        <w:trPr>
          <w:gridAfter w:val="1"/>
          <w:wAfter w:w="49" w:type="dxa"/>
          <w:trHeight w:val="20"/>
        </w:trPr>
        <w:tc>
          <w:tcPr>
            <w:tcW w:w="8973" w:type="dxa"/>
            <w:gridSpan w:val="6"/>
            <w:tcBorders>
              <w:top w:val="single" w:sz="4" w:space="0" w:color="auto"/>
              <w:left w:val="single" w:sz="4" w:space="0" w:color="auto"/>
              <w:bottom w:val="single" w:sz="4" w:space="0" w:color="auto"/>
              <w:right w:val="single" w:sz="4" w:space="0" w:color="auto"/>
            </w:tcBorders>
            <w:vAlign w:val="center"/>
          </w:tcPr>
          <w:p w14:paraId="6D02EE7C" w14:textId="77777777" w:rsidR="00B352CB" w:rsidRPr="0098660A" w:rsidRDefault="00B352CB" w:rsidP="000E2127">
            <w:pPr>
              <w:keepLines/>
              <w:rPr>
                <w:rFonts w:ascii="Arial Narrow" w:hAnsi="Arial Narrow"/>
                <w:b/>
                <w:sz w:val="20"/>
                <w:szCs w:val="20"/>
              </w:rPr>
            </w:pPr>
            <w:r w:rsidRPr="0098660A">
              <w:rPr>
                <w:rFonts w:ascii="Arial Narrow" w:hAnsi="Arial Narrow"/>
                <w:b/>
                <w:sz w:val="20"/>
                <w:szCs w:val="20"/>
              </w:rPr>
              <w:t xml:space="preserve">Prescriber type: </w:t>
            </w:r>
            <w:r w:rsidRPr="0098660A">
              <w:rPr>
                <w:rFonts w:ascii="Arial Narrow" w:hAnsi="Arial Narrow"/>
                <w:sz w:val="20"/>
                <w:szCs w:val="20"/>
              </w:rPr>
              <w:fldChar w:fldCharType="begin" w:fldLock="1">
                <w:ffData>
                  <w:name w:val=""/>
                  <w:enabled/>
                  <w:calcOnExit w:val="0"/>
                  <w:checkBox>
                    <w:sizeAuto/>
                    <w:default w:val="1"/>
                  </w:checkBox>
                </w:ffData>
              </w:fldChar>
            </w:r>
            <w:r w:rsidRPr="0098660A">
              <w:rPr>
                <w:rFonts w:ascii="Arial Narrow" w:hAnsi="Arial Narrow"/>
                <w:sz w:val="20"/>
                <w:szCs w:val="20"/>
              </w:rPr>
              <w:instrText xml:space="preserve"> FORMCHECKBOX </w:instrText>
            </w:r>
            <w:r w:rsidRPr="0098660A">
              <w:rPr>
                <w:rFonts w:ascii="Arial Narrow" w:hAnsi="Arial Narrow"/>
                <w:sz w:val="20"/>
                <w:szCs w:val="20"/>
              </w:rPr>
            </w:r>
            <w:r w:rsidRPr="0098660A">
              <w:rPr>
                <w:rFonts w:ascii="Arial Narrow" w:hAnsi="Arial Narrow"/>
                <w:sz w:val="20"/>
                <w:szCs w:val="20"/>
              </w:rPr>
              <w:fldChar w:fldCharType="separate"/>
            </w:r>
            <w:r w:rsidRPr="0098660A">
              <w:rPr>
                <w:rFonts w:ascii="Arial Narrow" w:hAnsi="Arial Narrow"/>
                <w:sz w:val="20"/>
                <w:szCs w:val="20"/>
              </w:rPr>
              <w:fldChar w:fldCharType="end"/>
            </w:r>
            <w:r w:rsidRPr="0098660A">
              <w:rPr>
                <w:rFonts w:ascii="Arial Narrow" w:hAnsi="Arial Narrow"/>
                <w:sz w:val="20"/>
                <w:szCs w:val="20"/>
              </w:rPr>
              <w:t xml:space="preserve">Medical Practitioners </w:t>
            </w:r>
          </w:p>
        </w:tc>
      </w:tr>
      <w:tr w:rsidR="00B352CB" w:rsidRPr="0098660A" w14:paraId="4CD9B526" w14:textId="77777777" w:rsidTr="00147ACC">
        <w:tblPrEx>
          <w:tblCellMar>
            <w:top w:w="15" w:type="dxa"/>
            <w:bottom w:w="15" w:type="dxa"/>
          </w:tblCellMar>
          <w:tblLook w:val="04A0" w:firstRow="1" w:lastRow="0" w:firstColumn="1" w:lastColumn="0" w:noHBand="0" w:noVBand="1"/>
        </w:tblPrEx>
        <w:trPr>
          <w:gridAfter w:val="1"/>
          <w:wAfter w:w="49" w:type="dxa"/>
          <w:trHeight w:val="20"/>
        </w:trPr>
        <w:tc>
          <w:tcPr>
            <w:tcW w:w="8973" w:type="dxa"/>
            <w:gridSpan w:val="6"/>
            <w:tcBorders>
              <w:top w:val="single" w:sz="4" w:space="0" w:color="auto"/>
              <w:left w:val="single" w:sz="4" w:space="0" w:color="auto"/>
              <w:bottom w:val="single" w:sz="4" w:space="0" w:color="auto"/>
              <w:right w:val="single" w:sz="4" w:space="0" w:color="auto"/>
            </w:tcBorders>
            <w:vAlign w:val="center"/>
          </w:tcPr>
          <w:p w14:paraId="6C1A6D22" w14:textId="4056B826" w:rsidR="00B352CB" w:rsidRPr="0098660A" w:rsidRDefault="00B352CB" w:rsidP="000E2127">
            <w:pPr>
              <w:keepLines/>
              <w:rPr>
                <w:rFonts w:ascii="Arial Narrow" w:eastAsia="Calibri" w:hAnsi="Arial Narrow"/>
                <w:sz w:val="20"/>
                <w:szCs w:val="20"/>
              </w:rPr>
            </w:pPr>
            <w:r w:rsidRPr="0098660A">
              <w:rPr>
                <w:rFonts w:ascii="Arial Narrow" w:hAnsi="Arial Narrow"/>
                <w:b/>
                <w:bCs/>
                <w:sz w:val="20"/>
                <w:szCs w:val="20"/>
              </w:rPr>
              <w:t xml:space="preserve">Restriction type: </w:t>
            </w:r>
            <w:r w:rsidRPr="0098660A">
              <w:rPr>
                <w:rFonts w:ascii="Arial Narrow" w:eastAsia="Calibri" w:hAnsi="Arial Narrow"/>
                <w:sz w:val="20"/>
                <w:szCs w:val="20"/>
              </w:rPr>
              <w:fldChar w:fldCharType="begin" w:fldLock="1">
                <w:ffData>
                  <w:name w:val=""/>
                  <w:enabled/>
                  <w:calcOnExit w:val="0"/>
                  <w:checkBox>
                    <w:sizeAuto/>
                    <w:default w:val="1"/>
                  </w:checkBox>
                </w:ffData>
              </w:fldChar>
            </w:r>
            <w:r w:rsidRPr="0098660A">
              <w:rPr>
                <w:rFonts w:ascii="Arial Narrow" w:eastAsia="Calibri" w:hAnsi="Arial Narrow"/>
                <w:sz w:val="20"/>
                <w:szCs w:val="20"/>
              </w:rPr>
              <w:instrText xml:space="preserve"> FORMCHECKBOX </w:instrText>
            </w:r>
            <w:r w:rsidRPr="0098660A">
              <w:rPr>
                <w:rFonts w:ascii="Arial Narrow" w:eastAsia="Calibri" w:hAnsi="Arial Narrow"/>
                <w:sz w:val="20"/>
                <w:szCs w:val="20"/>
              </w:rPr>
            </w:r>
            <w:r w:rsidRPr="0098660A">
              <w:rPr>
                <w:rFonts w:ascii="Arial Narrow" w:eastAsia="Calibri" w:hAnsi="Arial Narrow"/>
                <w:sz w:val="20"/>
                <w:szCs w:val="20"/>
              </w:rPr>
              <w:fldChar w:fldCharType="separate"/>
            </w:r>
            <w:r w:rsidRPr="0098660A">
              <w:rPr>
                <w:rFonts w:ascii="Arial Narrow" w:eastAsia="Calibri" w:hAnsi="Arial Narrow"/>
                <w:sz w:val="20"/>
                <w:szCs w:val="20"/>
              </w:rPr>
              <w:fldChar w:fldCharType="end"/>
            </w:r>
            <w:r w:rsidRPr="0098660A">
              <w:rPr>
                <w:rFonts w:ascii="Arial Narrow" w:eastAsia="Calibri" w:hAnsi="Arial Narrow"/>
                <w:sz w:val="20"/>
                <w:szCs w:val="20"/>
              </w:rPr>
              <w:t xml:space="preserve">Authority Required (in writing only via OPA/post/HPOS upload) </w:t>
            </w:r>
          </w:p>
        </w:tc>
      </w:tr>
      <w:tr w:rsidR="00B352CB" w:rsidRPr="0098660A" w14:paraId="691500AE" w14:textId="77777777" w:rsidTr="00147ACC">
        <w:tblPrEx>
          <w:tblCellMar>
            <w:top w:w="15" w:type="dxa"/>
            <w:bottom w:w="15" w:type="dxa"/>
          </w:tblCellMar>
          <w:tblLook w:val="04A0" w:firstRow="1" w:lastRow="0" w:firstColumn="1" w:lastColumn="0" w:noHBand="0" w:noVBand="1"/>
        </w:tblPrEx>
        <w:trPr>
          <w:gridAfter w:val="1"/>
          <w:wAfter w:w="49" w:type="dxa"/>
          <w:trHeight w:val="20"/>
        </w:trPr>
        <w:tc>
          <w:tcPr>
            <w:tcW w:w="8973" w:type="dxa"/>
            <w:gridSpan w:val="6"/>
            <w:tcBorders>
              <w:top w:val="single" w:sz="4" w:space="0" w:color="auto"/>
              <w:left w:val="single" w:sz="4" w:space="0" w:color="auto"/>
              <w:bottom w:val="single" w:sz="4" w:space="0" w:color="auto"/>
              <w:right w:val="single" w:sz="4" w:space="0" w:color="auto"/>
            </w:tcBorders>
            <w:vAlign w:val="center"/>
          </w:tcPr>
          <w:p w14:paraId="53E73CD1" w14:textId="6AEF11AD" w:rsidR="00B352CB" w:rsidRPr="0098660A" w:rsidRDefault="00B352CB" w:rsidP="000E2127">
            <w:pPr>
              <w:keepLines/>
              <w:rPr>
                <w:rFonts w:ascii="Arial Narrow" w:hAnsi="Arial Narrow"/>
                <w:b/>
                <w:sz w:val="20"/>
                <w:szCs w:val="20"/>
              </w:rPr>
            </w:pPr>
            <w:r w:rsidRPr="0098660A">
              <w:rPr>
                <w:rFonts w:ascii="Arial Narrow" w:hAnsi="Arial Narrow"/>
                <w:b/>
                <w:sz w:val="20"/>
                <w:szCs w:val="20"/>
              </w:rPr>
              <w:t xml:space="preserve">Authority type: </w:t>
            </w:r>
            <w:r w:rsidRPr="0098660A">
              <w:rPr>
                <w:rFonts w:ascii="Arial Narrow" w:eastAsia="Calibri" w:hAnsi="Arial Narrow"/>
                <w:sz w:val="20"/>
                <w:szCs w:val="20"/>
              </w:rPr>
              <w:fldChar w:fldCharType="begin">
                <w:ffData>
                  <w:name w:val="Check1"/>
                  <w:enabled/>
                  <w:calcOnExit w:val="0"/>
                  <w:checkBox>
                    <w:sizeAuto/>
                    <w:default w:val="1"/>
                  </w:checkBox>
                </w:ffData>
              </w:fldChar>
            </w:r>
            <w:r w:rsidRPr="0098660A">
              <w:rPr>
                <w:rFonts w:ascii="Arial Narrow" w:eastAsia="Calibri" w:hAnsi="Arial Narrow"/>
                <w:sz w:val="20"/>
                <w:szCs w:val="20"/>
              </w:rPr>
              <w:instrText xml:space="preserve"> FORMCHECKBOX </w:instrText>
            </w:r>
            <w:r w:rsidRPr="0098660A">
              <w:rPr>
                <w:rFonts w:ascii="Arial Narrow" w:eastAsia="Calibri" w:hAnsi="Arial Narrow"/>
                <w:sz w:val="20"/>
                <w:szCs w:val="20"/>
              </w:rPr>
            </w:r>
            <w:r w:rsidRPr="0098660A">
              <w:rPr>
                <w:rFonts w:ascii="Arial Narrow" w:eastAsia="Calibri" w:hAnsi="Arial Narrow"/>
                <w:sz w:val="20"/>
                <w:szCs w:val="20"/>
              </w:rPr>
              <w:fldChar w:fldCharType="separate"/>
            </w:r>
            <w:r w:rsidRPr="0098660A">
              <w:rPr>
                <w:rFonts w:ascii="Arial Narrow" w:eastAsia="Calibri" w:hAnsi="Arial Narrow"/>
                <w:sz w:val="20"/>
                <w:szCs w:val="20"/>
              </w:rPr>
              <w:fldChar w:fldCharType="end"/>
            </w:r>
            <w:r w:rsidRPr="0098660A">
              <w:rPr>
                <w:rFonts w:ascii="Arial Narrow" w:eastAsia="Calibri" w:hAnsi="Arial Narrow"/>
                <w:sz w:val="20"/>
                <w:szCs w:val="20"/>
              </w:rPr>
              <w:t xml:space="preserve"> Complex Authority Required (CAR)</w:t>
            </w:r>
          </w:p>
        </w:tc>
      </w:tr>
      <w:tr w:rsidR="00B352CB" w:rsidRPr="0098660A" w14:paraId="75C416FE" w14:textId="77777777" w:rsidTr="00147ACC">
        <w:tblPrEx>
          <w:tblCellMar>
            <w:top w:w="15" w:type="dxa"/>
            <w:bottom w:w="15" w:type="dxa"/>
          </w:tblCellMar>
          <w:tblLook w:val="04A0" w:firstRow="1" w:lastRow="0" w:firstColumn="1" w:lastColumn="0" w:noHBand="0" w:noVBand="1"/>
        </w:tblPrEx>
        <w:trPr>
          <w:gridAfter w:val="1"/>
          <w:wAfter w:w="49" w:type="dxa"/>
          <w:trHeight w:val="20"/>
        </w:trPr>
        <w:tc>
          <w:tcPr>
            <w:tcW w:w="8973" w:type="dxa"/>
            <w:gridSpan w:val="6"/>
            <w:tcBorders>
              <w:top w:val="single" w:sz="4" w:space="0" w:color="auto"/>
              <w:left w:val="single" w:sz="4" w:space="0" w:color="auto"/>
              <w:bottom w:val="single" w:sz="4" w:space="0" w:color="auto"/>
              <w:right w:val="single" w:sz="4" w:space="0" w:color="auto"/>
            </w:tcBorders>
            <w:vAlign w:val="center"/>
          </w:tcPr>
          <w:p w14:paraId="50FF85FD" w14:textId="77777777" w:rsidR="00B352CB" w:rsidRPr="0098660A" w:rsidRDefault="00B352CB" w:rsidP="000E2127">
            <w:pPr>
              <w:keepLines/>
              <w:rPr>
                <w:rFonts w:ascii="Arial Narrow" w:hAnsi="Arial Narrow"/>
                <w:b/>
                <w:sz w:val="20"/>
                <w:szCs w:val="20"/>
              </w:rPr>
            </w:pPr>
            <w:r w:rsidRPr="0098660A">
              <w:rPr>
                <w:rFonts w:ascii="Arial Narrow" w:hAnsi="Arial Narrow"/>
                <w:b/>
                <w:sz w:val="20"/>
                <w:szCs w:val="20"/>
              </w:rPr>
              <w:t xml:space="preserve">Prescribing rule level:  </w:t>
            </w:r>
          </w:p>
        </w:tc>
      </w:tr>
      <w:tr w:rsidR="00B352CB" w:rsidRPr="0098660A" w14:paraId="27E26BD7" w14:textId="77777777" w:rsidTr="00147ACC">
        <w:tblPrEx>
          <w:tblCellMar>
            <w:top w:w="15" w:type="dxa"/>
            <w:bottom w:w="15" w:type="dxa"/>
          </w:tblCellMar>
          <w:tblLook w:val="04A0" w:firstRow="1" w:lastRow="0" w:firstColumn="1" w:lastColumn="0" w:noHBand="0" w:noVBand="1"/>
        </w:tblPrEx>
        <w:trPr>
          <w:gridAfter w:val="1"/>
          <w:wAfter w:w="49" w:type="dxa"/>
          <w:trHeight w:val="20"/>
        </w:trPr>
        <w:tc>
          <w:tcPr>
            <w:tcW w:w="8973" w:type="dxa"/>
            <w:gridSpan w:val="6"/>
            <w:tcBorders>
              <w:top w:val="single" w:sz="4" w:space="0" w:color="auto"/>
              <w:left w:val="single" w:sz="4" w:space="0" w:color="auto"/>
              <w:bottom w:val="single" w:sz="4" w:space="0" w:color="auto"/>
              <w:right w:val="single" w:sz="4" w:space="0" w:color="auto"/>
            </w:tcBorders>
            <w:vAlign w:val="center"/>
          </w:tcPr>
          <w:p w14:paraId="379B0058" w14:textId="77777777" w:rsidR="00B352CB" w:rsidRPr="0098660A" w:rsidRDefault="00B352CB" w:rsidP="000E2127">
            <w:pPr>
              <w:keepLines/>
              <w:rPr>
                <w:rFonts w:ascii="Arial Narrow" w:hAnsi="Arial Narrow"/>
                <w:b/>
                <w:bCs/>
                <w:sz w:val="20"/>
                <w:szCs w:val="20"/>
              </w:rPr>
            </w:pPr>
            <w:r w:rsidRPr="0098660A">
              <w:rPr>
                <w:rFonts w:ascii="Arial Narrow" w:hAnsi="Arial Narrow"/>
                <w:b/>
                <w:bCs/>
                <w:sz w:val="20"/>
                <w:szCs w:val="20"/>
              </w:rPr>
              <w:t>Caution:</w:t>
            </w:r>
          </w:p>
          <w:p w14:paraId="50690982" w14:textId="77777777" w:rsidR="00B352CB" w:rsidRPr="0098660A" w:rsidRDefault="00B352CB" w:rsidP="000E2127">
            <w:pPr>
              <w:keepLines/>
              <w:rPr>
                <w:rFonts w:ascii="Arial Narrow" w:hAnsi="Arial Narrow"/>
                <w:sz w:val="20"/>
                <w:szCs w:val="20"/>
              </w:rPr>
            </w:pPr>
            <w:r w:rsidRPr="0098660A">
              <w:rPr>
                <w:rFonts w:ascii="Arial Narrow" w:hAnsi="Arial Narrow"/>
                <w:sz w:val="20"/>
                <w:szCs w:val="20"/>
              </w:rPr>
              <w:t>This drug increases the risk of encapsulated bacterial infections.</w:t>
            </w:r>
          </w:p>
          <w:p w14:paraId="689E9C63" w14:textId="77777777" w:rsidR="00B352CB" w:rsidRPr="0098660A" w:rsidRDefault="00B352CB" w:rsidP="000E2127">
            <w:pPr>
              <w:keepLines/>
              <w:rPr>
                <w:rFonts w:ascii="Arial Narrow" w:hAnsi="Arial Narrow"/>
                <w:b/>
                <w:bCs/>
                <w:sz w:val="20"/>
                <w:szCs w:val="20"/>
              </w:rPr>
            </w:pPr>
            <w:r w:rsidRPr="0098660A">
              <w:rPr>
                <w:rFonts w:ascii="Arial Narrow" w:hAnsi="Arial Narrow"/>
                <w:sz w:val="20"/>
                <w:szCs w:val="20"/>
              </w:rPr>
              <w:t>Consult the approved Product Information for information about vaccination against meningococcal, pneumococcal and Haemophilus influenzae type B (Hib) infection.</w:t>
            </w:r>
          </w:p>
        </w:tc>
      </w:tr>
      <w:tr w:rsidR="00B352CB" w:rsidRPr="0098660A" w14:paraId="7E452CFD" w14:textId="77777777" w:rsidTr="00147ACC">
        <w:tblPrEx>
          <w:tblCellMar>
            <w:top w:w="15" w:type="dxa"/>
            <w:bottom w:w="15" w:type="dxa"/>
          </w:tblCellMar>
          <w:tblLook w:val="04A0" w:firstRow="1" w:lastRow="0" w:firstColumn="1" w:lastColumn="0" w:noHBand="0" w:noVBand="1"/>
        </w:tblPrEx>
        <w:trPr>
          <w:gridAfter w:val="1"/>
          <w:wAfter w:w="49" w:type="dxa"/>
          <w:trHeight w:val="20"/>
        </w:trPr>
        <w:tc>
          <w:tcPr>
            <w:tcW w:w="8973" w:type="dxa"/>
            <w:gridSpan w:val="6"/>
            <w:tcBorders>
              <w:top w:val="single" w:sz="4" w:space="0" w:color="auto"/>
              <w:left w:val="single" w:sz="4" w:space="0" w:color="auto"/>
              <w:bottom w:val="single" w:sz="4" w:space="0" w:color="auto"/>
              <w:right w:val="single" w:sz="4" w:space="0" w:color="auto"/>
            </w:tcBorders>
            <w:vAlign w:val="center"/>
          </w:tcPr>
          <w:p w14:paraId="77E43C37" w14:textId="77777777" w:rsidR="00B352CB" w:rsidRPr="0098660A" w:rsidRDefault="00B352CB" w:rsidP="000E2127">
            <w:pPr>
              <w:keepLines/>
              <w:rPr>
                <w:rFonts w:ascii="Arial Narrow" w:hAnsi="Arial Narrow"/>
                <w:sz w:val="20"/>
                <w:szCs w:val="20"/>
              </w:rPr>
            </w:pPr>
            <w:r w:rsidRPr="0098660A">
              <w:rPr>
                <w:rFonts w:ascii="Arial Narrow" w:hAnsi="Arial Narrow"/>
                <w:b/>
                <w:bCs/>
                <w:sz w:val="20"/>
                <w:szCs w:val="20"/>
              </w:rPr>
              <w:t>Administrative Advice:</w:t>
            </w:r>
            <w:r w:rsidRPr="0098660A">
              <w:rPr>
                <w:rFonts w:ascii="Arial Narrow" w:hAnsi="Arial Narrow"/>
                <w:sz w:val="20"/>
                <w:szCs w:val="20"/>
              </w:rPr>
              <w:t xml:space="preserve"> </w:t>
            </w:r>
          </w:p>
          <w:p w14:paraId="09E70205" w14:textId="77777777" w:rsidR="00B352CB" w:rsidRPr="0098660A" w:rsidRDefault="00B352CB" w:rsidP="000E2127">
            <w:pPr>
              <w:keepLines/>
              <w:rPr>
                <w:rFonts w:ascii="Arial Narrow" w:hAnsi="Arial Narrow"/>
                <w:b/>
                <w:sz w:val="20"/>
                <w:szCs w:val="20"/>
              </w:rPr>
            </w:pPr>
            <w:r w:rsidRPr="0098660A">
              <w:rPr>
                <w:rFonts w:ascii="Arial Narrow" w:hAnsi="Arial Narrow"/>
                <w:sz w:val="20"/>
                <w:szCs w:val="20"/>
              </w:rPr>
              <w:t>No increase in the maximum number of repeats may be authorised.</w:t>
            </w:r>
          </w:p>
        </w:tc>
      </w:tr>
      <w:tr w:rsidR="00B352CB" w:rsidRPr="0098660A" w14:paraId="24F0EC3C" w14:textId="77777777" w:rsidTr="00147ACC">
        <w:tblPrEx>
          <w:tblCellMar>
            <w:top w:w="15" w:type="dxa"/>
            <w:bottom w:w="15" w:type="dxa"/>
          </w:tblCellMar>
          <w:tblLook w:val="04A0" w:firstRow="1" w:lastRow="0" w:firstColumn="1" w:lastColumn="0" w:noHBand="0" w:noVBand="1"/>
        </w:tblPrEx>
        <w:trPr>
          <w:gridAfter w:val="1"/>
          <w:wAfter w:w="49" w:type="dxa"/>
          <w:trHeight w:val="20"/>
        </w:trPr>
        <w:tc>
          <w:tcPr>
            <w:tcW w:w="8973" w:type="dxa"/>
            <w:gridSpan w:val="6"/>
            <w:tcBorders>
              <w:top w:val="single" w:sz="4" w:space="0" w:color="auto"/>
              <w:left w:val="single" w:sz="4" w:space="0" w:color="auto"/>
              <w:bottom w:val="single" w:sz="4" w:space="0" w:color="auto"/>
              <w:right w:val="single" w:sz="4" w:space="0" w:color="auto"/>
            </w:tcBorders>
            <w:vAlign w:val="center"/>
          </w:tcPr>
          <w:p w14:paraId="1570D45A" w14:textId="77777777" w:rsidR="00B352CB" w:rsidRPr="0098660A" w:rsidRDefault="00B352CB" w:rsidP="000E2127">
            <w:pPr>
              <w:keepLines/>
              <w:rPr>
                <w:rFonts w:ascii="Arial Narrow" w:hAnsi="Arial Narrow"/>
                <w:sz w:val="20"/>
                <w:szCs w:val="20"/>
              </w:rPr>
            </w:pPr>
            <w:r w:rsidRPr="0098660A">
              <w:rPr>
                <w:rFonts w:ascii="Arial Narrow" w:hAnsi="Arial Narrow"/>
                <w:b/>
                <w:bCs/>
                <w:sz w:val="20"/>
                <w:szCs w:val="20"/>
              </w:rPr>
              <w:t>Administrative Advice:</w:t>
            </w:r>
          </w:p>
          <w:p w14:paraId="248F34FF" w14:textId="77777777" w:rsidR="00B352CB" w:rsidRPr="0098660A" w:rsidRDefault="00B352CB" w:rsidP="000E2127">
            <w:pPr>
              <w:keepLines/>
              <w:rPr>
                <w:rFonts w:ascii="Arial Narrow" w:hAnsi="Arial Narrow"/>
                <w:sz w:val="20"/>
                <w:szCs w:val="20"/>
              </w:rPr>
            </w:pPr>
            <w:r w:rsidRPr="0098660A">
              <w:rPr>
                <w:rFonts w:ascii="Arial Narrow" w:hAnsi="Arial Narrow"/>
                <w:sz w:val="20"/>
                <w:szCs w:val="20"/>
              </w:rPr>
              <w:t>Complement 5 (C5) inhibitors are defined as eculizumab or ravulizumab</w:t>
            </w:r>
          </w:p>
        </w:tc>
      </w:tr>
      <w:tr w:rsidR="00B352CB" w:rsidRPr="0098660A" w14:paraId="1E8C71B6" w14:textId="77777777" w:rsidTr="00147ACC">
        <w:tblPrEx>
          <w:tblCellMar>
            <w:top w:w="15" w:type="dxa"/>
            <w:bottom w:w="15" w:type="dxa"/>
          </w:tblCellMar>
          <w:tblLook w:val="04A0" w:firstRow="1" w:lastRow="0" w:firstColumn="1" w:lastColumn="0" w:noHBand="0" w:noVBand="1"/>
        </w:tblPrEx>
        <w:trPr>
          <w:gridAfter w:val="1"/>
          <w:wAfter w:w="49" w:type="dxa"/>
          <w:trHeight w:val="20"/>
        </w:trPr>
        <w:tc>
          <w:tcPr>
            <w:tcW w:w="8973" w:type="dxa"/>
            <w:gridSpan w:val="6"/>
            <w:tcBorders>
              <w:top w:val="single" w:sz="4" w:space="0" w:color="auto"/>
              <w:left w:val="single" w:sz="4" w:space="0" w:color="auto"/>
              <w:bottom w:val="single" w:sz="4" w:space="0" w:color="auto"/>
              <w:right w:val="single" w:sz="4" w:space="0" w:color="auto"/>
            </w:tcBorders>
            <w:vAlign w:val="center"/>
          </w:tcPr>
          <w:p w14:paraId="224712B1" w14:textId="77777777" w:rsidR="00B352CB" w:rsidRPr="0098660A" w:rsidRDefault="00B352CB" w:rsidP="000E2127">
            <w:pPr>
              <w:keepLines/>
              <w:rPr>
                <w:rFonts w:ascii="Arial Narrow" w:hAnsi="Arial Narrow"/>
                <w:b/>
                <w:bCs/>
                <w:sz w:val="20"/>
                <w:szCs w:val="20"/>
              </w:rPr>
            </w:pPr>
            <w:r w:rsidRPr="0098660A">
              <w:rPr>
                <w:rFonts w:ascii="Arial Narrow" w:hAnsi="Arial Narrow"/>
                <w:b/>
                <w:bCs/>
                <w:sz w:val="20"/>
                <w:szCs w:val="20"/>
              </w:rPr>
              <w:t>Administrative Advice:</w:t>
            </w:r>
          </w:p>
          <w:p w14:paraId="1BA4DBAE" w14:textId="77777777" w:rsidR="00B352CB" w:rsidRPr="0098660A" w:rsidRDefault="00B352CB" w:rsidP="000E2127">
            <w:pPr>
              <w:keepLines/>
              <w:rPr>
                <w:rFonts w:ascii="Arial Narrow" w:hAnsi="Arial Narrow"/>
                <w:sz w:val="20"/>
                <w:szCs w:val="20"/>
              </w:rPr>
            </w:pPr>
            <w:r w:rsidRPr="0098660A">
              <w:rPr>
                <w:rFonts w:ascii="Arial Narrow" w:hAnsi="Arial Narrow"/>
                <w:sz w:val="20"/>
                <w:szCs w:val="20"/>
              </w:rPr>
              <w:t>Prior to prescribing this drug, the prescriber must contact the pharmaceutical company to confirm that the patient has received all relevant vaccinations. The prescriber will then be provided with a Controlled Distribution Reference Number (CDRN) and information about the pumps and consumables for use.</w:t>
            </w:r>
          </w:p>
        </w:tc>
      </w:tr>
      <w:tr w:rsidR="00B352CB" w:rsidRPr="0098660A" w14:paraId="38BFE543" w14:textId="77777777" w:rsidTr="00147ACC">
        <w:tblPrEx>
          <w:tblCellMar>
            <w:top w:w="15" w:type="dxa"/>
            <w:bottom w:w="15" w:type="dxa"/>
          </w:tblCellMar>
          <w:tblLook w:val="04A0" w:firstRow="1" w:lastRow="0" w:firstColumn="1" w:lastColumn="0" w:noHBand="0" w:noVBand="1"/>
        </w:tblPrEx>
        <w:trPr>
          <w:gridAfter w:val="1"/>
          <w:wAfter w:w="49" w:type="dxa"/>
          <w:trHeight w:val="20"/>
        </w:trPr>
        <w:tc>
          <w:tcPr>
            <w:tcW w:w="8973" w:type="dxa"/>
            <w:gridSpan w:val="6"/>
            <w:tcBorders>
              <w:top w:val="single" w:sz="4" w:space="0" w:color="auto"/>
              <w:left w:val="single" w:sz="4" w:space="0" w:color="auto"/>
              <w:bottom w:val="single" w:sz="4" w:space="0" w:color="auto"/>
              <w:right w:val="single" w:sz="4" w:space="0" w:color="auto"/>
            </w:tcBorders>
            <w:vAlign w:val="center"/>
          </w:tcPr>
          <w:p w14:paraId="436993DF" w14:textId="77777777" w:rsidR="00B352CB" w:rsidRPr="0098660A" w:rsidRDefault="00B352CB" w:rsidP="000E2127">
            <w:pPr>
              <w:rPr>
                <w:rFonts w:ascii="Arial Narrow" w:hAnsi="Arial Narrow"/>
                <w:b/>
                <w:bCs/>
                <w:sz w:val="20"/>
                <w:szCs w:val="20"/>
              </w:rPr>
            </w:pPr>
            <w:r w:rsidRPr="0098660A">
              <w:rPr>
                <w:rFonts w:ascii="Arial Narrow" w:hAnsi="Arial Narrow"/>
                <w:b/>
                <w:bCs/>
                <w:sz w:val="20"/>
                <w:szCs w:val="20"/>
              </w:rPr>
              <w:t>Administrative Advice:</w:t>
            </w:r>
          </w:p>
          <w:p w14:paraId="445AB764" w14:textId="77777777" w:rsidR="00B352CB" w:rsidRPr="0098660A" w:rsidRDefault="00B352CB" w:rsidP="000E2127">
            <w:pPr>
              <w:rPr>
                <w:rFonts w:ascii="Arial Narrow" w:hAnsi="Arial Narrow"/>
                <w:sz w:val="20"/>
                <w:szCs w:val="20"/>
              </w:rPr>
            </w:pPr>
            <w:r w:rsidRPr="0098660A">
              <w:rPr>
                <w:rFonts w:ascii="Arial Narrow" w:hAnsi="Arial Narrow"/>
                <w:sz w:val="20"/>
                <w:szCs w:val="20"/>
              </w:rPr>
              <w:t>Any queries concerning the arrangements to prescribe may be directed to Services Australia on 1800 700 270 (hours of operation 8 a.m. to 5 p.m. Monday to Friday).</w:t>
            </w:r>
          </w:p>
          <w:p w14:paraId="6D7AA88E" w14:textId="7562A64D" w:rsidR="00B352CB" w:rsidRPr="0098660A" w:rsidRDefault="00B352CB" w:rsidP="51A4B722">
            <w:pPr>
              <w:rPr>
                <w:rFonts w:ascii="Arial Narrow" w:hAnsi="Arial Narrow"/>
                <w:sz w:val="20"/>
                <w:szCs w:val="20"/>
              </w:rPr>
            </w:pPr>
          </w:p>
          <w:p w14:paraId="673A47F3" w14:textId="294678F3" w:rsidR="00B352CB" w:rsidRPr="0098660A" w:rsidRDefault="00B352CB" w:rsidP="51A4B722">
            <w:r w:rsidRPr="0098660A">
              <w:rPr>
                <w:rFonts w:ascii="Arial Narrow" w:hAnsi="Arial Narrow"/>
                <w:sz w:val="20"/>
                <w:szCs w:val="20"/>
              </w:rPr>
              <w:t xml:space="preserve">Prescribing information (including Authority Application forms and other relevant documentation as applicable) is available on the Services Australia website at </w:t>
            </w:r>
            <w:hyperlink r:id="rId8">
              <w:r w:rsidRPr="0098660A">
                <w:rPr>
                  <w:rStyle w:val="Hyperlink"/>
                  <w:rFonts w:ascii="Arial Narrow" w:hAnsi="Arial Narrow"/>
                  <w:color w:val="auto"/>
                  <w:sz w:val="20"/>
                  <w:szCs w:val="20"/>
                </w:rPr>
                <w:t>www.servicesaustralia.gov.au</w:t>
              </w:r>
            </w:hyperlink>
          </w:p>
          <w:p w14:paraId="17E88042" w14:textId="0043CBC6" w:rsidR="00B352CB" w:rsidRPr="0098660A" w:rsidRDefault="00B352CB" w:rsidP="51A4B722">
            <w:pPr>
              <w:rPr>
                <w:rFonts w:ascii="Arial Narrow" w:hAnsi="Arial Narrow"/>
                <w:sz w:val="20"/>
                <w:szCs w:val="20"/>
              </w:rPr>
            </w:pPr>
          </w:p>
          <w:p w14:paraId="6AEA3E8C" w14:textId="40ADF715" w:rsidR="00B352CB" w:rsidRPr="0098660A" w:rsidRDefault="00B352CB" w:rsidP="51A4B722">
            <w:pPr>
              <w:rPr>
                <w:rFonts w:ascii="Arial Narrow" w:hAnsi="Arial Narrow"/>
                <w:sz w:val="20"/>
                <w:szCs w:val="20"/>
              </w:rPr>
            </w:pPr>
            <w:r w:rsidRPr="0098660A">
              <w:rPr>
                <w:rFonts w:ascii="Arial Narrow" w:hAnsi="Arial Narrow"/>
                <w:sz w:val="20"/>
                <w:szCs w:val="20"/>
              </w:rPr>
              <w:t xml:space="preserve">Applications for authorisation under this restriction should be made in real time using the Online PBS Authorities system (see </w:t>
            </w:r>
            <w:hyperlink r:id="rId9">
              <w:r w:rsidRPr="0098660A">
                <w:rPr>
                  <w:rStyle w:val="Hyperlink"/>
                  <w:rFonts w:ascii="Arial Narrow" w:hAnsi="Arial Narrow"/>
                  <w:color w:val="auto"/>
                  <w:sz w:val="20"/>
                  <w:szCs w:val="20"/>
                </w:rPr>
                <w:t>www.servicesaustralia.gov.au/hpos</w:t>
              </w:r>
            </w:hyperlink>
            <w:r w:rsidRPr="0098660A">
              <w:rPr>
                <w:rFonts w:ascii="Arial Narrow" w:hAnsi="Arial Narrow"/>
                <w:sz w:val="20"/>
                <w:szCs w:val="20"/>
              </w:rPr>
              <w:t>)</w:t>
            </w:r>
          </w:p>
          <w:p w14:paraId="7EA67E12" w14:textId="10FA0CA1" w:rsidR="00B352CB" w:rsidRPr="0098660A" w:rsidRDefault="00B352CB" w:rsidP="51A4B722">
            <w:pPr>
              <w:rPr>
                <w:rFonts w:ascii="Arial Narrow" w:hAnsi="Arial Narrow"/>
                <w:sz w:val="20"/>
                <w:szCs w:val="20"/>
              </w:rPr>
            </w:pPr>
          </w:p>
          <w:p w14:paraId="41E72033" w14:textId="50C8BE9E" w:rsidR="00B352CB" w:rsidRPr="0098660A" w:rsidRDefault="00B352CB" w:rsidP="51A4B722">
            <w:r w:rsidRPr="0098660A">
              <w:rPr>
                <w:rFonts w:ascii="Arial Narrow" w:hAnsi="Arial Narrow"/>
                <w:sz w:val="20"/>
                <w:szCs w:val="20"/>
              </w:rPr>
              <w:t xml:space="preserve">Alternatively, applications for authority to prescribe can be submitted online using the form upload facility in Health Professional Online Services (HPOS) at </w:t>
            </w:r>
            <w:hyperlink r:id="rId10">
              <w:r w:rsidRPr="0098660A">
                <w:rPr>
                  <w:rStyle w:val="Hyperlink"/>
                  <w:rFonts w:ascii="Arial Narrow" w:hAnsi="Arial Narrow"/>
                  <w:color w:val="auto"/>
                  <w:sz w:val="20"/>
                  <w:szCs w:val="20"/>
                </w:rPr>
                <w:t>www.servicesaustralia.gov.au/hpos</w:t>
              </w:r>
            </w:hyperlink>
          </w:p>
          <w:p w14:paraId="03C03DCB" w14:textId="693A3790" w:rsidR="00B352CB" w:rsidRPr="0098660A" w:rsidRDefault="00B352CB" w:rsidP="51A4B722">
            <w:pPr>
              <w:rPr>
                <w:rFonts w:ascii="Arial Narrow" w:hAnsi="Arial Narrow"/>
                <w:sz w:val="20"/>
                <w:szCs w:val="20"/>
              </w:rPr>
            </w:pPr>
          </w:p>
          <w:p w14:paraId="5ACB2615" w14:textId="77777777" w:rsidR="00B352CB" w:rsidRPr="0098660A" w:rsidRDefault="00B352CB" w:rsidP="000E2127">
            <w:pPr>
              <w:rPr>
                <w:rFonts w:ascii="Arial Narrow" w:hAnsi="Arial Narrow"/>
                <w:sz w:val="20"/>
                <w:szCs w:val="20"/>
              </w:rPr>
            </w:pPr>
            <w:r w:rsidRPr="0098660A">
              <w:rPr>
                <w:rFonts w:ascii="Arial Narrow" w:hAnsi="Arial Narrow"/>
                <w:sz w:val="20"/>
                <w:szCs w:val="20"/>
              </w:rPr>
              <w:t>Or mailed to:</w:t>
            </w:r>
          </w:p>
          <w:p w14:paraId="3E80E080" w14:textId="77777777" w:rsidR="00B352CB" w:rsidRPr="0098660A" w:rsidRDefault="00B352CB" w:rsidP="000E2127">
            <w:pPr>
              <w:rPr>
                <w:rFonts w:ascii="Arial Narrow" w:hAnsi="Arial Narrow"/>
                <w:sz w:val="20"/>
                <w:szCs w:val="20"/>
              </w:rPr>
            </w:pPr>
            <w:r w:rsidRPr="0098660A">
              <w:rPr>
                <w:rFonts w:ascii="Arial Narrow" w:hAnsi="Arial Narrow"/>
                <w:sz w:val="20"/>
                <w:szCs w:val="20"/>
              </w:rPr>
              <w:t>Services Australia</w:t>
            </w:r>
          </w:p>
          <w:p w14:paraId="7131656A" w14:textId="77777777" w:rsidR="00B352CB" w:rsidRPr="0098660A" w:rsidRDefault="00B352CB" w:rsidP="000E2127">
            <w:pPr>
              <w:rPr>
                <w:rFonts w:ascii="Arial Narrow" w:hAnsi="Arial Narrow"/>
                <w:sz w:val="20"/>
                <w:szCs w:val="20"/>
              </w:rPr>
            </w:pPr>
            <w:r w:rsidRPr="0098660A">
              <w:rPr>
                <w:rFonts w:ascii="Arial Narrow" w:hAnsi="Arial Narrow"/>
                <w:sz w:val="20"/>
                <w:szCs w:val="20"/>
              </w:rPr>
              <w:t>Complex Drugs</w:t>
            </w:r>
          </w:p>
          <w:p w14:paraId="0F0C8853" w14:textId="77777777" w:rsidR="00B352CB" w:rsidRPr="0098660A" w:rsidRDefault="00B352CB" w:rsidP="000E2127">
            <w:pPr>
              <w:rPr>
                <w:rFonts w:ascii="Arial Narrow" w:hAnsi="Arial Narrow"/>
                <w:sz w:val="20"/>
                <w:szCs w:val="20"/>
              </w:rPr>
            </w:pPr>
            <w:r w:rsidRPr="0098660A">
              <w:rPr>
                <w:rFonts w:ascii="Arial Narrow" w:hAnsi="Arial Narrow"/>
                <w:sz w:val="20"/>
                <w:szCs w:val="20"/>
              </w:rPr>
              <w:t>Reply Paid 9826</w:t>
            </w:r>
          </w:p>
          <w:p w14:paraId="6ED69285" w14:textId="77777777" w:rsidR="00B352CB" w:rsidRPr="0098660A" w:rsidRDefault="00B352CB" w:rsidP="000E2127">
            <w:pPr>
              <w:keepLines/>
              <w:rPr>
                <w:rFonts w:ascii="Arial Narrow" w:hAnsi="Arial Narrow"/>
                <w:b/>
                <w:bCs/>
                <w:i/>
                <w:iCs/>
                <w:sz w:val="20"/>
                <w:szCs w:val="20"/>
              </w:rPr>
            </w:pPr>
            <w:r w:rsidRPr="0098660A">
              <w:rPr>
                <w:rFonts w:ascii="Arial Narrow" w:hAnsi="Arial Narrow"/>
                <w:sz w:val="20"/>
                <w:szCs w:val="20"/>
              </w:rPr>
              <w:t>HOBART TAS 7001</w:t>
            </w:r>
          </w:p>
        </w:tc>
      </w:tr>
      <w:tr w:rsidR="00B352CB" w:rsidRPr="0098660A" w14:paraId="0AA44DDF" w14:textId="77777777" w:rsidTr="00147ACC">
        <w:tblPrEx>
          <w:tblCellMar>
            <w:top w:w="15" w:type="dxa"/>
            <w:bottom w:w="15" w:type="dxa"/>
          </w:tblCellMar>
          <w:tblLook w:val="04A0" w:firstRow="1" w:lastRow="0" w:firstColumn="1" w:lastColumn="0" w:noHBand="0" w:noVBand="1"/>
        </w:tblPrEx>
        <w:trPr>
          <w:gridAfter w:val="1"/>
          <w:wAfter w:w="49" w:type="dxa"/>
          <w:trHeight w:val="20"/>
        </w:trPr>
        <w:tc>
          <w:tcPr>
            <w:tcW w:w="897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995023" w14:textId="77777777" w:rsidR="00B352CB" w:rsidRPr="0098660A" w:rsidRDefault="00B352CB" w:rsidP="000E2127">
            <w:pPr>
              <w:keepLines/>
              <w:rPr>
                <w:rFonts w:ascii="Arial Narrow" w:hAnsi="Arial Narrow"/>
                <w:b/>
                <w:bCs/>
                <w:sz w:val="20"/>
                <w:szCs w:val="20"/>
              </w:rPr>
            </w:pPr>
            <w:r w:rsidRPr="0098660A">
              <w:rPr>
                <w:rFonts w:ascii="Arial Narrow" w:hAnsi="Arial Narrow"/>
                <w:b/>
                <w:sz w:val="20"/>
                <w:szCs w:val="20"/>
              </w:rPr>
              <w:t>Restriction Summary [new1] / Treatment of Concept: [new1A]</w:t>
            </w:r>
          </w:p>
        </w:tc>
      </w:tr>
      <w:tr w:rsidR="00B352CB" w:rsidRPr="0098660A" w14:paraId="38D5653E"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hideMark/>
          </w:tcPr>
          <w:p w14:paraId="6F9817C9" w14:textId="77777777" w:rsidR="00B352CB" w:rsidRPr="0098660A" w:rsidRDefault="00B352CB" w:rsidP="000E2127">
            <w:pPr>
              <w:keepLines/>
              <w:rPr>
                <w:rFonts w:ascii="Arial Narrow" w:hAnsi="Arial Narrow"/>
                <w:sz w:val="20"/>
                <w:szCs w:val="20"/>
              </w:rPr>
            </w:pPr>
            <w:r w:rsidRPr="0098660A">
              <w:rPr>
                <w:rFonts w:ascii="Arial Narrow" w:hAnsi="Arial Narrow" w:cs="Segoe UI"/>
                <w:b/>
                <w:bCs/>
                <w:color w:val="333333"/>
                <w:sz w:val="20"/>
                <w:szCs w:val="20"/>
                <w:lang w:eastAsia="en-US"/>
              </w:rPr>
              <w:t>Indication:</w:t>
            </w:r>
            <w:r w:rsidRPr="0098660A">
              <w:rPr>
                <w:rFonts w:ascii="Arial Narrow" w:hAnsi="Arial Narrow" w:cs="Segoe UI"/>
                <w:color w:val="333333"/>
                <w:sz w:val="20"/>
                <w:szCs w:val="20"/>
                <w:lang w:eastAsia="en-US"/>
              </w:rPr>
              <w:t xml:space="preserve"> Paroxysmal nocturnal haemoglobinuria (PNH)</w:t>
            </w:r>
          </w:p>
        </w:tc>
      </w:tr>
      <w:tr w:rsidR="00B352CB" w:rsidRPr="0098660A" w14:paraId="759ED7FA"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hideMark/>
          </w:tcPr>
          <w:p w14:paraId="4133A71D" w14:textId="77777777" w:rsidR="00B352CB" w:rsidRPr="0098660A" w:rsidRDefault="00B352CB" w:rsidP="000E2127">
            <w:pPr>
              <w:rPr>
                <w:rFonts w:ascii="Arial Narrow" w:hAnsi="Arial Narrow"/>
                <w:i/>
                <w:iCs/>
                <w:sz w:val="20"/>
                <w:szCs w:val="20"/>
              </w:rPr>
            </w:pPr>
            <w:r w:rsidRPr="0098660A">
              <w:rPr>
                <w:rFonts w:ascii="Arial Narrow" w:hAnsi="Arial Narrow" w:cs="Segoe UI"/>
                <w:b/>
                <w:bCs/>
                <w:color w:val="333333"/>
                <w:sz w:val="20"/>
                <w:szCs w:val="20"/>
                <w:lang w:eastAsia="en-US"/>
              </w:rPr>
              <w:t>Treatment Phase:</w:t>
            </w:r>
            <w:r w:rsidRPr="0098660A">
              <w:rPr>
                <w:rFonts w:ascii="Arial Narrow" w:hAnsi="Arial Narrow" w:cs="Segoe UI"/>
                <w:color w:val="FF0000"/>
                <w:sz w:val="20"/>
                <w:szCs w:val="20"/>
                <w:lang w:eastAsia="en-US"/>
              </w:rPr>
              <w:t xml:space="preserve"> </w:t>
            </w:r>
            <w:r w:rsidRPr="0098660A">
              <w:rPr>
                <w:rFonts w:ascii="Arial Narrow" w:hAnsi="Arial Narrow" w:cs="Segoe UI"/>
                <w:sz w:val="20"/>
                <w:szCs w:val="20"/>
                <w:lang w:eastAsia="en-US"/>
              </w:rPr>
              <w:t xml:space="preserve">Initial treatment </w:t>
            </w:r>
            <w:r w:rsidRPr="0098660A">
              <w:rPr>
                <w:rFonts w:ascii="Arial Narrow" w:hAnsi="Arial Narrow" w:cs="Segoe UI"/>
                <w:i/>
                <w:iCs/>
                <w:sz w:val="20"/>
                <w:szCs w:val="20"/>
                <w:lang w:eastAsia="en-US"/>
              </w:rPr>
              <w:t>–</w:t>
            </w:r>
            <w:r w:rsidRPr="0098660A">
              <w:rPr>
                <w:rFonts w:ascii="Arial Narrow" w:hAnsi="Arial Narrow" w:cs="Segoe UI"/>
                <w:sz w:val="20"/>
                <w:szCs w:val="20"/>
                <w:lang w:eastAsia="en-US"/>
              </w:rPr>
              <w:t xml:space="preserve"> initial 1 (new untreated patient) </w:t>
            </w:r>
          </w:p>
        </w:tc>
      </w:tr>
      <w:tr w:rsidR="00B352CB" w:rsidRPr="0098660A" w14:paraId="47E9BF9E"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hideMark/>
          </w:tcPr>
          <w:p w14:paraId="7FD27544" w14:textId="77777777" w:rsidR="00B352CB" w:rsidRPr="0098660A" w:rsidRDefault="00B352CB" w:rsidP="000E2127">
            <w:pPr>
              <w:rPr>
                <w:rFonts w:ascii="Arial Narrow" w:hAnsi="Arial Narrow"/>
                <w:sz w:val="20"/>
                <w:szCs w:val="20"/>
              </w:rPr>
            </w:pPr>
            <w:r w:rsidRPr="0098660A">
              <w:rPr>
                <w:rFonts w:ascii="Arial Narrow" w:hAnsi="Arial Narrow" w:cs="Segoe UI"/>
                <w:b/>
                <w:bCs/>
                <w:color w:val="333333"/>
                <w:sz w:val="20"/>
                <w:szCs w:val="20"/>
                <w:lang w:eastAsia="en-US"/>
              </w:rPr>
              <w:t>Clinical criteria:</w:t>
            </w:r>
          </w:p>
        </w:tc>
      </w:tr>
      <w:tr w:rsidR="00B352CB" w:rsidRPr="0098660A" w14:paraId="0B0D1E2C"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hideMark/>
          </w:tcPr>
          <w:p w14:paraId="6D1CF5C3" w14:textId="2C160D3C" w:rsidR="00B352CB" w:rsidRPr="0098660A" w:rsidRDefault="00B352CB" w:rsidP="000E2127">
            <w:pPr>
              <w:rPr>
                <w:rFonts w:ascii="Arial Narrow" w:hAnsi="Arial Narrow"/>
                <w:sz w:val="20"/>
                <w:szCs w:val="20"/>
              </w:rPr>
            </w:pPr>
            <w:r w:rsidRPr="0098660A">
              <w:rPr>
                <w:rFonts w:ascii="Arial Narrow" w:hAnsi="Arial Narrow"/>
                <w:sz w:val="20"/>
                <w:szCs w:val="20"/>
              </w:rPr>
              <w:t>Patient must not have received prior treatment with any of the PBS-subsidised therapies listed for this condition</w:t>
            </w:r>
          </w:p>
        </w:tc>
      </w:tr>
      <w:tr w:rsidR="00B352CB" w:rsidRPr="0098660A" w14:paraId="613AD446" w14:textId="77777777" w:rsidTr="00147ACC">
        <w:tblPrEx>
          <w:tblCellMar>
            <w:top w:w="15" w:type="dxa"/>
            <w:bottom w:w="15" w:type="dxa"/>
          </w:tblCellMar>
          <w:tblLook w:val="04A0" w:firstRow="1" w:lastRow="0" w:firstColumn="1" w:lastColumn="0" w:noHBand="0" w:noVBand="1"/>
        </w:tblPrEx>
        <w:trPr>
          <w:gridAfter w:val="1"/>
          <w:wAfter w:w="49" w:type="dxa"/>
          <w:cantSplit/>
          <w:trHeight w:val="300"/>
        </w:trPr>
        <w:tc>
          <w:tcPr>
            <w:tcW w:w="8973" w:type="dxa"/>
            <w:gridSpan w:val="6"/>
            <w:vAlign w:val="center"/>
          </w:tcPr>
          <w:p w14:paraId="0DF73F0F" w14:textId="77777777" w:rsidR="00B352CB" w:rsidRPr="0098660A" w:rsidRDefault="00B352CB" w:rsidP="000E2127">
            <w:pPr>
              <w:rPr>
                <w:rFonts w:ascii="Arial Narrow" w:hAnsi="Arial Narrow"/>
                <w:sz w:val="20"/>
                <w:szCs w:val="20"/>
              </w:rPr>
            </w:pPr>
            <w:r w:rsidRPr="0098660A">
              <w:rPr>
                <w:rFonts w:ascii="Arial Narrow" w:hAnsi="Arial Narrow" w:cs="Segoe UI"/>
                <w:b/>
                <w:color w:val="333333"/>
                <w:sz w:val="20"/>
                <w:szCs w:val="20"/>
                <w:lang w:eastAsia="en-US"/>
              </w:rPr>
              <w:lastRenderedPageBreak/>
              <w:t>AND</w:t>
            </w:r>
          </w:p>
        </w:tc>
      </w:tr>
      <w:tr w:rsidR="00B352CB" w:rsidRPr="0098660A" w14:paraId="593CACC4" w14:textId="77777777" w:rsidTr="00147ACC">
        <w:tblPrEx>
          <w:tblCellMar>
            <w:top w:w="15" w:type="dxa"/>
            <w:bottom w:w="15" w:type="dxa"/>
          </w:tblCellMar>
          <w:tblLook w:val="04A0" w:firstRow="1" w:lastRow="0" w:firstColumn="1" w:lastColumn="0" w:noHBand="0" w:noVBand="1"/>
        </w:tblPrEx>
        <w:trPr>
          <w:gridAfter w:val="1"/>
          <w:wAfter w:w="49" w:type="dxa"/>
          <w:cantSplit/>
          <w:trHeight w:val="150"/>
        </w:trPr>
        <w:tc>
          <w:tcPr>
            <w:tcW w:w="8973" w:type="dxa"/>
            <w:gridSpan w:val="6"/>
            <w:vAlign w:val="center"/>
          </w:tcPr>
          <w:p w14:paraId="5FBC635C" w14:textId="77777777" w:rsidR="00B352CB" w:rsidRPr="0098660A" w:rsidRDefault="00B352CB" w:rsidP="000E2127">
            <w:pPr>
              <w:rPr>
                <w:rFonts w:ascii="Arial Narrow" w:hAnsi="Arial Narrow" w:cs="Segoe UI"/>
                <w:b/>
                <w:bCs/>
                <w:color w:val="333333"/>
                <w:sz w:val="20"/>
                <w:szCs w:val="20"/>
                <w:lang w:eastAsia="en-US"/>
              </w:rPr>
            </w:pPr>
            <w:r w:rsidRPr="0098660A">
              <w:rPr>
                <w:rFonts w:ascii="Arial Narrow" w:hAnsi="Arial Narrow" w:cs="Segoe UI"/>
                <w:b/>
                <w:bCs/>
                <w:color w:val="333333"/>
                <w:sz w:val="20"/>
                <w:szCs w:val="20"/>
                <w:lang w:eastAsia="en-US"/>
              </w:rPr>
              <w:t>Clinical criteria:</w:t>
            </w:r>
          </w:p>
        </w:tc>
      </w:tr>
      <w:tr w:rsidR="00B352CB" w:rsidRPr="0098660A" w14:paraId="64BAF8FD" w14:textId="77777777" w:rsidTr="00147ACC">
        <w:tblPrEx>
          <w:tblCellMar>
            <w:top w:w="15" w:type="dxa"/>
            <w:bottom w:w="15" w:type="dxa"/>
          </w:tblCellMar>
          <w:tblLook w:val="04A0" w:firstRow="1" w:lastRow="0" w:firstColumn="1" w:lastColumn="0" w:noHBand="0" w:noVBand="1"/>
        </w:tblPrEx>
        <w:trPr>
          <w:gridAfter w:val="1"/>
          <w:wAfter w:w="49" w:type="dxa"/>
          <w:cantSplit/>
          <w:trHeight w:val="227"/>
        </w:trPr>
        <w:tc>
          <w:tcPr>
            <w:tcW w:w="8973" w:type="dxa"/>
            <w:gridSpan w:val="6"/>
            <w:vAlign w:val="center"/>
          </w:tcPr>
          <w:p w14:paraId="713A4D78" w14:textId="77777777" w:rsidR="00B352CB" w:rsidRPr="0098660A" w:rsidRDefault="00B352CB" w:rsidP="000E2127">
            <w:pPr>
              <w:rPr>
                <w:rFonts w:ascii="Arial Narrow" w:hAnsi="Arial Narrow" w:cs="Segoe UI"/>
                <w:color w:val="333333"/>
                <w:sz w:val="20"/>
                <w:szCs w:val="20"/>
                <w:lang w:eastAsia="en-US"/>
              </w:rPr>
            </w:pPr>
            <w:r w:rsidRPr="0098660A">
              <w:rPr>
                <w:rFonts w:ascii="Arial Narrow" w:hAnsi="Arial Narrow" w:cs="Segoe UI"/>
                <w:color w:val="333333"/>
                <w:sz w:val="20"/>
                <w:szCs w:val="20"/>
                <w:lang w:eastAsia="en-US"/>
              </w:rPr>
              <w:t xml:space="preserve">Patient must have a diagnosis of PNH established by flow cytometry. </w:t>
            </w:r>
          </w:p>
        </w:tc>
      </w:tr>
      <w:tr w:rsidR="00B352CB" w:rsidRPr="0098660A" w14:paraId="582F58FB" w14:textId="77777777" w:rsidTr="00147ACC">
        <w:tblPrEx>
          <w:tblCellMar>
            <w:top w:w="15" w:type="dxa"/>
            <w:bottom w:w="15" w:type="dxa"/>
          </w:tblCellMar>
          <w:tblLook w:val="04A0" w:firstRow="1" w:lastRow="0" w:firstColumn="1" w:lastColumn="0" w:noHBand="0" w:noVBand="1"/>
        </w:tblPrEx>
        <w:trPr>
          <w:gridAfter w:val="1"/>
          <w:wAfter w:w="49" w:type="dxa"/>
          <w:cantSplit/>
          <w:trHeight w:val="55"/>
        </w:trPr>
        <w:tc>
          <w:tcPr>
            <w:tcW w:w="8973" w:type="dxa"/>
            <w:gridSpan w:val="6"/>
            <w:vAlign w:val="center"/>
          </w:tcPr>
          <w:p w14:paraId="32F766CB" w14:textId="77777777" w:rsidR="00B352CB" w:rsidRPr="0098660A" w:rsidRDefault="00B352CB" w:rsidP="000E2127">
            <w:pPr>
              <w:rPr>
                <w:rFonts w:ascii="Arial Narrow" w:hAnsi="Arial Narrow" w:cs="Segoe UI"/>
                <w:b/>
                <w:bCs/>
                <w:color w:val="333333"/>
                <w:sz w:val="20"/>
                <w:szCs w:val="20"/>
                <w:lang w:eastAsia="en-US"/>
              </w:rPr>
            </w:pPr>
            <w:r w:rsidRPr="0098660A">
              <w:rPr>
                <w:rFonts w:ascii="Arial Narrow" w:hAnsi="Arial Narrow" w:cs="Segoe UI"/>
                <w:b/>
                <w:bCs/>
                <w:color w:val="333333"/>
                <w:sz w:val="20"/>
                <w:szCs w:val="20"/>
                <w:lang w:eastAsia="en-US"/>
              </w:rPr>
              <w:t>AND</w:t>
            </w:r>
          </w:p>
        </w:tc>
      </w:tr>
      <w:tr w:rsidR="00B352CB" w:rsidRPr="0098660A" w14:paraId="627F9C21"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hideMark/>
          </w:tcPr>
          <w:p w14:paraId="526AB3C6" w14:textId="77777777" w:rsidR="00B352CB" w:rsidRPr="0098660A" w:rsidRDefault="00B352CB" w:rsidP="000E2127">
            <w:pPr>
              <w:rPr>
                <w:rFonts w:ascii="Arial Narrow" w:hAnsi="Arial Narrow"/>
                <w:sz w:val="20"/>
                <w:szCs w:val="20"/>
              </w:rPr>
            </w:pPr>
            <w:r w:rsidRPr="0098660A">
              <w:rPr>
                <w:rFonts w:ascii="Arial Narrow" w:hAnsi="Arial Narrow" w:cs="Segoe UI"/>
                <w:b/>
                <w:bCs/>
                <w:color w:val="333333"/>
                <w:sz w:val="20"/>
                <w:szCs w:val="20"/>
                <w:lang w:eastAsia="en-US"/>
              </w:rPr>
              <w:t xml:space="preserve">Clinical criteria: </w:t>
            </w:r>
          </w:p>
        </w:tc>
      </w:tr>
      <w:tr w:rsidR="00B352CB" w:rsidRPr="0098660A" w14:paraId="4F201D04"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tcPr>
          <w:p w14:paraId="05455024" w14:textId="77777777" w:rsidR="00B352CB" w:rsidRPr="0098660A" w:rsidRDefault="00B352CB" w:rsidP="000E2127">
            <w:pPr>
              <w:rPr>
                <w:rFonts w:ascii="Arial Narrow" w:hAnsi="Arial Narrow"/>
                <w:sz w:val="20"/>
                <w:szCs w:val="20"/>
              </w:rPr>
            </w:pPr>
            <w:r w:rsidRPr="0098660A">
              <w:rPr>
                <w:rFonts w:ascii="Arial Narrow" w:hAnsi="Arial Narrow"/>
                <w:sz w:val="20"/>
                <w:szCs w:val="20"/>
              </w:rPr>
              <w:t xml:space="preserve">Patient must have PNH granulocyte clone size equal to or greater than 10% </w:t>
            </w:r>
          </w:p>
        </w:tc>
      </w:tr>
      <w:tr w:rsidR="00B352CB" w:rsidRPr="0098660A" w14:paraId="1A9EB726"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tcPr>
          <w:p w14:paraId="659B8734" w14:textId="77777777" w:rsidR="00B352CB" w:rsidRPr="0098660A" w:rsidRDefault="00B352CB" w:rsidP="000E2127">
            <w:pPr>
              <w:rPr>
                <w:rFonts w:ascii="Arial Narrow" w:hAnsi="Arial Narrow"/>
                <w:sz w:val="20"/>
                <w:szCs w:val="20"/>
              </w:rPr>
            </w:pPr>
            <w:r w:rsidRPr="0098660A">
              <w:rPr>
                <w:rFonts w:ascii="Arial Narrow" w:hAnsi="Arial Narrow" w:cs="Segoe UI"/>
                <w:b/>
                <w:bCs/>
                <w:color w:val="333333"/>
                <w:sz w:val="20"/>
                <w:szCs w:val="20"/>
                <w:lang w:eastAsia="en-US"/>
              </w:rPr>
              <w:t>AND</w:t>
            </w:r>
          </w:p>
        </w:tc>
      </w:tr>
      <w:tr w:rsidR="00B352CB" w:rsidRPr="0098660A" w14:paraId="3634C654"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tcPr>
          <w:p w14:paraId="4CE988E0" w14:textId="77777777" w:rsidR="00B352CB" w:rsidRPr="0098660A" w:rsidRDefault="00B352CB" w:rsidP="000E2127">
            <w:pPr>
              <w:rPr>
                <w:rFonts w:ascii="Arial Narrow" w:hAnsi="Arial Narrow"/>
                <w:sz w:val="20"/>
                <w:szCs w:val="20"/>
              </w:rPr>
            </w:pPr>
            <w:r w:rsidRPr="0098660A">
              <w:rPr>
                <w:rFonts w:ascii="Arial Narrow" w:hAnsi="Arial Narrow" w:cs="Segoe UI"/>
                <w:b/>
                <w:bCs/>
                <w:color w:val="333333"/>
                <w:sz w:val="20"/>
                <w:szCs w:val="20"/>
                <w:lang w:eastAsia="en-US"/>
              </w:rPr>
              <w:t xml:space="preserve">Clinical criteria: </w:t>
            </w:r>
          </w:p>
        </w:tc>
      </w:tr>
      <w:tr w:rsidR="00B352CB" w:rsidRPr="0098660A" w14:paraId="1D4770CD"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tcPr>
          <w:p w14:paraId="76F7D8DC" w14:textId="77777777" w:rsidR="00B352CB" w:rsidRPr="0098660A" w:rsidRDefault="00B352CB" w:rsidP="000E2127">
            <w:pPr>
              <w:rPr>
                <w:rFonts w:ascii="Arial Narrow" w:hAnsi="Arial Narrow"/>
                <w:sz w:val="20"/>
                <w:szCs w:val="20"/>
              </w:rPr>
            </w:pPr>
            <w:r w:rsidRPr="0098660A">
              <w:rPr>
                <w:rFonts w:ascii="Arial Narrow" w:hAnsi="Arial Narrow"/>
                <w:sz w:val="20"/>
                <w:szCs w:val="20"/>
              </w:rPr>
              <w:t>Patient must have a raised lactate dehydrogenase value at least 1.5 times the upper limit of normal.</w:t>
            </w:r>
          </w:p>
        </w:tc>
      </w:tr>
      <w:tr w:rsidR="00B352CB" w:rsidRPr="0098660A" w14:paraId="403A3E0D"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tcPr>
          <w:p w14:paraId="390CEF04" w14:textId="77777777" w:rsidR="00B352CB" w:rsidRPr="0098660A" w:rsidRDefault="00B352CB" w:rsidP="000E2127">
            <w:pPr>
              <w:rPr>
                <w:rFonts w:ascii="Arial Narrow" w:hAnsi="Arial Narrow"/>
                <w:sz w:val="20"/>
                <w:szCs w:val="20"/>
              </w:rPr>
            </w:pPr>
            <w:r w:rsidRPr="0098660A">
              <w:rPr>
                <w:rFonts w:ascii="Arial Narrow" w:hAnsi="Arial Narrow" w:cs="Segoe UI"/>
                <w:b/>
                <w:bCs/>
                <w:color w:val="333333"/>
                <w:sz w:val="20"/>
                <w:szCs w:val="20"/>
                <w:lang w:eastAsia="en-US"/>
              </w:rPr>
              <w:t>AND</w:t>
            </w:r>
          </w:p>
        </w:tc>
      </w:tr>
      <w:tr w:rsidR="00B352CB" w:rsidRPr="0098660A" w14:paraId="2741BCC3"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tcPr>
          <w:p w14:paraId="502E9CC9" w14:textId="77777777" w:rsidR="00B352CB" w:rsidRPr="0098660A" w:rsidRDefault="00B352CB" w:rsidP="000E2127">
            <w:pPr>
              <w:rPr>
                <w:rFonts w:ascii="Arial Narrow" w:hAnsi="Arial Narrow"/>
                <w:sz w:val="20"/>
                <w:szCs w:val="20"/>
              </w:rPr>
            </w:pPr>
            <w:r w:rsidRPr="0098660A">
              <w:rPr>
                <w:rFonts w:ascii="Arial Narrow" w:hAnsi="Arial Narrow" w:cs="Segoe UI"/>
                <w:b/>
                <w:bCs/>
                <w:color w:val="333333"/>
                <w:sz w:val="20"/>
                <w:szCs w:val="20"/>
                <w:lang w:eastAsia="en-US"/>
              </w:rPr>
              <w:t xml:space="preserve">Clinical criteria: </w:t>
            </w:r>
          </w:p>
        </w:tc>
      </w:tr>
      <w:tr w:rsidR="00B352CB" w:rsidRPr="0098660A" w14:paraId="30AD4495"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tcPr>
          <w:p w14:paraId="54F75CBB" w14:textId="77777777" w:rsidR="00B352CB" w:rsidRPr="0098660A" w:rsidRDefault="00B352CB" w:rsidP="000E2127">
            <w:pPr>
              <w:rPr>
                <w:rFonts w:ascii="Arial Narrow" w:hAnsi="Arial Narrow"/>
                <w:sz w:val="20"/>
                <w:szCs w:val="20"/>
              </w:rPr>
            </w:pPr>
            <w:r w:rsidRPr="0098660A">
              <w:rPr>
                <w:rFonts w:ascii="Arial Narrow" w:hAnsi="Arial Narrow"/>
                <w:sz w:val="20"/>
                <w:szCs w:val="20"/>
              </w:rPr>
              <w:t>Patient must have experienced a thrombotic/embolic event which required anticoagulant therapy; or</w:t>
            </w:r>
          </w:p>
        </w:tc>
      </w:tr>
      <w:tr w:rsidR="00B352CB" w:rsidRPr="0098660A" w14:paraId="2C565301"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tcPr>
          <w:p w14:paraId="0B2883D6" w14:textId="77777777" w:rsidR="00B352CB" w:rsidRPr="0098660A" w:rsidRDefault="00B352CB" w:rsidP="000E2127">
            <w:pPr>
              <w:rPr>
                <w:rFonts w:ascii="Arial Narrow" w:hAnsi="Arial Narrow"/>
                <w:sz w:val="20"/>
                <w:szCs w:val="20"/>
              </w:rPr>
            </w:pPr>
            <w:r w:rsidRPr="0098660A">
              <w:rPr>
                <w:rFonts w:ascii="Arial Narrow" w:hAnsi="Arial Narrow"/>
                <w:sz w:val="20"/>
                <w:szCs w:val="20"/>
              </w:rPr>
              <w:t>Patient must have been transfused with at least 4 units of red blood cells in the last 12 months; or</w:t>
            </w:r>
          </w:p>
        </w:tc>
      </w:tr>
      <w:tr w:rsidR="00B352CB" w:rsidRPr="0098660A" w14:paraId="690ECAEF"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tcPr>
          <w:p w14:paraId="551D889D" w14:textId="77777777" w:rsidR="00B352CB" w:rsidRPr="0098660A" w:rsidRDefault="00B352CB" w:rsidP="000E2127">
            <w:pPr>
              <w:rPr>
                <w:rFonts w:ascii="Arial Narrow" w:hAnsi="Arial Narrow"/>
                <w:sz w:val="20"/>
                <w:szCs w:val="20"/>
              </w:rPr>
            </w:pPr>
            <w:r w:rsidRPr="0098660A">
              <w:rPr>
                <w:rFonts w:ascii="Arial Narrow" w:hAnsi="Arial Narrow"/>
                <w:sz w:val="20"/>
                <w:szCs w:val="20"/>
              </w:rPr>
              <w:t>Patient must have chronic/recurrent anaemia, where causes other than haemolysis have been excluded, together with multiple haemoglobin measurements not exceeding 70 g/L in the absence of anaemia symptoms; or</w:t>
            </w:r>
          </w:p>
        </w:tc>
      </w:tr>
      <w:tr w:rsidR="00B352CB" w:rsidRPr="0098660A" w14:paraId="52DBFA92"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tcPr>
          <w:p w14:paraId="546F74AD" w14:textId="77777777" w:rsidR="00B352CB" w:rsidRPr="0098660A" w:rsidRDefault="00B352CB" w:rsidP="000E2127">
            <w:pPr>
              <w:rPr>
                <w:rFonts w:ascii="Arial Narrow" w:hAnsi="Arial Narrow"/>
                <w:sz w:val="20"/>
                <w:szCs w:val="20"/>
              </w:rPr>
            </w:pPr>
            <w:r w:rsidRPr="0098660A">
              <w:rPr>
                <w:rFonts w:ascii="Arial Narrow" w:hAnsi="Arial Narrow"/>
                <w:sz w:val="20"/>
                <w:szCs w:val="20"/>
              </w:rPr>
              <w:t>Patient must have chronic/recurrent anaemia, where causes other than haemolysis have been excluded, together with multiple haemoglobin measurements not exceeding 100 g/L in addition to having anaemia symptoms; or</w:t>
            </w:r>
          </w:p>
        </w:tc>
      </w:tr>
      <w:tr w:rsidR="00B352CB" w:rsidRPr="0098660A" w14:paraId="2E14BC07"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tcPr>
          <w:p w14:paraId="1C6371E2" w14:textId="77777777" w:rsidR="00B352CB" w:rsidRPr="0098660A" w:rsidRDefault="00B352CB" w:rsidP="000E2127">
            <w:pPr>
              <w:rPr>
                <w:rFonts w:ascii="Arial Narrow" w:hAnsi="Arial Narrow"/>
                <w:sz w:val="20"/>
                <w:szCs w:val="20"/>
              </w:rPr>
            </w:pPr>
            <w:r w:rsidRPr="0098660A">
              <w:rPr>
                <w:rFonts w:ascii="Arial Narrow" w:eastAsiaTheme="minorEastAsia" w:hAnsi="Arial Narrow"/>
                <w:sz w:val="20"/>
                <w:szCs w:val="20"/>
              </w:rPr>
              <w:t>Patient must have debilitating shortness of breath/chest pain resulting in limitation of normal activity (New York Heart Association Class III) and/or established diagnosis of pulmonary arterial hypertension, where causes other than PNH have been excluded; or</w:t>
            </w:r>
          </w:p>
        </w:tc>
      </w:tr>
      <w:tr w:rsidR="00B352CB" w:rsidRPr="0098660A" w14:paraId="0C9B1455"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tcPr>
          <w:p w14:paraId="3B9CE21C" w14:textId="77777777" w:rsidR="00B352CB" w:rsidRPr="0098660A" w:rsidRDefault="00B352CB" w:rsidP="000E2127">
            <w:pPr>
              <w:rPr>
                <w:rFonts w:ascii="Arial Narrow" w:eastAsiaTheme="minorEastAsia" w:hAnsi="Arial Narrow"/>
                <w:sz w:val="20"/>
                <w:szCs w:val="20"/>
              </w:rPr>
            </w:pPr>
            <w:r w:rsidRPr="0098660A">
              <w:rPr>
                <w:rFonts w:ascii="Arial Narrow" w:eastAsiaTheme="minorEastAsia" w:hAnsi="Arial Narrow"/>
                <w:sz w:val="20"/>
                <w:szCs w:val="20"/>
              </w:rPr>
              <w:t>Patient must have a history of renal insufficiency, demonstrated by an eGFR less than or equal to 60 mL/min/1.73m</w:t>
            </w:r>
            <w:r w:rsidRPr="0098660A">
              <w:rPr>
                <w:rFonts w:ascii="Arial Narrow" w:eastAsiaTheme="minorEastAsia" w:hAnsi="Arial Narrow"/>
                <w:sz w:val="20"/>
                <w:szCs w:val="20"/>
                <w:vertAlign w:val="superscript"/>
              </w:rPr>
              <w:t>2</w:t>
            </w:r>
            <w:r w:rsidRPr="0098660A">
              <w:rPr>
                <w:rFonts w:ascii="Arial Narrow" w:eastAsiaTheme="minorEastAsia" w:hAnsi="Arial Narrow"/>
                <w:sz w:val="20"/>
                <w:szCs w:val="20"/>
              </w:rPr>
              <w:t>, where causes other than PNH have been excluded; or</w:t>
            </w:r>
          </w:p>
        </w:tc>
      </w:tr>
      <w:tr w:rsidR="00B352CB" w:rsidRPr="0098660A" w14:paraId="390661CE"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tcPr>
          <w:p w14:paraId="0908FE09" w14:textId="77777777" w:rsidR="00B352CB" w:rsidRPr="0098660A" w:rsidRDefault="00B352CB" w:rsidP="000E2127">
            <w:pPr>
              <w:rPr>
                <w:rFonts w:ascii="Arial Narrow" w:eastAsiaTheme="minorEastAsia" w:hAnsi="Arial Narrow"/>
                <w:sz w:val="20"/>
                <w:szCs w:val="20"/>
              </w:rPr>
            </w:pPr>
            <w:r w:rsidRPr="0098660A">
              <w:rPr>
                <w:rFonts w:ascii="Arial Narrow" w:eastAsiaTheme="minorEastAsia" w:hAnsi="Arial Narrow"/>
                <w:sz w:val="20"/>
                <w:szCs w:val="20"/>
              </w:rPr>
              <w:t>Patient must have recurrent episodes of severe pain requiring hospitalisation and/or narcotic analgesia, where causes other than PNH have been excluded.</w:t>
            </w:r>
          </w:p>
        </w:tc>
      </w:tr>
      <w:tr w:rsidR="00B352CB" w:rsidRPr="0098660A" w14:paraId="224A0A17"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tcPr>
          <w:p w14:paraId="53ACABDC" w14:textId="77777777" w:rsidR="00B352CB" w:rsidRPr="0098660A" w:rsidRDefault="00B352CB" w:rsidP="000E2127">
            <w:pPr>
              <w:rPr>
                <w:rFonts w:ascii="Arial Narrow" w:hAnsi="Arial Narrow"/>
                <w:sz w:val="20"/>
                <w:szCs w:val="20"/>
              </w:rPr>
            </w:pPr>
            <w:r w:rsidRPr="0098660A">
              <w:rPr>
                <w:rFonts w:ascii="Arial Narrow" w:hAnsi="Arial Narrow" w:cs="Segoe UI"/>
                <w:b/>
                <w:bCs/>
                <w:color w:val="333333"/>
                <w:sz w:val="20"/>
                <w:szCs w:val="20"/>
                <w:lang w:eastAsia="en-US"/>
              </w:rPr>
              <w:t>AND</w:t>
            </w:r>
          </w:p>
        </w:tc>
      </w:tr>
      <w:tr w:rsidR="00B352CB" w:rsidRPr="0098660A" w14:paraId="35322BF2"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tcPr>
          <w:p w14:paraId="62175C06" w14:textId="77777777" w:rsidR="00B352CB" w:rsidRPr="0098660A" w:rsidRDefault="00B352CB" w:rsidP="000E2127">
            <w:pPr>
              <w:rPr>
                <w:rFonts w:ascii="Arial Narrow" w:hAnsi="Arial Narrow"/>
                <w:sz w:val="20"/>
                <w:szCs w:val="20"/>
              </w:rPr>
            </w:pPr>
            <w:r w:rsidRPr="0098660A">
              <w:rPr>
                <w:rFonts w:ascii="Arial Narrow" w:hAnsi="Arial Narrow" w:cs="Segoe UI"/>
                <w:b/>
                <w:bCs/>
                <w:color w:val="333333"/>
                <w:sz w:val="20"/>
                <w:szCs w:val="20"/>
                <w:lang w:eastAsia="en-US"/>
              </w:rPr>
              <w:t xml:space="preserve">Clinical criteria: </w:t>
            </w:r>
          </w:p>
        </w:tc>
      </w:tr>
      <w:tr w:rsidR="00B352CB" w:rsidRPr="0098660A" w14:paraId="135EAF80"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tcPr>
          <w:p w14:paraId="272D63E9" w14:textId="77777777" w:rsidR="00B352CB" w:rsidRPr="0098660A" w:rsidRDefault="00B352CB" w:rsidP="000E2127">
            <w:pPr>
              <w:rPr>
                <w:rFonts w:ascii="Arial Narrow" w:hAnsi="Arial Narrow"/>
                <w:sz w:val="20"/>
                <w:szCs w:val="20"/>
              </w:rPr>
            </w:pPr>
            <w:r w:rsidRPr="0098660A">
              <w:rPr>
                <w:rFonts w:ascii="Arial Narrow" w:hAnsi="Arial Narrow"/>
                <w:sz w:val="20"/>
                <w:szCs w:val="20"/>
              </w:rPr>
              <w:t>The treatment must be the sole PBS-subsidised therapy for this condition.</w:t>
            </w:r>
          </w:p>
        </w:tc>
      </w:tr>
      <w:tr w:rsidR="00B352CB" w:rsidRPr="0098660A" w14:paraId="0101A495"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tcPr>
          <w:p w14:paraId="5D221EBA" w14:textId="77777777" w:rsidR="00B352CB" w:rsidRPr="0098660A" w:rsidRDefault="00B352CB" w:rsidP="000E2127">
            <w:pPr>
              <w:autoSpaceDE w:val="0"/>
              <w:autoSpaceDN w:val="0"/>
              <w:adjustRightInd w:val="0"/>
              <w:rPr>
                <w:rFonts w:ascii="Arial Narrow" w:hAnsi="Arial Narrow" w:cs="Arial Narrow"/>
                <w:sz w:val="20"/>
                <w:szCs w:val="20"/>
              </w:rPr>
            </w:pPr>
            <w:r w:rsidRPr="0098660A">
              <w:rPr>
                <w:rFonts w:ascii="Arial Narrow" w:hAnsi="Arial Narrow" w:cs="Segoe UI"/>
                <w:b/>
                <w:bCs/>
                <w:sz w:val="20"/>
                <w:szCs w:val="20"/>
              </w:rPr>
              <w:t>Treatment criteria:</w:t>
            </w:r>
          </w:p>
        </w:tc>
      </w:tr>
      <w:tr w:rsidR="00B352CB" w:rsidRPr="0098660A" w14:paraId="52DC0A1B"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tcPr>
          <w:p w14:paraId="081CC5C7" w14:textId="77777777" w:rsidR="00B352CB" w:rsidRPr="0098660A" w:rsidRDefault="00B352CB" w:rsidP="000E2127">
            <w:pPr>
              <w:autoSpaceDE w:val="0"/>
              <w:autoSpaceDN w:val="0"/>
              <w:adjustRightInd w:val="0"/>
              <w:rPr>
                <w:rFonts w:ascii="Arial Narrow" w:hAnsi="Arial Narrow" w:cs="Arial Narrow"/>
                <w:sz w:val="20"/>
                <w:szCs w:val="20"/>
              </w:rPr>
            </w:pPr>
            <w:r w:rsidRPr="0098660A">
              <w:rPr>
                <w:rFonts w:ascii="Arial Narrow" w:hAnsi="Arial Narrow" w:cs="Arial Narrow"/>
                <w:sz w:val="20"/>
                <w:szCs w:val="20"/>
              </w:rPr>
              <w:t>Must be treated by a haematologist; or</w:t>
            </w:r>
          </w:p>
        </w:tc>
      </w:tr>
      <w:tr w:rsidR="00B352CB" w:rsidRPr="0098660A" w14:paraId="3941A32E"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tcPr>
          <w:p w14:paraId="6AF0F706" w14:textId="77777777" w:rsidR="00B352CB" w:rsidRPr="0098660A" w:rsidRDefault="00B352CB" w:rsidP="000E2127">
            <w:pPr>
              <w:autoSpaceDE w:val="0"/>
              <w:autoSpaceDN w:val="0"/>
              <w:adjustRightInd w:val="0"/>
              <w:rPr>
                <w:rFonts w:ascii="Arial Narrow" w:hAnsi="Arial Narrow" w:cs="Arial Narrow"/>
                <w:sz w:val="20"/>
                <w:szCs w:val="20"/>
              </w:rPr>
            </w:pPr>
            <w:r w:rsidRPr="0098660A">
              <w:rPr>
                <w:rFonts w:ascii="Arial Narrow" w:hAnsi="Arial Narrow" w:cs="Arial Narrow"/>
                <w:sz w:val="20"/>
                <w:szCs w:val="20"/>
              </w:rPr>
              <w:t>Must be treated by a non-specialist medical physician who has consulted a haematologist on the patient's drug treatment details.</w:t>
            </w:r>
          </w:p>
        </w:tc>
      </w:tr>
      <w:tr w:rsidR="00B352CB" w:rsidRPr="0098660A" w14:paraId="13BDE146"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tcPr>
          <w:p w14:paraId="673C6A10" w14:textId="77777777" w:rsidR="00B352CB" w:rsidRPr="0098660A" w:rsidRDefault="00B352CB" w:rsidP="000E2127">
            <w:pPr>
              <w:autoSpaceDE w:val="0"/>
              <w:autoSpaceDN w:val="0"/>
              <w:adjustRightInd w:val="0"/>
              <w:rPr>
                <w:rFonts w:ascii="Arial Narrow" w:hAnsi="Arial Narrow" w:cs="Arial Narrow"/>
                <w:b/>
                <w:bCs/>
                <w:sz w:val="20"/>
                <w:szCs w:val="20"/>
              </w:rPr>
            </w:pPr>
            <w:r w:rsidRPr="0098660A">
              <w:rPr>
                <w:rFonts w:ascii="Arial Narrow" w:hAnsi="Arial Narrow" w:cs="Arial Narrow"/>
                <w:b/>
                <w:bCs/>
                <w:sz w:val="20"/>
                <w:szCs w:val="20"/>
              </w:rPr>
              <w:t>Population criteria:</w:t>
            </w:r>
          </w:p>
        </w:tc>
      </w:tr>
      <w:tr w:rsidR="00B352CB" w:rsidRPr="0098660A" w14:paraId="589DB181"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tcPr>
          <w:p w14:paraId="747571DA" w14:textId="77777777" w:rsidR="00B352CB" w:rsidRPr="0098660A" w:rsidRDefault="00B352CB" w:rsidP="000E2127">
            <w:pPr>
              <w:autoSpaceDE w:val="0"/>
              <w:autoSpaceDN w:val="0"/>
              <w:adjustRightInd w:val="0"/>
              <w:rPr>
                <w:rFonts w:ascii="Arial Narrow" w:hAnsi="Arial Narrow" w:cs="Arial Narrow"/>
                <w:sz w:val="20"/>
                <w:szCs w:val="20"/>
              </w:rPr>
            </w:pPr>
            <w:r w:rsidRPr="0098660A">
              <w:rPr>
                <w:rFonts w:ascii="Arial Narrow" w:hAnsi="Arial Narrow" w:cs="Arial Narrow"/>
                <w:sz w:val="20"/>
                <w:szCs w:val="20"/>
              </w:rPr>
              <w:t>Patient must be at least 18 years of age</w:t>
            </w:r>
          </w:p>
        </w:tc>
      </w:tr>
      <w:tr w:rsidR="00B352CB" w:rsidRPr="0098660A" w14:paraId="553A6327"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tcPr>
          <w:p w14:paraId="4C3D1CD4" w14:textId="77777777" w:rsidR="00B352CB" w:rsidRPr="0098660A" w:rsidRDefault="00B352CB" w:rsidP="000E2127">
            <w:pPr>
              <w:rPr>
                <w:rFonts w:ascii="Arial Narrow" w:hAnsi="Arial Narrow" w:cs="Times New Roman"/>
                <w:sz w:val="20"/>
                <w:szCs w:val="20"/>
              </w:rPr>
            </w:pPr>
            <w:r w:rsidRPr="0098660A">
              <w:rPr>
                <w:rFonts w:ascii="Arial Narrow" w:hAnsi="Arial Narrow" w:cs="Times New Roman"/>
                <w:b/>
                <w:bCs/>
                <w:sz w:val="20"/>
                <w:szCs w:val="20"/>
              </w:rPr>
              <w:t xml:space="preserve">Prescribing Instructions: </w:t>
            </w:r>
          </w:p>
          <w:p w14:paraId="05DF7667" w14:textId="45EB28D8" w:rsidR="00B352CB" w:rsidRPr="0098660A" w:rsidRDefault="00B352CB" w:rsidP="51A4B722">
            <w:pPr>
              <w:rPr>
                <w:rFonts w:ascii="Arial Narrow" w:hAnsi="Arial Narrow" w:cs="Times New Roman"/>
                <w:sz w:val="20"/>
                <w:szCs w:val="20"/>
              </w:rPr>
            </w:pPr>
            <w:r w:rsidRPr="0098660A">
              <w:rPr>
                <w:rFonts w:ascii="Arial Narrow" w:hAnsi="Arial Narrow" w:cs="Times New Roman"/>
                <w:sz w:val="20"/>
                <w:szCs w:val="20"/>
              </w:rPr>
              <w:t>If the application is submitted through HPOS form upload or mail, it must include:</w:t>
            </w:r>
          </w:p>
          <w:p w14:paraId="77FF5F68" w14:textId="6753B8C5" w:rsidR="00B352CB" w:rsidRPr="0098660A" w:rsidRDefault="00B352CB" w:rsidP="51A4B722">
            <w:pPr>
              <w:rPr>
                <w:rFonts w:ascii="Arial Narrow" w:hAnsi="Arial Narrow" w:cs="Times New Roman"/>
                <w:sz w:val="20"/>
                <w:szCs w:val="20"/>
              </w:rPr>
            </w:pPr>
            <w:r w:rsidRPr="0098660A">
              <w:rPr>
                <w:rFonts w:ascii="Arial Narrow" w:hAnsi="Arial Narrow" w:cs="Times New Roman"/>
                <w:sz w:val="20"/>
                <w:szCs w:val="20"/>
              </w:rPr>
              <w:t>(i) details of the proposed prescription; and</w:t>
            </w:r>
          </w:p>
          <w:p w14:paraId="1AFC1EE8" w14:textId="7539EDE2" w:rsidR="00B352CB" w:rsidRPr="0098660A" w:rsidRDefault="00B352CB" w:rsidP="000E2127">
            <w:pPr>
              <w:rPr>
                <w:rFonts w:ascii="Arial Narrow" w:hAnsi="Arial Narrow" w:cs="Times New Roman"/>
                <w:sz w:val="20"/>
                <w:szCs w:val="20"/>
              </w:rPr>
            </w:pPr>
            <w:r w:rsidRPr="0098660A">
              <w:rPr>
                <w:rFonts w:ascii="Arial Narrow" w:hAnsi="Arial Narrow" w:cs="Times New Roman"/>
                <w:sz w:val="20"/>
                <w:szCs w:val="20"/>
              </w:rPr>
              <w:t>(ii) a completed authority application form relevant to the indication and treatment phase (the latest version is located on the website specified in the Administrative Advice).</w:t>
            </w:r>
          </w:p>
        </w:tc>
      </w:tr>
      <w:tr w:rsidR="00B352CB" w:rsidRPr="0098660A" w14:paraId="57307AA6"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hideMark/>
          </w:tcPr>
          <w:p w14:paraId="196C2C53" w14:textId="77777777" w:rsidR="00B352CB" w:rsidRPr="0098660A" w:rsidRDefault="00B352CB" w:rsidP="000E2127">
            <w:pPr>
              <w:rPr>
                <w:rFonts w:ascii="Arial Narrow" w:hAnsi="Arial Narrow" w:cs="Times New Roman"/>
                <w:sz w:val="20"/>
                <w:szCs w:val="20"/>
              </w:rPr>
            </w:pPr>
            <w:r w:rsidRPr="0098660A">
              <w:rPr>
                <w:rFonts w:ascii="Arial Narrow" w:hAnsi="Arial Narrow" w:cs="Times New Roman"/>
                <w:b/>
                <w:bCs/>
                <w:sz w:val="20"/>
                <w:szCs w:val="20"/>
              </w:rPr>
              <w:t xml:space="preserve">Prescribing Instructions: </w:t>
            </w:r>
          </w:p>
          <w:p w14:paraId="65ED2EFD" w14:textId="77777777" w:rsidR="00B352CB" w:rsidRPr="0098660A" w:rsidRDefault="00B352CB" w:rsidP="000E2127">
            <w:pPr>
              <w:rPr>
                <w:rFonts w:ascii="Arial Narrow" w:hAnsi="Arial Narrow"/>
                <w:sz w:val="20"/>
                <w:szCs w:val="20"/>
              </w:rPr>
            </w:pPr>
            <w:r w:rsidRPr="0098660A">
              <w:rPr>
                <w:rFonts w:ascii="Arial Narrow" w:hAnsi="Arial Narrow" w:cs="Times New Roman"/>
                <w:sz w:val="20"/>
                <w:szCs w:val="20"/>
              </w:rPr>
              <w:t>At the time of the authority application, medical practitioners must request the appropriate number of vials for 4 weeks supply per dispensing as per the Product Information.</w:t>
            </w:r>
          </w:p>
        </w:tc>
      </w:tr>
      <w:tr w:rsidR="00B352CB" w:rsidRPr="0098660A" w14:paraId="0C8F447D" w14:textId="77777777" w:rsidTr="00147ACC">
        <w:tblPrEx>
          <w:tblCellMar>
            <w:top w:w="15" w:type="dxa"/>
            <w:bottom w:w="15" w:type="dxa"/>
          </w:tblCellMar>
          <w:tblLook w:val="04A0" w:firstRow="1" w:lastRow="0" w:firstColumn="1" w:lastColumn="0" w:noHBand="0" w:noVBand="1"/>
        </w:tblPrEx>
        <w:trPr>
          <w:gridAfter w:val="1"/>
          <w:wAfter w:w="49" w:type="dxa"/>
          <w:cantSplit/>
          <w:trHeight w:val="20"/>
        </w:trPr>
        <w:tc>
          <w:tcPr>
            <w:tcW w:w="8973" w:type="dxa"/>
            <w:gridSpan w:val="6"/>
            <w:vAlign w:val="center"/>
          </w:tcPr>
          <w:p w14:paraId="6A115EDB" w14:textId="77777777" w:rsidR="00B352CB" w:rsidRPr="0098660A" w:rsidRDefault="00B352CB" w:rsidP="000E2127">
            <w:pPr>
              <w:rPr>
                <w:rFonts w:ascii="Arial Narrow" w:hAnsi="Arial Narrow" w:cs="Times New Roman"/>
                <w:b/>
                <w:bCs/>
                <w:sz w:val="20"/>
                <w:szCs w:val="20"/>
              </w:rPr>
            </w:pPr>
            <w:r w:rsidRPr="0098660A">
              <w:rPr>
                <w:rFonts w:ascii="Arial Narrow" w:hAnsi="Arial Narrow" w:cs="Times New Roman"/>
                <w:b/>
                <w:bCs/>
                <w:sz w:val="20"/>
                <w:szCs w:val="20"/>
              </w:rPr>
              <w:lastRenderedPageBreak/>
              <w:t>Prescribing Instructions:</w:t>
            </w:r>
          </w:p>
          <w:p w14:paraId="3770ECBF" w14:textId="77777777" w:rsidR="00B352CB" w:rsidRPr="0098660A" w:rsidRDefault="00B352CB" w:rsidP="000E2127">
            <w:pPr>
              <w:rPr>
                <w:rFonts w:ascii="Arial Narrow" w:hAnsi="Arial Narrow" w:cs="Times New Roman"/>
                <w:sz w:val="20"/>
                <w:szCs w:val="20"/>
              </w:rPr>
            </w:pPr>
            <w:r w:rsidRPr="0098660A">
              <w:rPr>
                <w:rFonts w:ascii="Arial Narrow" w:hAnsi="Arial Narrow" w:cs="Times New Roman"/>
                <w:sz w:val="20"/>
                <w:szCs w:val="20"/>
              </w:rPr>
              <w:t>At the time of the authority application, details (result and date of result) of the following monitoring requirements must be provided:</w:t>
            </w:r>
          </w:p>
          <w:p w14:paraId="02373887" w14:textId="77777777" w:rsidR="00B352CB" w:rsidRPr="0098660A" w:rsidRDefault="00B352CB" w:rsidP="000E2127">
            <w:pPr>
              <w:rPr>
                <w:rFonts w:ascii="Arial Narrow" w:hAnsi="Arial Narrow" w:cs="Times New Roman"/>
                <w:sz w:val="20"/>
                <w:szCs w:val="20"/>
              </w:rPr>
            </w:pPr>
            <w:r w:rsidRPr="0098660A">
              <w:rPr>
                <w:rFonts w:ascii="Arial Narrow" w:hAnsi="Arial Narrow" w:cs="Times New Roman"/>
                <w:sz w:val="20"/>
                <w:szCs w:val="20"/>
              </w:rPr>
              <w:t>(i) Haemoglobin (g/L)</w:t>
            </w:r>
          </w:p>
          <w:p w14:paraId="1B803E0E" w14:textId="77777777" w:rsidR="00B352CB" w:rsidRPr="0098660A" w:rsidRDefault="00B352CB" w:rsidP="000E2127">
            <w:pPr>
              <w:rPr>
                <w:rFonts w:ascii="Arial Narrow" w:hAnsi="Arial Narrow" w:cs="Times New Roman"/>
                <w:sz w:val="20"/>
                <w:szCs w:val="20"/>
              </w:rPr>
            </w:pPr>
            <w:r w:rsidRPr="0098660A">
              <w:rPr>
                <w:rFonts w:ascii="Arial Narrow" w:hAnsi="Arial Narrow" w:cs="Times New Roman"/>
                <w:sz w:val="20"/>
                <w:szCs w:val="20"/>
              </w:rPr>
              <w:t>(ii) Platelets (x10</w:t>
            </w:r>
            <w:r w:rsidRPr="0098660A">
              <w:rPr>
                <w:rFonts w:ascii="Arial Narrow" w:hAnsi="Arial Narrow" w:cs="Times New Roman"/>
                <w:sz w:val="20"/>
                <w:szCs w:val="20"/>
                <w:vertAlign w:val="superscript"/>
              </w:rPr>
              <w:t>9</w:t>
            </w:r>
            <w:r w:rsidRPr="0098660A">
              <w:rPr>
                <w:rFonts w:ascii="Arial Narrow" w:hAnsi="Arial Narrow" w:cs="Times New Roman"/>
                <w:sz w:val="20"/>
                <w:szCs w:val="20"/>
              </w:rPr>
              <w:t>/L)</w:t>
            </w:r>
          </w:p>
          <w:p w14:paraId="21D95C9B" w14:textId="77777777" w:rsidR="00B352CB" w:rsidRPr="0098660A" w:rsidRDefault="00B352CB" w:rsidP="000E2127">
            <w:pPr>
              <w:rPr>
                <w:rFonts w:ascii="Arial Narrow" w:hAnsi="Arial Narrow" w:cs="Times New Roman"/>
                <w:sz w:val="20"/>
                <w:szCs w:val="20"/>
              </w:rPr>
            </w:pPr>
            <w:r w:rsidRPr="0098660A">
              <w:rPr>
                <w:rFonts w:ascii="Arial Narrow" w:hAnsi="Arial Narrow" w:cs="Times New Roman"/>
                <w:sz w:val="20"/>
                <w:szCs w:val="20"/>
              </w:rPr>
              <w:t>(iii) White Cell Count (x10</w:t>
            </w:r>
            <w:r w:rsidRPr="0098660A">
              <w:rPr>
                <w:rFonts w:ascii="Arial Narrow" w:hAnsi="Arial Narrow" w:cs="Times New Roman"/>
                <w:sz w:val="20"/>
                <w:szCs w:val="20"/>
                <w:vertAlign w:val="superscript"/>
              </w:rPr>
              <w:t>9</w:t>
            </w:r>
            <w:r w:rsidRPr="0098660A">
              <w:rPr>
                <w:rFonts w:ascii="Arial Narrow" w:hAnsi="Arial Narrow" w:cs="Times New Roman"/>
                <w:sz w:val="20"/>
                <w:szCs w:val="20"/>
              </w:rPr>
              <w:t>/L)</w:t>
            </w:r>
          </w:p>
          <w:p w14:paraId="2AC275A9" w14:textId="77777777" w:rsidR="00B352CB" w:rsidRPr="0098660A" w:rsidRDefault="00B352CB" w:rsidP="000E2127">
            <w:pPr>
              <w:rPr>
                <w:rFonts w:ascii="Arial Narrow" w:hAnsi="Arial Narrow" w:cs="Times New Roman"/>
                <w:sz w:val="20"/>
                <w:szCs w:val="20"/>
              </w:rPr>
            </w:pPr>
            <w:r w:rsidRPr="0098660A">
              <w:rPr>
                <w:rFonts w:ascii="Arial Narrow" w:hAnsi="Arial Narrow" w:cs="Times New Roman"/>
                <w:sz w:val="20"/>
                <w:szCs w:val="20"/>
              </w:rPr>
              <w:t>(iv) Reticulocytes (x10</w:t>
            </w:r>
            <w:r w:rsidRPr="0098660A">
              <w:rPr>
                <w:rFonts w:ascii="Arial Narrow" w:hAnsi="Arial Narrow" w:cs="Times New Roman"/>
                <w:sz w:val="20"/>
                <w:szCs w:val="20"/>
                <w:vertAlign w:val="superscript"/>
              </w:rPr>
              <w:t>9</w:t>
            </w:r>
            <w:r w:rsidRPr="0098660A">
              <w:rPr>
                <w:rFonts w:ascii="Arial Narrow" w:hAnsi="Arial Narrow" w:cs="Times New Roman"/>
                <w:sz w:val="20"/>
                <w:szCs w:val="20"/>
              </w:rPr>
              <w:t>/L)</w:t>
            </w:r>
          </w:p>
          <w:p w14:paraId="01289596" w14:textId="77777777" w:rsidR="00B352CB" w:rsidRPr="0098660A" w:rsidRDefault="00B352CB" w:rsidP="000E2127">
            <w:pPr>
              <w:rPr>
                <w:rFonts w:ascii="Arial Narrow" w:hAnsi="Arial Narrow" w:cs="Times New Roman"/>
                <w:sz w:val="20"/>
                <w:szCs w:val="20"/>
              </w:rPr>
            </w:pPr>
            <w:r w:rsidRPr="0098660A">
              <w:rPr>
                <w:rFonts w:ascii="Arial Narrow" w:hAnsi="Arial Narrow" w:cs="Times New Roman"/>
                <w:sz w:val="20"/>
                <w:szCs w:val="20"/>
              </w:rPr>
              <w:t>(v) Neutrophils (x10</w:t>
            </w:r>
            <w:r w:rsidRPr="0098660A">
              <w:rPr>
                <w:rFonts w:ascii="Arial Narrow" w:hAnsi="Arial Narrow" w:cs="Times New Roman"/>
                <w:sz w:val="20"/>
                <w:szCs w:val="20"/>
                <w:vertAlign w:val="superscript"/>
              </w:rPr>
              <w:t>9</w:t>
            </w:r>
            <w:r w:rsidRPr="0098660A">
              <w:rPr>
                <w:rFonts w:ascii="Arial Narrow" w:hAnsi="Arial Narrow" w:cs="Times New Roman"/>
                <w:sz w:val="20"/>
                <w:szCs w:val="20"/>
              </w:rPr>
              <w:t>/L)</w:t>
            </w:r>
          </w:p>
          <w:p w14:paraId="0CFF5005" w14:textId="77777777" w:rsidR="00B352CB" w:rsidRPr="0098660A" w:rsidRDefault="00B352CB" w:rsidP="000E2127">
            <w:pPr>
              <w:rPr>
                <w:rFonts w:ascii="Arial Narrow" w:hAnsi="Arial Narrow" w:cs="Times New Roman"/>
                <w:sz w:val="20"/>
                <w:szCs w:val="20"/>
              </w:rPr>
            </w:pPr>
            <w:r w:rsidRPr="0098660A">
              <w:rPr>
                <w:rFonts w:ascii="Arial Narrow" w:hAnsi="Arial Narrow" w:cs="Times New Roman"/>
                <w:sz w:val="20"/>
                <w:szCs w:val="20"/>
              </w:rPr>
              <w:t>(vi) Granulocyte clone size (%)</w:t>
            </w:r>
          </w:p>
          <w:p w14:paraId="39AD8FF5" w14:textId="77777777" w:rsidR="00B352CB" w:rsidRPr="0098660A" w:rsidRDefault="00B352CB" w:rsidP="000E2127">
            <w:pPr>
              <w:rPr>
                <w:rFonts w:ascii="Arial Narrow" w:hAnsi="Arial Narrow" w:cs="Times New Roman"/>
                <w:sz w:val="20"/>
                <w:szCs w:val="20"/>
              </w:rPr>
            </w:pPr>
            <w:r w:rsidRPr="0098660A">
              <w:rPr>
                <w:rFonts w:ascii="Arial Narrow" w:hAnsi="Arial Narrow" w:cs="Times New Roman"/>
                <w:sz w:val="20"/>
                <w:szCs w:val="20"/>
              </w:rPr>
              <w:t>(vii) Lactate Dehydrogenase (LDH)</w:t>
            </w:r>
          </w:p>
          <w:p w14:paraId="52787B90" w14:textId="77777777" w:rsidR="00B352CB" w:rsidRPr="0098660A" w:rsidRDefault="00B352CB" w:rsidP="000E2127">
            <w:pPr>
              <w:rPr>
                <w:rFonts w:ascii="Arial Narrow" w:hAnsi="Arial Narrow" w:cs="Times New Roman"/>
                <w:sz w:val="20"/>
                <w:szCs w:val="20"/>
              </w:rPr>
            </w:pPr>
            <w:r w:rsidRPr="0098660A">
              <w:rPr>
                <w:rFonts w:ascii="Arial Narrow" w:hAnsi="Arial Narrow" w:cs="Times New Roman"/>
                <w:sz w:val="20"/>
                <w:szCs w:val="20"/>
              </w:rPr>
              <w:t>(viii) the upper limit of normal (ULN) for LDH as quoted by the reporting laboratory</w:t>
            </w:r>
          </w:p>
          <w:p w14:paraId="73292577" w14:textId="77777777" w:rsidR="00B352CB" w:rsidRPr="0098660A" w:rsidRDefault="00B352CB" w:rsidP="000E2127">
            <w:pPr>
              <w:rPr>
                <w:rFonts w:ascii="Arial Narrow" w:hAnsi="Arial Narrow" w:cs="Times New Roman"/>
                <w:b/>
                <w:bCs/>
                <w:sz w:val="20"/>
                <w:szCs w:val="20"/>
              </w:rPr>
            </w:pPr>
            <w:r w:rsidRPr="0098660A">
              <w:rPr>
                <w:rFonts w:ascii="Arial Narrow" w:hAnsi="Arial Narrow" w:cs="Times New Roman"/>
                <w:sz w:val="20"/>
                <w:szCs w:val="20"/>
              </w:rPr>
              <w:t>(ix) the LDH:ULN ratio (in figures, rounded to one decimal place)</w:t>
            </w:r>
          </w:p>
        </w:tc>
      </w:tr>
    </w:tbl>
    <w:p w14:paraId="7DFFEBBC" w14:textId="0AAA09D0" w:rsidR="007718A0" w:rsidRPr="0098660A" w:rsidRDefault="007718A0" w:rsidP="004908CF">
      <w:pPr>
        <w:pStyle w:val="5-SubsectionSubheading"/>
        <w:rPr>
          <w:sz w:val="22"/>
          <w:szCs w:val="22"/>
        </w:rPr>
      </w:pPr>
      <w:r w:rsidRPr="0098660A">
        <w:t xml:space="preserve">Initial 2 treatment for </w:t>
      </w:r>
      <w:r w:rsidRPr="004908CF">
        <w:t>complement</w:t>
      </w:r>
      <w:r w:rsidRPr="0098660A">
        <w:t xml:space="preserve"> inhibitor experienced patients:</w:t>
      </w:r>
      <w:r w:rsidRPr="0098660A">
        <w:rPr>
          <w:sz w:val="22"/>
          <w:szCs w:val="22"/>
        </w:rPr>
        <w:t xml:space="preserve"> </w:t>
      </w:r>
    </w:p>
    <w:p w14:paraId="4AF9E901" w14:textId="2BE70412" w:rsidR="007718A0" w:rsidRPr="0098660A" w:rsidRDefault="007718A0" w:rsidP="004908CF">
      <w:pPr>
        <w:pStyle w:val="3-BodyText"/>
        <w:rPr>
          <w:sz w:val="22"/>
          <w:szCs w:val="28"/>
        </w:rPr>
      </w:pPr>
      <w:r w:rsidRPr="0098660A">
        <w:t>Amend the current existing pegcetacoplan listings, item codes: 13196M, 13180Q to Initial 2 treatment (switching from a Complement 5 inhibitor)</w:t>
      </w:r>
    </w:p>
    <w:tbl>
      <w:tblPr>
        <w:tblW w:w="90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4"/>
        <w:gridCol w:w="885"/>
        <w:gridCol w:w="738"/>
        <w:gridCol w:w="811"/>
        <w:gridCol w:w="812"/>
        <w:gridCol w:w="1831"/>
        <w:gridCol w:w="8"/>
        <w:gridCol w:w="56"/>
      </w:tblGrid>
      <w:tr w:rsidR="007718A0" w:rsidRPr="0098660A" w14:paraId="163EAC3A" w14:textId="77777777" w:rsidTr="008A2BF9">
        <w:trPr>
          <w:gridAfter w:val="2"/>
          <w:wAfter w:w="64" w:type="dxa"/>
          <w:cantSplit/>
          <w:trHeight w:val="20"/>
        </w:trPr>
        <w:tc>
          <w:tcPr>
            <w:tcW w:w="3944" w:type="dxa"/>
            <w:vAlign w:val="center"/>
          </w:tcPr>
          <w:p w14:paraId="706C9970" w14:textId="77777777" w:rsidR="007718A0" w:rsidRPr="0098660A" w:rsidRDefault="007718A0" w:rsidP="000E2127">
            <w:pPr>
              <w:keepLines/>
              <w:rPr>
                <w:rFonts w:ascii="Arial Narrow" w:hAnsi="Arial Narrow"/>
                <w:b/>
                <w:bCs/>
                <w:sz w:val="20"/>
                <w:szCs w:val="20"/>
              </w:rPr>
            </w:pPr>
            <w:r w:rsidRPr="0098660A">
              <w:rPr>
                <w:rFonts w:ascii="Arial Narrow" w:hAnsi="Arial Narrow"/>
                <w:b/>
                <w:bCs/>
                <w:sz w:val="20"/>
                <w:szCs w:val="20"/>
              </w:rPr>
              <w:t>MEDICINAL PRODUCT</w:t>
            </w:r>
          </w:p>
          <w:p w14:paraId="114741DF" w14:textId="77777777" w:rsidR="007718A0" w:rsidRPr="0098660A" w:rsidRDefault="007718A0" w:rsidP="000E2127">
            <w:pPr>
              <w:keepLines/>
              <w:rPr>
                <w:rFonts w:ascii="Arial Narrow" w:hAnsi="Arial Narrow"/>
                <w:b/>
                <w:sz w:val="20"/>
                <w:szCs w:val="20"/>
              </w:rPr>
            </w:pPr>
            <w:r w:rsidRPr="0098660A">
              <w:rPr>
                <w:rFonts w:ascii="Arial Narrow" w:hAnsi="Arial Narrow"/>
                <w:b/>
                <w:bCs/>
                <w:sz w:val="20"/>
                <w:szCs w:val="20"/>
              </w:rPr>
              <w:t>medicinal product pack</w:t>
            </w:r>
          </w:p>
        </w:tc>
        <w:tc>
          <w:tcPr>
            <w:tcW w:w="885" w:type="dxa"/>
            <w:vAlign w:val="center"/>
          </w:tcPr>
          <w:p w14:paraId="75B6B5F1" w14:textId="77777777" w:rsidR="007718A0" w:rsidRPr="0098660A" w:rsidRDefault="007718A0" w:rsidP="000E2127">
            <w:pPr>
              <w:keepLines/>
              <w:jc w:val="center"/>
              <w:rPr>
                <w:rFonts w:ascii="Arial Narrow" w:hAnsi="Arial Narrow"/>
                <w:b/>
                <w:sz w:val="20"/>
                <w:szCs w:val="20"/>
              </w:rPr>
            </w:pPr>
            <w:r w:rsidRPr="0098660A">
              <w:rPr>
                <w:rFonts w:ascii="Arial Narrow" w:hAnsi="Arial Narrow"/>
                <w:b/>
                <w:sz w:val="20"/>
                <w:szCs w:val="20"/>
              </w:rPr>
              <w:t>PBS item code</w:t>
            </w:r>
          </w:p>
        </w:tc>
        <w:tc>
          <w:tcPr>
            <w:tcW w:w="738" w:type="dxa"/>
            <w:vAlign w:val="center"/>
          </w:tcPr>
          <w:p w14:paraId="7D6EC5A6" w14:textId="77777777" w:rsidR="007718A0" w:rsidRPr="0098660A" w:rsidRDefault="007718A0" w:rsidP="000E2127">
            <w:pPr>
              <w:keepLines/>
              <w:jc w:val="center"/>
              <w:rPr>
                <w:rFonts w:ascii="Arial Narrow" w:hAnsi="Arial Narrow"/>
                <w:b/>
                <w:sz w:val="20"/>
                <w:szCs w:val="20"/>
              </w:rPr>
            </w:pPr>
            <w:r w:rsidRPr="0098660A">
              <w:rPr>
                <w:rFonts w:ascii="Arial Narrow" w:hAnsi="Arial Narrow"/>
                <w:b/>
                <w:sz w:val="20"/>
                <w:szCs w:val="20"/>
              </w:rPr>
              <w:t>Max. qty packs</w:t>
            </w:r>
          </w:p>
        </w:tc>
        <w:tc>
          <w:tcPr>
            <w:tcW w:w="811" w:type="dxa"/>
            <w:vAlign w:val="center"/>
          </w:tcPr>
          <w:p w14:paraId="1DA16F1D" w14:textId="77777777" w:rsidR="007718A0" w:rsidRPr="0098660A" w:rsidRDefault="007718A0" w:rsidP="000E2127">
            <w:pPr>
              <w:keepLines/>
              <w:jc w:val="center"/>
              <w:rPr>
                <w:rFonts w:ascii="Arial Narrow" w:hAnsi="Arial Narrow"/>
                <w:b/>
                <w:sz w:val="20"/>
                <w:szCs w:val="20"/>
              </w:rPr>
            </w:pPr>
            <w:r w:rsidRPr="0098660A">
              <w:rPr>
                <w:rFonts w:ascii="Arial Narrow" w:hAnsi="Arial Narrow"/>
                <w:b/>
                <w:sz w:val="20"/>
                <w:szCs w:val="20"/>
              </w:rPr>
              <w:t>Max. qty units</w:t>
            </w:r>
          </w:p>
        </w:tc>
        <w:tc>
          <w:tcPr>
            <w:tcW w:w="812" w:type="dxa"/>
            <w:vAlign w:val="center"/>
          </w:tcPr>
          <w:p w14:paraId="55305E1C" w14:textId="77777777" w:rsidR="007718A0" w:rsidRPr="0098660A" w:rsidRDefault="007718A0" w:rsidP="000E2127">
            <w:pPr>
              <w:keepLines/>
              <w:jc w:val="center"/>
              <w:rPr>
                <w:rFonts w:ascii="Arial Narrow" w:hAnsi="Arial Narrow"/>
                <w:b/>
                <w:bCs/>
                <w:sz w:val="20"/>
                <w:szCs w:val="20"/>
              </w:rPr>
            </w:pPr>
            <w:r w:rsidRPr="0098660A">
              <w:rPr>
                <w:rFonts w:ascii="Arial Narrow" w:hAnsi="Arial Narrow"/>
                <w:b/>
                <w:bCs/>
                <w:sz w:val="20"/>
                <w:szCs w:val="20"/>
              </w:rPr>
              <w:t>№.of</w:t>
            </w:r>
          </w:p>
          <w:p w14:paraId="3B974950" w14:textId="77777777" w:rsidR="007718A0" w:rsidRPr="0098660A" w:rsidRDefault="007718A0" w:rsidP="000E2127">
            <w:pPr>
              <w:keepLines/>
              <w:jc w:val="center"/>
              <w:rPr>
                <w:rFonts w:ascii="Arial Narrow" w:hAnsi="Arial Narrow"/>
                <w:b/>
                <w:sz w:val="20"/>
                <w:szCs w:val="20"/>
              </w:rPr>
            </w:pPr>
            <w:r w:rsidRPr="0098660A">
              <w:rPr>
                <w:rFonts w:ascii="Arial Narrow" w:hAnsi="Arial Narrow"/>
                <w:b/>
                <w:sz w:val="20"/>
                <w:szCs w:val="20"/>
              </w:rPr>
              <w:t>Rpts</w:t>
            </w:r>
          </w:p>
        </w:tc>
        <w:tc>
          <w:tcPr>
            <w:tcW w:w="1831" w:type="dxa"/>
            <w:vAlign w:val="center"/>
          </w:tcPr>
          <w:p w14:paraId="35E4668B" w14:textId="77777777" w:rsidR="007718A0" w:rsidRPr="0098660A" w:rsidRDefault="007718A0" w:rsidP="000E2127">
            <w:pPr>
              <w:keepLines/>
              <w:rPr>
                <w:rFonts w:ascii="Arial Narrow" w:hAnsi="Arial Narrow"/>
                <w:b/>
                <w:sz w:val="20"/>
                <w:szCs w:val="20"/>
              </w:rPr>
            </w:pPr>
            <w:r w:rsidRPr="0098660A">
              <w:rPr>
                <w:rFonts w:ascii="Arial Narrow" w:hAnsi="Arial Narrow"/>
                <w:b/>
                <w:sz w:val="20"/>
                <w:szCs w:val="20"/>
              </w:rPr>
              <w:t>Available brands</w:t>
            </w:r>
          </w:p>
        </w:tc>
      </w:tr>
      <w:tr w:rsidR="007718A0" w:rsidRPr="0098660A" w14:paraId="3328FBE8" w14:textId="77777777" w:rsidTr="008A2BF9">
        <w:trPr>
          <w:gridAfter w:val="2"/>
          <w:wAfter w:w="64" w:type="dxa"/>
          <w:cantSplit/>
          <w:trHeight w:val="20"/>
        </w:trPr>
        <w:tc>
          <w:tcPr>
            <w:tcW w:w="9021" w:type="dxa"/>
            <w:gridSpan w:val="6"/>
            <w:vAlign w:val="center"/>
          </w:tcPr>
          <w:p w14:paraId="7D61FCB7" w14:textId="77777777" w:rsidR="007718A0" w:rsidRPr="0098660A" w:rsidRDefault="007718A0" w:rsidP="000E2127">
            <w:pPr>
              <w:keepLines/>
              <w:rPr>
                <w:rFonts w:ascii="Arial Narrow" w:hAnsi="Arial Narrow"/>
                <w:sz w:val="20"/>
                <w:szCs w:val="20"/>
              </w:rPr>
            </w:pPr>
            <w:r w:rsidRPr="0098660A">
              <w:rPr>
                <w:rFonts w:ascii="Arial Narrow" w:hAnsi="Arial Narrow"/>
                <w:sz w:val="20"/>
                <w:szCs w:val="20"/>
              </w:rPr>
              <w:t>PEGCETACOPLAN</w:t>
            </w:r>
          </w:p>
        </w:tc>
      </w:tr>
      <w:tr w:rsidR="007718A0" w:rsidRPr="0098660A" w14:paraId="00398562" w14:textId="77777777" w:rsidTr="008A2BF9">
        <w:trPr>
          <w:gridAfter w:val="2"/>
          <w:wAfter w:w="64" w:type="dxa"/>
          <w:cantSplit/>
          <w:trHeight w:val="20"/>
        </w:trPr>
        <w:tc>
          <w:tcPr>
            <w:tcW w:w="3944" w:type="dxa"/>
            <w:vAlign w:val="center"/>
          </w:tcPr>
          <w:p w14:paraId="4654BDD6" w14:textId="77777777" w:rsidR="007718A0" w:rsidRPr="0098660A" w:rsidRDefault="007718A0" w:rsidP="000E2127">
            <w:pPr>
              <w:keepLines/>
              <w:rPr>
                <w:rFonts w:ascii="Arial Narrow" w:hAnsi="Arial Narrow"/>
                <w:sz w:val="20"/>
                <w:szCs w:val="20"/>
              </w:rPr>
            </w:pPr>
            <w:r w:rsidRPr="0098660A">
              <w:rPr>
                <w:rFonts w:ascii="Arial Narrow" w:hAnsi="Arial Narrow"/>
                <w:sz w:val="20"/>
                <w:szCs w:val="20"/>
              </w:rPr>
              <w:t>pegcetacoplan 1.08 g/20 mL injection, 20 mL vial </w:t>
            </w:r>
          </w:p>
        </w:tc>
        <w:tc>
          <w:tcPr>
            <w:tcW w:w="885" w:type="dxa"/>
            <w:vAlign w:val="center"/>
          </w:tcPr>
          <w:p w14:paraId="3C038A51" w14:textId="77777777" w:rsidR="007718A0" w:rsidRPr="0098660A" w:rsidRDefault="007718A0" w:rsidP="000E2127">
            <w:pPr>
              <w:keepLines/>
              <w:jc w:val="center"/>
              <w:rPr>
                <w:rFonts w:ascii="Arial Narrow" w:hAnsi="Arial Narrow"/>
                <w:sz w:val="20"/>
                <w:szCs w:val="20"/>
              </w:rPr>
            </w:pPr>
            <w:r w:rsidRPr="0098660A">
              <w:rPr>
                <w:rFonts w:ascii="Arial Narrow" w:hAnsi="Arial Narrow"/>
                <w:sz w:val="20"/>
                <w:szCs w:val="20"/>
              </w:rPr>
              <w:t>13180Q</w:t>
            </w:r>
          </w:p>
          <w:p w14:paraId="6EDE1B84" w14:textId="77777777" w:rsidR="007718A0" w:rsidRPr="0098660A" w:rsidRDefault="007718A0" w:rsidP="000E2127">
            <w:pPr>
              <w:keepLines/>
              <w:jc w:val="center"/>
              <w:rPr>
                <w:rFonts w:ascii="Arial Narrow" w:hAnsi="Arial Narrow"/>
                <w:sz w:val="20"/>
                <w:szCs w:val="20"/>
              </w:rPr>
            </w:pPr>
            <w:r w:rsidRPr="0098660A">
              <w:rPr>
                <w:rFonts w:ascii="Arial Narrow" w:hAnsi="Arial Narrow"/>
                <w:sz w:val="20"/>
                <w:szCs w:val="20"/>
              </w:rPr>
              <w:t>(Public)</w:t>
            </w:r>
          </w:p>
        </w:tc>
        <w:tc>
          <w:tcPr>
            <w:tcW w:w="738" w:type="dxa"/>
            <w:vAlign w:val="center"/>
          </w:tcPr>
          <w:p w14:paraId="59D28BD7" w14:textId="77777777" w:rsidR="007718A0" w:rsidRPr="0098660A" w:rsidRDefault="007718A0" w:rsidP="000E2127">
            <w:pPr>
              <w:keepLines/>
              <w:jc w:val="center"/>
              <w:rPr>
                <w:rFonts w:ascii="Arial Narrow" w:hAnsi="Arial Narrow"/>
                <w:sz w:val="20"/>
                <w:szCs w:val="20"/>
              </w:rPr>
            </w:pPr>
            <w:r w:rsidRPr="0098660A">
              <w:rPr>
                <w:rFonts w:ascii="Arial Narrow" w:hAnsi="Arial Narrow"/>
                <w:sz w:val="20"/>
                <w:szCs w:val="20"/>
              </w:rPr>
              <w:t>1</w:t>
            </w:r>
          </w:p>
        </w:tc>
        <w:tc>
          <w:tcPr>
            <w:tcW w:w="811" w:type="dxa"/>
            <w:vAlign w:val="center"/>
          </w:tcPr>
          <w:p w14:paraId="7D4B9EBA" w14:textId="77777777" w:rsidR="007718A0" w:rsidRPr="0098660A" w:rsidRDefault="007718A0" w:rsidP="000E2127">
            <w:pPr>
              <w:keepLines/>
              <w:jc w:val="center"/>
              <w:rPr>
                <w:rFonts w:ascii="Arial Narrow" w:hAnsi="Arial Narrow"/>
                <w:sz w:val="20"/>
                <w:szCs w:val="20"/>
              </w:rPr>
            </w:pPr>
            <w:r w:rsidRPr="0098660A">
              <w:rPr>
                <w:rFonts w:ascii="Arial Narrow" w:hAnsi="Arial Narrow"/>
                <w:sz w:val="20"/>
                <w:szCs w:val="20"/>
              </w:rPr>
              <w:t>1</w:t>
            </w:r>
          </w:p>
        </w:tc>
        <w:tc>
          <w:tcPr>
            <w:tcW w:w="812" w:type="dxa"/>
            <w:vAlign w:val="center"/>
          </w:tcPr>
          <w:p w14:paraId="59154DCA" w14:textId="77777777" w:rsidR="007718A0" w:rsidRPr="0098660A" w:rsidRDefault="007718A0" w:rsidP="000E2127">
            <w:pPr>
              <w:keepLines/>
              <w:jc w:val="center"/>
              <w:rPr>
                <w:rFonts w:ascii="Arial Narrow" w:hAnsi="Arial Narrow"/>
                <w:sz w:val="20"/>
                <w:szCs w:val="20"/>
              </w:rPr>
            </w:pPr>
            <w:r w:rsidRPr="0098660A">
              <w:rPr>
                <w:rFonts w:ascii="Arial Narrow" w:hAnsi="Arial Narrow"/>
                <w:sz w:val="20"/>
                <w:szCs w:val="20"/>
              </w:rPr>
              <w:t>0</w:t>
            </w:r>
          </w:p>
        </w:tc>
        <w:tc>
          <w:tcPr>
            <w:tcW w:w="1831" w:type="dxa"/>
            <w:vMerge w:val="restart"/>
            <w:vAlign w:val="center"/>
          </w:tcPr>
          <w:p w14:paraId="215620EA" w14:textId="77777777" w:rsidR="007718A0" w:rsidRPr="0098660A" w:rsidRDefault="007718A0" w:rsidP="000E2127">
            <w:pPr>
              <w:keepLines/>
              <w:rPr>
                <w:rFonts w:ascii="Arial Narrow" w:hAnsi="Arial Narrow"/>
                <w:sz w:val="20"/>
                <w:szCs w:val="20"/>
              </w:rPr>
            </w:pPr>
            <w:r w:rsidRPr="0098660A">
              <w:rPr>
                <w:rFonts w:ascii="Arial Narrow" w:hAnsi="Arial Narrow"/>
                <w:sz w:val="20"/>
                <w:szCs w:val="20"/>
              </w:rPr>
              <w:t xml:space="preserve">Empaveli </w:t>
            </w:r>
          </w:p>
        </w:tc>
      </w:tr>
      <w:tr w:rsidR="007718A0" w:rsidRPr="0098660A" w14:paraId="0CA0761A" w14:textId="77777777" w:rsidTr="008A2BF9">
        <w:trPr>
          <w:gridAfter w:val="2"/>
          <w:wAfter w:w="64" w:type="dxa"/>
          <w:cantSplit/>
          <w:trHeight w:val="20"/>
        </w:trPr>
        <w:tc>
          <w:tcPr>
            <w:tcW w:w="3944" w:type="dxa"/>
            <w:vAlign w:val="center"/>
          </w:tcPr>
          <w:p w14:paraId="39BEA1F2" w14:textId="77777777" w:rsidR="007718A0" w:rsidRPr="0098660A" w:rsidRDefault="007718A0" w:rsidP="000E2127">
            <w:pPr>
              <w:keepLines/>
              <w:rPr>
                <w:rFonts w:ascii="Arial Narrow" w:hAnsi="Arial Narrow"/>
                <w:sz w:val="20"/>
                <w:szCs w:val="20"/>
              </w:rPr>
            </w:pPr>
            <w:r w:rsidRPr="0098660A">
              <w:rPr>
                <w:rFonts w:ascii="Arial Narrow" w:hAnsi="Arial Narrow"/>
                <w:sz w:val="20"/>
                <w:szCs w:val="20"/>
              </w:rPr>
              <w:t>pegcetacoplan 1.08 g/20 mL injection, 20 mL vial </w:t>
            </w:r>
          </w:p>
        </w:tc>
        <w:tc>
          <w:tcPr>
            <w:tcW w:w="885" w:type="dxa"/>
            <w:vAlign w:val="center"/>
          </w:tcPr>
          <w:p w14:paraId="6157943C" w14:textId="77777777" w:rsidR="007718A0" w:rsidRPr="0098660A" w:rsidRDefault="007718A0" w:rsidP="000E2127">
            <w:pPr>
              <w:keepLines/>
              <w:jc w:val="center"/>
              <w:rPr>
                <w:rFonts w:ascii="Arial Narrow" w:hAnsi="Arial Narrow"/>
                <w:sz w:val="20"/>
                <w:szCs w:val="20"/>
              </w:rPr>
            </w:pPr>
            <w:r w:rsidRPr="0098660A">
              <w:rPr>
                <w:rFonts w:ascii="Arial Narrow" w:hAnsi="Arial Narrow"/>
                <w:sz w:val="20"/>
                <w:szCs w:val="20"/>
              </w:rPr>
              <w:t>13196M</w:t>
            </w:r>
          </w:p>
          <w:p w14:paraId="77DEA96B" w14:textId="77777777" w:rsidR="007718A0" w:rsidRPr="0098660A" w:rsidRDefault="007718A0" w:rsidP="000E2127">
            <w:pPr>
              <w:keepLines/>
              <w:jc w:val="center"/>
              <w:rPr>
                <w:rFonts w:ascii="Arial Narrow" w:hAnsi="Arial Narrow"/>
                <w:sz w:val="20"/>
                <w:szCs w:val="20"/>
              </w:rPr>
            </w:pPr>
            <w:r w:rsidRPr="0098660A">
              <w:rPr>
                <w:rFonts w:ascii="Arial Narrow" w:hAnsi="Arial Narrow"/>
                <w:sz w:val="20"/>
                <w:szCs w:val="20"/>
              </w:rPr>
              <w:t>(Private)</w:t>
            </w:r>
          </w:p>
        </w:tc>
        <w:tc>
          <w:tcPr>
            <w:tcW w:w="738" w:type="dxa"/>
            <w:vAlign w:val="center"/>
          </w:tcPr>
          <w:p w14:paraId="34167617" w14:textId="77777777" w:rsidR="007718A0" w:rsidRPr="0098660A" w:rsidRDefault="007718A0" w:rsidP="000E2127">
            <w:pPr>
              <w:keepLines/>
              <w:jc w:val="center"/>
              <w:rPr>
                <w:rFonts w:ascii="Arial Narrow" w:hAnsi="Arial Narrow"/>
                <w:sz w:val="20"/>
                <w:szCs w:val="20"/>
              </w:rPr>
            </w:pPr>
            <w:r w:rsidRPr="0098660A">
              <w:rPr>
                <w:rFonts w:ascii="Arial Narrow" w:hAnsi="Arial Narrow"/>
                <w:sz w:val="20"/>
                <w:szCs w:val="20"/>
              </w:rPr>
              <w:t>1</w:t>
            </w:r>
          </w:p>
        </w:tc>
        <w:tc>
          <w:tcPr>
            <w:tcW w:w="811" w:type="dxa"/>
            <w:vAlign w:val="center"/>
          </w:tcPr>
          <w:p w14:paraId="5CBD32E2" w14:textId="77777777" w:rsidR="007718A0" w:rsidRPr="0098660A" w:rsidRDefault="007718A0" w:rsidP="000E2127">
            <w:pPr>
              <w:keepLines/>
              <w:jc w:val="center"/>
              <w:rPr>
                <w:rFonts w:ascii="Arial Narrow" w:hAnsi="Arial Narrow"/>
                <w:sz w:val="20"/>
                <w:szCs w:val="20"/>
              </w:rPr>
            </w:pPr>
            <w:r w:rsidRPr="0098660A">
              <w:rPr>
                <w:rFonts w:ascii="Arial Narrow" w:hAnsi="Arial Narrow"/>
                <w:sz w:val="20"/>
                <w:szCs w:val="20"/>
              </w:rPr>
              <w:t>1</w:t>
            </w:r>
          </w:p>
        </w:tc>
        <w:tc>
          <w:tcPr>
            <w:tcW w:w="812" w:type="dxa"/>
            <w:vAlign w:val="center"/>
          </w:tcPr>
          <w:p w14:paraId="615602D5" w14:textId="77777777" w:rsidR="007718A0" w:rsidRPr="0098660A" w:rsidRDefault="007718A0" w:rsidP="000E2127">
            <w:pPr>
              <w:keepLines/>
              <w:jc w:val="center"/>
              <w:rPr>
                <w:rFonts w:ascii="Arial Narrow" w:hAnsi="Arial Narrow"/>
                <w:sz w:val="20"/>
                <w:szCs w:val="20"/>
              </w:rPr>
            </w:pPr>
            <w:r w:rsidRPr="0098660A">
              <w:rPr>
                <w:rFonts w:ascii="Arial Narrow" w:hAnsi="Arial Narrow"/>
                <w:sz w:val="20"/>
                <w:szCs w:val="20"/>
              </w:rPr>
              <w:t>0</w:t>
            </w:r>
          </w:p>
        </w:tc>
        <w:tc>
          <w:tcPr>
            <w:tcW w:w="1831" w:type="dxa"/>
            <w:vMerge/>
            <w:vAlign w:val="center"/>
          </w:tcPr>
          <w:p w14:paraId="3BB79373" w14:textId="77777777" w:rsidR="007718A0" w:rsidRPr="0098660A" w:rsidRDefault="007718A0" w:rsidP="000E2127">
            <w:pPr>
              <w:keepLines/>
              <w:rPr>
                <w:rFonts w:ascii="Arial Narrow" w:hAnsi="Arial Narrow"/>
                <w:sz w:val="20"/>
                <w:szCs w:val="20"/>
              </w:rPr>
            </w:pPr>
          </w:p>
        </w:tc>
      </w:tr>
      <w:tr w:rsidR="007718A0" w:rsidRPr="0098660A" w14:paraId="51CB0E71" w14:textId="77777777" w:rsidTr="008A2BF9">
        <w:tblPrEx>
          <w:tblCellMar>
            <w:top w:w="15" w:type="dxa"/>
            <w:bottom w:w="15" w:type="dxa"/>
          </w:tblCellMar>
          <w:tblLook w:val="04A0" w:firstRow="1" w:lastRow="0" w:firstColumn="1" w:lastColumn="0" w:noHBand="0" w:noVBand="1"/>
        </w:tblPrEx>
        <w:trPr>
          <w:gridAfter w:val="2"/>
          <w:wAfter w:w="64" w:type="dxa"/>
          <w:trHeight w:val="20"/>
        </w:trPr>
        <w:tc>
          <w:tcPr>
            <w:tcW w:w="9021" w:type="dxa"/>
            <w:gridSpan w:val="6"/>
            <w:tcBorders>
              <w:top w:val="single" w:sz="4" w:space="0" w:color="auto"/>
              <w:left w:val="single" w:sz="4" w:space="0" w:color="auto"/>
              <w:right w:val="single" w:sz="4" w:space="0" w:color="auto"/>
            </w:tcBorders>
            <w:vAlign w:val="center"/>
          </w:tcPr>
          <w:p w14:paraId="02DF7653" w14:textId="77777777" w:rsidR="007718A0" w:rsidRPr="0098660A" w:rsidRDefault="007718A0" w:rsidP="000E2127">
            <w:pPr>
              <w:rPr>
                <w:rFonts w:ascii="Arial Narrow" w:hAnsi="Arial Narrow"/>
                <w:sz w:val="20"/>
                <w:szCs w:val="20"/>
              </w:rPr>
            </w:pPr>
          </w:p>
        </w:tc>
      </w:tr>
      <w:tr w:rsidR="008A2BF9" w:rsidRPr="0098660A" w14:paraId="5D3C229D" w14:textId="77777777" w:rsidTr="008A2BF9">
        <w:tblPrEx>
          <w:tblCellMar>
            <w:top w:w="15" w:type="dxa"/>
            <w:bottom w:w="15" w:type="dxa"/>
          </w:tblCellMar>
          <w:tblLook w:val="04A0" w:firstRow="1" w:lastRow="0" w:firstColumn="1" w:lastColumn="0" w:noHBand="0" w:noVBand="1"/>
        </w:tblPrEx>
        <w:trPr>
          <w:gridAfter w:val="1"/>
          <w:wAfter w:w="56" w:type="dxa"/>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238916CB" w14:textId="77777777" w:rsidR="008A2BF9" w:rsidRPr="0098660A" w:rsidRDefault="008A2BF9" w:rsidP="000E2127">
            <w:pPr>
              <w:keepLines/>
              <w:rPr>
                <w:rFonts w:ascii="Arial Narrow" w:hAnsi="Arial Narrow"/>
                <w:sz w:val="20"/>
                <w:szCs w:val="20"/>
              </w:rPr>
            </w:pPr>
            <w:r w:rsidRPr="0098660A">
              <w:rPr>
                <w:rFonts w:ascii="Arial Narrow" w:hAnsi="Arial Narrow"/>
                <w:b/>
                <w:sz w:val="20"/>
                <w:szCs w:val="20"/>
              </w:rPr>
              <w:t>Category / Program:</w:t>
            </w:r>
            <w:r w:rsidRPr="0098660A">
              <w:rPr>
                <w:rFonts w:ascii="Arial Narrow" w:hAnsi="Arial Narrow"/>
                <w:sz w:val="20"/>
                <w:szCs w:val="20"/>
              </w:rPr>
              <w:t xml:space="preserve"> </w:t>
            </w:r>
            <w:r w:rsidRPr="0098660A">
              <w:rPr>
                <w:rFonts w:ascii="Arial Narrow" w:eastAsia="Calibri" w:hAnsi="Arial Narrow"/>
                <w:sz w:val="20"/>
                <w:szCs w:val="20"/>
              </w:rPr>
              <w:fldChar w:fldCharType="begin" w:fldLock="1">
                <w:ffData>
                  <w:name w:val=""/>
                  <w:enabled/>
                  <w:calcOnExit w:val="0"/>
                  <w:checkBox>
                    <w:sizeAuto/>
                    <w:default w:val="1"/>
                  </w:checkBox>
                </w:ffData>
              </w:fldChar>
            </w:r>
            <w:r w:rsidRPr="0098660A">
              <w:rPr>
                <w:rFonts w:ascii="Arial Narrow" w:eastAsia="Calibri" w:hAnsi="Arial Narrow"/>
                <w:sz w:val="20"/>
                <w:szCs w:val="20"/>
              </w:rPr>
              <w:instrText xml:space="preserve"> FORMCHECKBOX </w:instrText>
            </w:r>
            <w:r w:rsidRPr="0098660A">
              <w:rPr>
                <w:rFonts w:ascii="Arial Narrow" w:eastAsia="Calibri" w:hAnsi="Arial Narrow"/>
                <w:sz w:val="20"/>
                <w:szCs w:val="20"/>
              </w:rPr>
            </w:r>
            <w:r w:rsidRPr="0098660A">
              <w:rPr>
                <w:rFonts w:ascii="Arial Narrow" w:eastAsia="Calibri" w:hAnsi="Arial Narrow"/>
                <w:sz w:val="20"/>
                <w:szCs w:val="20"/>
              </w:rPr>
              <w:fldChar w:fldCharType="separate"/>
            </w:r>
            <w:r w:rsidRPr="0098660A">
              <w:rPr>
                <w:rFonts w:ascii="Arial Narrow" w:eastAsia="Calibri" w:hAnsi="Arial Narrow"/>
                <w:sz w:val="20"/>
                <w:szCs w:val="20"/>
              </w:rPr>
              <w:fldChar w:fldCharType="end"/>
            </w:r>
            <w:r w:rsidRPr="0098660A">
              <w:rPr>
                <w:rFonts w:ascii="Arial Narrow" w:eastAsia="Calibri" w:hAnsi="Arial Narrow"/>
                <w:sz w:val="20"/>
                <w:szCs w:val="20"/>
              </w:rPr>
              <w:t xml:space="preserve"> Section 100 – Highly Specialised Drugs Program – Public (Code HB)</w:t>
            </w:r>
            <w:r w:rsidRPr="0098660A">
              <w:rPr>
                <w:rFonts w:ascii="Arial Narrow" w:eastAsia="Calibri" w:hAnsi="Arial Narrow"/>
                <w:color w:val="FF0000"/>
                <w:sz w:val="20"/>
                <w:szCs w:val="20"/>
              </w:rPr>
              <w:t xml:space="preserve"> </w:t>
            </w:r>
            <w:r w:rsidRPr="0098660A">
              <w:rPr>
                <w:rFonts w:ascii="Arial Narrow" w:eastAsia="Calibri" w:hAnsi="Arial Narrow"/>
                <w:sz w:val="20"/>
                <w:szCs w:val="20"/>
              </w:rPr>
              <w:t>/ Private (Code HS)</w:t>
            </w:r>
          </w:p>
        </w:tc>
      </w:tr>
      <w:tr w:rsidR="008A2BF9" w:rsidRPr="0098660A" w14:paraId="4E9FE450" w14:textId="77777777" w:rsidTr="008A2BF9">
        <w:tblPrEx>
          <w:tblCellMar>
            <w:top w:w="15" w:type="dxa"/>
            <w:bottom w:w="15" w:type="dxa"/>
          </w:tblCellMar>
          <w:tblLook w:val="04A0" w:firstRow="1" w:lastRow="0" w:firstColumn="1" w:lastColumn="0" w:noHBand="0" w:noVBand="1"/>
        </w:tblPrEx>
        <w:trPr>
          <w:gridAfter w:val="1"/>
          <w:wAfter w:w="56" w:type="dxa"/>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59EF5BC1" w14:textId="77777777" w:rsidR="008A2BF9" w:rsidRPr="0098660A" w:rsidRDefault="008A2BF9" w:rsidP="000E2127">
            <w:pPr>
              <w:keepLines/>
              <w:rPr>
                <w:rFonts w:ascii="Arial Narrow" w:hAnsi="Arial Narrow"/>
                <w:b/>
                <w:sz w:val="20"/>
                <w:szCs w:val="20"/>
              </w:rPr>
            </w:pPr>
            <w:r w:rsidRPr="0098660A">
              <w:rPr>
                <w:rFonts w:ascii="Arial Narrow" w:hAnsi="Arial Narrow"/>
                <w:b/>
                <w:sz w:val="20"/>
                <w:szCs w:val="20"/>
              </w:rPr>
              <w:t xml:space="preserve">Prescriber type: </w:t>
            </w:r>
            <w:r w:rsidRPr="0098660A">
              <w:rPr>
                <w:rFonts w:ascii="Arial Narrow" w:hAnsi="Arial Narrow"/>
                <w:sz w:val="20"/>
                <w:szCs w:val="20"/>
              </w:rPr>
              <w:fldChar w:fldCharType="begin" w:fldLock="1">
                <w:ffData>
                  <w:name w:val=""/>
                  <w:enabled/>
                  <w:calcOnExit w:val="0"/>
                  <w:checkBox>
                    <w:sizeAuto/>
                    <w:default w:val="1"/>
                  </w:checkBox>
                </w:ffData>
              </w:fldChar>
            </w:r>
            <w:r w:rsidRPr="0098660A">
              <w:rPr>
                <w:rFonts w:ascii="Arial Narrow" w:hAnsi="Arial Narrow"/>
                <w:sz w:val="20"/>
                <w:szCs w:val="20"/>
              </w:rPr>
              <w:instrText xml:space="preserve"> FORMCHECKBOX </w:instrText>
            </w:r>
            <w:r w:rsidRPr="0098660A">
              <w:rPr>
                <w:rFonts w:ascii="Arial Narrow" w:hAnsi="Arial Narrow"/>
                <w:sz w:val="20"/>
                <w:szCs w:val="20"/>
              </w:rPr>
            </w:r>
            <w:r w:rsidRPr="0098660A">
              <w:rPr>
                <w:rFonts w:ascii="Arial Narrow" w:hAnsi="Arial Narrow"/>
                <w:sz w:val="20"/>
                <w:szCs w:val="20"/>
              </w:rPr>
              <w:fldChar w:fldCharType="separate"/>
            </w:r>
            <w:r w:rsidRPr="0098660A">
              <w:rPr>
                <w:rFonts w:ascii="Arial Narrow" w:hAnsi="Arial Narrow"/>
                <w:sz w:val="20"/>
                <w:szCs w:val="20"/>
              </w:rPr>
              <w:fldChar w:fldCharType="end"/>
            </w:r>
            <w:r w:rsidRPr="0098660A">
              <w:rPr>
                <w:rFonts w:ascii="Arial Narrow" w:hAnsi="Arial Narrow"/>
                <w:sz w:val="20"/>
                <w:szCs w:val="20"/>
              </w:rPr>
              <w:t xml:space="preserve">Medical Practitioners </w:t>
            </w:r>
          </w:p>
        </w:tc>
      </w:tr>
      <w:tr w:rsidR="008A2BF9" w:rsidRPr="0098660A" w14:paraId="56E33DEF" w14:textId="77777777" w:rsidTr="008A2BF9">
        <w:tblPrEx>
          <w:tblCellMar>
            <w:top w:w="15" w:type="dxa"/>
            <w:bottom w:w="15" w:type="dxa"/>
          </w:tblCellMar>
          <w:tblLook w:val="04A0" w:firstRow="1" w:lastRow="0" w:firstColumn="1" w:lastColumn="0" w:noHBand="0" w:noVBand="1"/>
        </w:tblPrEx>
        <w:trPr>
          <w:gridAfter w:val="1"/>
          <w:wAfter w:w="56" w:type="dxa"/>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05F9B00B" w14:textId="063CA83E" w:rsidR="008A2BF9" w:rsidRPr="0098660A" w:rsidRDefault="008A2BF9" w:rsidP="000E2127">
            <w:pPr>
              <w:keepLines/>
              <w:rPr>
                <w:rFonts w:ascii="Arial Narrow" w:eastAsia="Calibri" w:hAnsi="Arial Narrow"/>
                <w:sz w:val="20"/>
                <w:szCs w:val="20"/>
              </w:rPr>
            </w:pPr>
            <w:r w:rsidRPr="0098660A">
              <w:rPr>
                <w:rFonts w:ascii="Arial Narrow" w:hAnsi="Arial Narrow"/>
                <w:b/>
                <w:bCs/>
                <w:sz w:val="20"/>
                <w:szCs w:val="20"/>
              </w:rPr>
              <w:t xml:space="preserve">Restriction type: </w:t>
            </w:r>
            <w:r w:rsidRPr="0098660A">
              <w:rPr>
                <w:rFonts w:ascii="Arial Narrow" w:eastAsia="Calibri" w:hAnsi="Arial Narrow"/>
                <w:sz w:val="20"/>
                <w:szCs w:val="20"/>
              </w:rPr>
              <w:fldChar w:fldCharType="begin" w:fldLock="1">
                <w:ffData>
                  <w:name w:val=""/>
                  <w:enabled/>
                  <w:calcOnExit w:val="0"/>
                  <w:checkBox>
                    <w:sizeAuto/>
                    <w:default w:val="1"/>
                  </w:checkBox>
                </w:ffData>
              </w:fldChar>
            </w:r>
            <w:r w:rsidRPr="0098660A">
              <w:rPr>
                <w:rFonts w:ascii="Arial Narrow" w:eastAsia="Calibri" w:hAnsi="Arial Narrow"/>
                <w:sz w:val="20"/>
                <w:szCs w:val="20"/>
              </w:rPr>
              <w:instrText xml:space="preserve"> FORMCHECKBOX </w:instrText>
            </w:r>
            <w:r w:rsidRPr="0098660A">
              <w:rPr>
                <w:rFonts w:ascii="Arial Narrow" w:eastAsia="Calibri" w:hAnsi="Arial Narrow"/>
                <w:sz w:val="20"/>
                <w:szCs w:val="20"/>
              </w:rPr>
            </w:r>
            <w:r w:rsidRPr="0098660A">
              <w:rPr>
                <w:rFonts w:ascii="Arial Narrow" w:eastAsia="Calibri" w:hAnsi="Arial Narrow"/>
                <w:sz w:val="20"/>
                <w:szCs w:val="20"/>
              </w:rPr>
              <w:fldChar w:fldCharType="separate"/>
            </w:r>
            <w:r w:rsidRPr="0098660A">
              <w:rPr>
                <w:rFonts w:ascii="Arial Narrow" w:eastAsia="Calibri" w:hAnsi="Arial Narrow"/>
                <w:sz w:val="20"/>
                <w:szCs w:val="20"/>
              </w:rPr>
              <w:fldChar w:fldCharType="end"/>
            </w:r>
            <w:r w:rsidRPr="0098660A">
              <w:rPr>
                <w:rFonts w:ascii="Arial Narrow" w:eastAsia="Calibri" w:hAnsi="Arial Narrow"/>
                <w:sz w:val="20"/>
                <w:szCs w:val="20"/>
              </w:rPr>
              <w:t xml:space="preserve">Authority Required (in writing only via </w:t>
            </w:r>
            <w:r w:rsidRPr="0098660A">
              <w:rPr>
                <w:rFonts w:ascii="Arial Narrow" w:eastAsia="Calibri" w:hAnsi="Arial Narrow"/>
                <w:i/>
                <w:iCs/>
                <w:sz w:val="20"/>
                <w:szCs w:val="20"/>
              </w:rPr>
              <w:t>OPA/</w:t>
            </w:r>
            <w:r w:rsidRPr="0098660A">
              <w:rPr>
                <w:rFonts w:ascii="Arial Narrow" w:eastAsia="Calibri" w:hAnsi="Arial Narrow"/>
                <w:sz w:val="20"/>
                <w:szCs w:val="20"/>
              </w:rPr>
              <w:t xml:space="preserve">post/HPOS upload) </w:t>
            </w:r>
          </w:p>
        </w:tc>
      </w:tr>
      <w:tr w:rsidR="008A2BF9" w:rsidRPr="0098660A" w14:paraId="20E18DF0" w14:textId="77777777" w:rsidTr="008A2BF9">
        <w:tblPrEx>
          <w:tblCellMar>
            <w:top w:w="15" w:type="dxa"/>
            <w:bottom w:w="15" w:type="dxa"/>
          </w:tblCellMar>
          <w:tblLook w:val="04A0" w:firstRow="1" w:lastRow="0" w:firstColumn="1" w:lastColumn="0" w:noHBand="0" w:noVBand="1"/>
        </w:tblPrEx>
        <w:trPr>
          <w:gridAfter w:val="1"/>
          <w:wAfter w:w="56" w:type="dxa"/>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3D87E178" w14:textId="0F9614E0" w:rsidR="008A2BF9" w:rsidRPr="0098660A" w:rsidRDefault="008A2BF9" w:rsidP="000E2127">
            <w:pPr>
              <w:keepLines/>
              <w:rPr>
                <w:rFonts w:ascii="Arial Narrow" w:hAnsi="Arial Narrow"/>
                <w:b/>
                <w:sz w:val="20"/>
                <w:szCs w:val="20"/>
              </w:rPr>
            </w:pPr>
            <w:r w:rsidRPr="0098660A">
              <w:rPr>
                <w:rFonts w:ascii="Arial Narrow" w:hAnsi="Arial Narrow"/>
                <w:b/>
                <w:sz w:val="20"/>
                <w:szCs w:val="20"/>
              </w:rPr>
              <w:t xml:space="preserve">Authority type: </w:t>
            </w:r>
            <w:r w:rsidRPr="0098660A">
              <w:rPr>
                <w:rFonts w:ascii="Arial Narrow" w:eastAsia="Calibri" w:hAnsi="Arial Narrow"/>
                <w:sz w:val="20"/>
                <w:szCs w:val="20"/>
              </w:rPr>
              <w:fldChar w:fldCharType="begin">
                <w:ffData>
                  <w:name w:val="Check1"/>
                  <w:enabled/>
                  <w:calcOnExit w:val="0"/>
                  <w:checkBox>
                    <w:sizeAuto/>
                    <w:default w:val="1"/>
                  </w:checkBox>
                </w:ffData>
              </w:fldChar>
            </w:r>
            <w:r w:rsidRPr="0098660A">
              <w:rPr>
                <w:rFonts w:ascii="Arial Narrow" w:eastAsia="Calibri" w:hAnsi="Arial Narrow"/>
                <w:sz w:val="20"/>
                <w:szCs w:val="20"/>
              </w:rPr>
              <w:instrText xml:space="preserve"> FORMCHECKBOX </w:instrText>
            </w:r>
            <w:r w:rsidRPr="0098660A">
              <w:rPr>
                <w:rFonts w:ascii="Arial Narrow" w:eastAsia="Calibri" w:hAnsi="Arial Narrow"/>
                <w:sz w:val="20"/>
                <w:szCs w:val="20"/>
              </w:rPr>
            </w:r>
            <w:r w:rsidRPr="0098660A">
              <w:rPr>
                <w:rFonts w:ascii="Arial Narrow" w:eastAsia="Calibri" w:hAnsi="Arial Narrow"/>
                <w:sz w:val="20"/>
                <w:szCs w:val="20"/>
              </w:rPr>
              <w:fldChar w:fldCharType="separate"/>
            </w:r>
            <w:r w:rsidRPr="0098660A">
              <w:rPr>
                <w:rFonts w:ascii="Arial Narrow" w:eastAsia="Calibri" w:hAnsi="Arial Narrow"/>
                <w:sz w:val="20"/>
                <w:szCs w:val="20"/>
              </w:rPr>
              <w:fldChar w:fldCharType="end"/>
            </w:r>
            <w:r w:rsidRPr="0098660A">
              <w:rPr>
                <w:rFonts w:ascii="Arial Narrow" w:eastAsia="Calibri" w:hAnsi="Arial Narrow"/>
                <w:sz w:val="20"/>
                <w:szCs w:val="20"/>
              </w:rPr>
              <w:t xml:space="preserve"> Complex Authority Required (CAR)</w:t>
            </w:r>
          </w:p>
        </w:tc>
      </w:tr>
      <w:tr w:rsidR="008A2BF9" w:rsidRPr="0098660A" w14:paraId="58D6F3BC" w14:textId="77777777" w:rsidTr="008A2BF9">
        <w:tblPrEx>
          <w:tblCellMar>
            <w:top w:w="15" w:type="dxa"/>
            <w:bottom w:w="15" w:type="dxa"/>
          </w:tblCellMar>
          <w:tblLook w:val="04A0" w:firstRow="1" w:lastRow="0" w:firstColumn="1" w:lastColumn="0" w:noHBand="0" w:noVBand="1"/>
        </w:tblPrEx>
        <w:trPr>
          <w:gridAfter w:val="1"/>
          <w:wAfter w:w="56" w:type="dxa"/>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3372DEB7" w14:textId="77777777" w:rsidR="008A2BF9" w:rsidRPr="0098660A" w:rsidRDefault="008A2BF9" w:rsidP="000E2127">
            <w:pPr>
              <w:keepLines/>
              <w:rPr>
                <w:rFonts w:ascii="Arial Narrow" w:hAnsi="Arial Narrow"/>
                <w:b/>
                <w:sz w:val="20"/>
                <w:szCs w:val="20"/>
              </w:rPr>
            </w:pPr>
            <w:r w:rsidRPr="0098660A">
              <w:rPr>
                <w:rFonts w:ascii="Arial Narrow" w:hAnsi="Arial Narrow"/>
                <w:b/>
                <w:sz w:val="20"/>
                <w:szCs w:val="20"/>
              </w:rPr>
              <w:t xml:space="preserve">Prescribing rule level:  </w:t>
            </w:r>
          </w:p>
        </w:tc>
      </w:tr>
      <w:tr w:rsidR="008A2BF9" w:rsidRPr="0098660A" w14:paraId="6328D4A8" w14:textId="77777777" w:rsidTr="008A2BF9">
        <w:tblPrEx>
          <w:tblCellMar>
            <w:top w:w="15" w:type="dxa"/>
            <w:bottom w:w="15" w:type="dxa"/>
          </w:tblCellMar>
          <w:tblLook w:val="04A0" w:firstRow="1" w:lastRow="0" w:firstColumn="1" w:lastColumn="0" w:noHBand="0" w:noVBand="1"/>
        </w:tblPrEx>
        <w:trPr>
          <w:gridAfter w:val="1"/>
          <w:wAfter w:w="56" w:type="dxa"/>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5375966E" w14:textId="77777777" w:rsidR="008A2BF9" w:rsidRPr="0098660A" w:rsidRDefault="008A2BF9" w:rsidP="000E2127">
            <w:pPr>
              <w:keepLines/>
              <w:rPr>
                <w:rFonts w:ascii="Arial Narrow" w:hAnsi="Arial Narrow"/>
                <w:b/>
                <w:bCs/>
                <w:sz w:val="20"/>
                <w:szCs w:val="20"/>
              </w:rPr>
            </w:pPr>
            <w:r w:rsidRPr="0098660A">
              <w:rPr>
                <w:rFonts w:ascii="Arial Narrow" w:hAnsi="Arial Narrow"/>
                <w:b/>
                <w:bCs/>
                <w:sz w:val="20"/>
                <w:szCs w:val="20"/>
              </w:rPr>
              <w:t>Caution:</w:t>
            </w:r>
          </w:p>
          <w:p w14:paraId="6118ED46" w14:textId="77777777" w:rsidR="008A2BF9" w:rsidRPr="0098660A" w:rsidRDefault="008A2BF9" w:rsidP="000E2127">
            <w:pPr>
              <w:keepLines/>
              <w:rPr>
                <w:rFonts w:ascii="Arial Narrow" w:hAnsi="Arial Narrow"/>
                <w:sz w:val="20"/>
                <w:szCs w:val="20"/>
              </w:rPr>
            </w:pPr>
            <w:r w:rsidRPr="0098660A">
              <w:rPr>
                <w:rFonts w:ascii="Arial Narrow" w:hAnsi="Arial Narrow"/>
                <w:sz w:val="20"/>
                <w:szCs w:val="20"/>
              </w:rPr>
              <w:t>This drug increases the risk of encapsulated bacterial infections.</w:t>
            </w:r>
          </w:p>
          <w:p w14:paraId="1453852D" w14:textId="77777777" w:rsidR="008A2BF9" w:rsidRPr="0098660A" w:rsidRDefault="008A2BF9" w:rsidP="000E2127">
            <w:pPr>
              <w:keepLines/>
              <w:rPr>
                <w:rFonts w:ascii="Arial Narrow" w:hAnsi="Arial Narrow"/>
                <w:b/>
                <w:bCs/>
                <w:sz w:val="20"/>
                <w:szCs w:val="20"/>
              </w:rPr>
            </w:pPr>
            <w:r w:rsidRPr="0098660A">
              <w:rPr>
                <w:rFonts w:ascii="Arial Narrow" w:hAnsi="Arial Narrow"/>
                <w:sz w:val="20"/>
                <w:szCs w:val="20"/>
              </w:rPr>
              <w:t>Consult the approved Product Information for information about vaccination against meningococcal, pneumococcal and Haemophilus influenzae type B (Hib) infection.</w:t>
            </w:r>
          </w:p>
        </w:tc>
      </w:tr>
      <w:tr w:rsidR="008A2BF9" w:rsidRPr="0098660A" w14:paraId="30667BC8" w14:textId="77777777" w:rsidTr="008A2BF9">
        <w:tblPrEx>
          <w:tblCellMar>
            <w:top w:w="15" w:type="dxa"/>
            <w:bottom w:w="15" w:type="dxa"/>
          </w:tblCellMar>
          <w:tblLook w:val="04A0" w:firstRow="1" w:lastRow="0" w:firstColumn="1" w:lastColumn="0" w:noHBand="0" w:noVBand="1"/>
        </w:tblPrEx>
        <w:trPr>
          <w:gridAfter w:val="1"/>
          <w:wAfter w:w="56" w:type="dxa"/>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488EBD85" w14:textId="77777777" w:rsidR="008A2BF9" w:rsidRPr="0098660A" w:rsidRDefault="008A2BF9" w:rsidP="000E2127">
            <w:pPr>
              <w:keepLines/>
              <w:rPr>
                <w:rFonts w:ascii="Arial Narrow" w:hAnsi="Arial Narrow"/>
                <w:sz w:val="20"/>
                <w:szCs w:val="20"/>
              </w:rPr>
            </w:pPr>
            <w:r w:rsidRPr="0098660A">
              <w:rPr>
                <w:rFonts w:ascii="Arial Narrow" w:hAnsi="Arial Narrow"/>
                <w:b/>
                <w:bCs/>
                <w:sz w:val="20"/>
                <w:szCs w:val="20"/>
              </w:rPr>
              <w:t>Administrative Advice:</w:t>
            </w:r>
            <w:r w:rsidRPr="0098660A">
              <w:rPr>
                <w:rFonts w:ascii="Arial Narrow" w:hAnsi="Arial Narrow"/>
                <w:sz w:val="20"/>
                <w:szCs w:val="20"/>
              </w:rPr>
              <w:t xml:space="preserve"> </w:t>
            </w:r>
          </w:p>
          <w:p w14:paraId="270971FB" w14:textId="77777777" w:rsidR="008A2BF9" w:rsidRPr="0098660A" w:rsidRDefault="008A2BF9" w:rsidP="000E2127">
            <w:pPr>
              <w:keepLines/>
              <w:rPr>
                <w:rFonts w:ascii="Arial Narrow" w:hAnsi="Arial Narrow"/>
                <w:b/>
                <w:sz w:val="20"/>
                <w:szCs w:val="20"/>
              </w:rPr>
            </w:pPr>
            <w:r w:rsidRPr="0098660A">
              <w:rPr>
                <w:rFonts w:ascii="Arial Narrow" w:hAnsi="Arial Narrow"/>
                <w:sz w:val="20"/>
                <w:szCs w:val="20"/>
              </w:rPr>
              <w:t>No increase in the maximum number of repeats may be authorised.</w:t>
            </w:r>
          </w:p>
        </w:tc>
      </w:tr>
      <w:tr w:rsidR="008A2BF9" w:rsidRPr="0098660A" w14:paraId="1DC7F702" w14:textId="77777777" w:rsidTr="008A2BF9">
        <w:tblPrEx>
          <w:tblCellMar>
            <w:top w:w="15" w:type="dxa"/>
            <w:bottom w:w="15" w:type="dxa"/>
          </w:tblCellMar>
          <w:tblLook w:val="04A0" w:firstRow="1" w:lastRow="0" w:firstColumn="1" w:lastColumn="0" w:noHBand="0" w:noVBand="1"/>
        </w:tblPrEx>
        <w:trPr>
          <w:gridAfter w:val="1"/>
          <w:wAfter w:w="56" w:type="dxa"/>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4203239D" w14:textId="77777777" w:rsidR="008A2BF9" w:rsidRPr="0098660A" w:rsidRDefault="008A2BF9" w:rsidP="000E2127">
            <w:pPr>
              <w:spacing w:line="256" w:lineRule="auto"/>
              <w:jc w:val="left"/>
              <w:textAlignment w:val="baseline"/>
              <w:rPr>
                <w:rFonts w:ascii="Arial Narrow" w:hAnsi="Arial Narrow" w:cs="Segoe UI"/>
                <w:color w:val="333333"/>
                <w:sz w:val="20"/>
                <w:szCs w:val="20"/>
                <w:lang w:eastAsia="en-US"/>
              </w:rPr>
            </w:pPr>
            <w:r w:rsidRPr="0098660A">
              <w:rPr>
                <w:rFonts w:ascii="Arial Narrow" w:hAnsi="Arial Narrow" w:cs="Segoe UI"/>
                <w:b/>
                <w:bCs/>
                <w:color w:val="333333"/>
                <w:sz w:val="20"/>
                <w:szCs w:val="20"/>
                <w:lang w:eastAsia="en-US"/>
              </w:rPr>
              <w:t>Administrative Advice:</w:t>
            </w:r>
            <w:r w:rsidRPr="0098660A">
              <w:rPr>
                <w:rFonts w:ascii="Arial Narrow" w:hAnsi="Arial Narrow" w:cs="Segoe UI"/>
                <w:color w:val="333333"/>
                <w:sz w:val="20"/>
                <w:szCs w:val="20"/>
                <w:lang w:eastAsia="en-US"/>
              </w:rPr>
              <w:t> </w:t>
            </w:r>
          </w:p>
          <w:p w14:paraId="0D7A096B" w14:textId="77777777" w:rsidR="008A2BF9" w:rsidRPr="0098660A" w:rsidRDefault="008A2BF9" w:rsidP="000E2127">
            <w:pPr>
              <w:keepLines/>
              <w:rPr>
                <w:rFonts w:ascii="Arial Narrow" w:hAnsi="Arial Narrow"/>
                <w:b/>
                <w:bCs/>
                <w:sz w:val="20"/>
                <w:szCs w:val="20"/>
              </w:rPr>
            </w:pPr>
            <w:r w:rsidRPr="0098660A">
              <w:rPr>
                <w:rFonts w:ascii="Arial Narrow" w:hAnsi="Arial Narrow" w:cs="Segoe UI"/>
                <w:sz w:val="20"/>
                <w:szCs w:val="20"/>
                <w:lang w:eastAsia="en-US"/>
              </w:rPr>
              <w:t>Special Pricing Arrangements apply</w:t>
            </w:r>
            <w:r w:rsidRPr="0098660A">
              <w:rPr>
                <w:rFonts w:ascii="Arial Narrow" w:hAnsi="Arial Narrow" w:cs="Segoe UI"/>
                <w:i/>
                <w:iCs/>
                <w:sz w:val="20"/>
                <w:szCs w:val="20"/>
                <w:lang w:eastAsia="en-US"/>
              </w:rPr>
              <w:t>.</w:t>
            </w:r>
          </w:p>
        </w:tc>
      </w:tr>
      <w:tr w:rsidR="008A2BF9" w:rsidRPr="0098660A" w14:paraId="06141E71" w14:textId="77777777" w:rsidTr="008A2BF9">
        <w:tblPrEx>
          <w:tblCellMar>
            <w:top w:w="15" w:type="dxa"/>
            <w:bottom w:w="15" w:type="dxa"/>
          </w:tblCellMar>
          <w:tblLook w:val="04A0" w:firstRow="1" w:lastRow="0" w:firstColumn="1" w:lastColumn="0" w:noHBand="0" w:noVBand="1"/>
        </w:tblPrEx>
        <w:trPr>
          <w:gridAfter w:val="1"/>
          <w:wAfter w:w="56" w:type="dxa"/>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2D4E3BD8" w14:textId="77777777" w:rsidR="008A2BF9" w:rsidRPr="0098660A" w:rsidRDefault="008A2BF9" w:rsidP="000E2127">
            <w:pPr>
              <w:keepLines/>
              <w:rPr>
                <w:rFonts w:ascii="Arial Narrow" w:hAnsi="Arial Narrow"/>
                <w:sz w:val="20"/>
                <w:szCs w:val="20"/>
              </w:rPr>
            </w:pPr>
            <w:r w:rsidRPr="0098660A">
              <w:rPr>
                <w:rFonts w:ascii="Arial Narrow" w:hAnsi="Arial Narrow"/>
                <w:b/>
                <w:bCs/>
                <w:sz w:val="20"/>
                <w:szCs w:val="20"/>
              </w:rPr>
              <w:t>Administrative Advice:</w:t>
            </w:r>
          </w:p>
          <w:p w14:paraId="2D5A8E5C" w14:textId="77777777" w:rsidR="008A2BF9" w:rsidRPr="0098660A" w:rsidRDefault="008A2BF9" w:rsidP="000E2127">
            <w:pPr>
              <w:keepLines/>
              <w:rPr>
                <w:rFonts w:ascii="Arial Narrow" w:hAnsi="Arial Narrow"/>
                <w:sz w:val="20"/>
                <w:szCs w:val="20"/>
              </w:rPr>
            </w:pPr>
            <w:r w:rsidRPr="0098660A">
              <w:rPr>
                <w:rFonts w:ascii="Arial Narrow" w:hAnsi="Arial Narrow"/>
                <w:sz w:val="20"/>
                <w:szCs w:val="20"/>
              </w:rPr>
              <w:t>Complement 5 (C5) inhibitors are defined as eculizumab or ravulizumab</w:t>
            </w:r>
          </w:p>
        </w:tc>
      </w:tr>
      <w:tr w:rsidR="008A2BF9" w:rsidRPr="0098660A" w14:paraId="06D3D54D" w14:textId="77777777" w:rsidTr="008A2BF9">
        <w:tblPrEx>
          <w:tblCellMar>
            <w:top w:w="15" w:type="dxa"/>
            <w:bottom w:w="15" w:type="dxa"/>
          </w:tblCellMar>
          <w:tblLook w:val="04A0" w:firstRow="1" w:lastRow="0" w:firstColumn="1" w:lastColumn="0" w:noHBand="0" w:noVBand="1"/>
        </w:tblPrEx>
        <w:trPr>
          <w:gridAfter w:val="1"/>
          <w:wAfter w:w="56" w:type="dxa"/>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5B80E49F" w14:textId="77777777" w:rsidR="008A2BF9" w:rsidRPr="0098660A" w:rsidRDefault="008A2BF9" w:rsidP="000E2127">
            <w:pPr>
              <w:keepLines/>
              <w:rPr>
                <w:rFonts w:ascii="Arial Narrow" w:hAnsi="Arial Narrow"/>
                <w:b/>
                <w:bCs/>
                <w:sz w:val="20"/>
                <w:szCs w:val="20"/>
              </w:rPr>
            </w:pPr>
            <w:r w:rsidRPr="0098660A">
              <w:rPr>
                <w:rFonts w:ascii="Arial Narrow" w:hAnsi="Arial Narrow"/>
                <w:b/>
                <w:bCs/>
                <w:sz w:val="20"/>
                <w:szCs w:val="20"/>
              </w:rPr>
              <w:t>Administrative Advice:</w:t>
            </w:r>
          </w:p>
          <w:p w14:paraId="7ACF8951" w14:textId="77777777" w:rsidR="008A2BF9" w:rsidRPr="0098660A" w:rsidRDefault="008A2BF9" w:rsidP="000E2127">
            <w:pPr>
              <w:keepLines/>
              <w:rPr>
                <w:rFonts w:ascii="Arial Narrow" w:hAnsi="Arial Narrow"/>
                <w:sz w:val="20"/>
                <w:szCs w:val="20"/>
              </w:rPr>
            </w:pPr>
            <w:r w:rsidRPr="0098660A">
              <w:rPr>
                <w:rFonts w:ascii="Arial Narrow" w:hAnsi="Arial Narrow"/>
                <w:sz w:val="20"/>
                <w:szCs w:val="20"/>
              </w:rPr>
              <w:t>Prior to prescribing this drug, the prescriber must contact the pharmaceutical company to confirm that the patient has received all relevant vaccinations. The prescriber will then be provided with a Controlled Distribution Reference Number (CDRN) and information about the pumps and consumables for use.</w:t>
            </w:r>
          </w:p>
        </w:tc>
      </w:tr>
      <w:tr w:rsidR="008A2BF9" w:rsidRPr="0098660A" w14:paraId="501180EA" w14:textId="77777777" w:rsidTr="008A2BF9">
        <w:tblPrEx>
          <w:tblCellMar>
            <w:top w:w="15" w:type="dxa"/>
            <w:bottom w:w="15" w:type="dxa"/>
          </w:tblCellMar>
          <w:tblLook w:val="04A0" w:firstRow="1" w:lastRow="0" w:firstColumn="1" w:lastColumn="0" w:noHBand="0" w:noVBand="1"/>
        </w:tblPrEx>
        <w:trPr>
          <w:gridAfter w:val="1"/>
          <w:wAfter w:w="56" w:type="dxa"/>
          <w:trHeight w:val="20"/>
        </w:trPr>
        <w:tc>
          <w:tcPr>
            <w:tcW w:w="9029" w:type="dxa"/>
            <w:gridSpan w:val="7"/>
            <w:tcBorders>
              <w:top w:val="single" w:sz="4" w:space="0" w:color="auto"/>
              <w:left w:val="single" w:sz="4" w:space="0" w:color="auto"/>
              <w:bottom w:val="single" w:sz="4" w:space="0" w:color="auto"/>
              <w:right w:val="single" w:sz="4" w:space="0" w:color="auto"/>
            </w:tcBorders>
            <w:vAlign w:val="center"/>
          </w:tcPr>
          <w:p w14:paraId="58CEDF6B" w14:textId="77777777" w:rsidR="008A2BF9" w:rsidRPr="0098660A" w:rsidRDefault="008A2BF9" w:rsidP="51A4B722">
            <w:pPr>
              <w:rPr>
                <w:rFonts w:ascii="Arial Narrow" w:hAnsi="Arial Narrow"/>
                <w:b/>
                <w:bCs/>
                <w:sz w:val="20"/>
                <w:szCs w:val="20"/>
              </w:rPr>
            </w:pPr>
            <w:r w:rsidRPr="0098660A">
              <w:rPr>
                <w:rFonts w:ascii="Arial Narrow" w:hAnsi="Arial Narrow"/>
                <w:b/>
                <w:bCs/>
                <w:sz w:val="20"/>
                <w:szCs w:val="20"/>
              </w:rPr>
              <w:t>Administrative Advice:</w:t>
            </w:r>
          </w:p>
          <w:p w14:paraId="0A465340" w14:textId="77777777" w:rsidR="008A2BF9" w:rsidRPr="0098660A" w:rsidRDefault="008A2BF9" w:rsidP="51A4B722">
            <w:pPr>
              <w:rPr>
                <w:rFonts w:ascii="Arial Narrow" w:hAnsi="Arial Narrow"/>
                <w:sz w:val="20"/>
                <w:szCs w:val="20"/>
              </w:rPr>
            </w:pPr>
            <w:r w:rsidRPr="0098660A">
              <w:rPr>
                <w:rFonts w:ascii="Arial Narrow" w:hAnsi="Arial Narrow"/>
                <w:sz w:val="20"/>
                <w:szCs w:val="20"/>
              </w:rPr>
              <w:t>Any queries concerning the arrangements to prescribe may be directed to Services Australia on 1800 700 270 (hours of operation 8 a.m. to 5 p.m. Monday to Friday).</w:t>
            </w:r>
          </w:p>
          <w:p w14:paraId="645791ED" w14:textId="7562A64D" w:rsidR="008A2BF9" w:rsidRPr="0098660A" w:rsidRDefault="008A2BF9" w:rsidP="51A4B722">
            <w:pPr>
              <w:rPr>
                <w:rFonts w:ascii="Arial Narrow" w:hAnsi="Arial Narrow"/>
                <w:sz w:val="20"/>
                <w:szCs w:val="20"/>
              </w:rPr>
            </w:pPr>
          </w:p>
          <w:p w14:paraId="7DFEFEA6" w14:textId="49E310D4" w:rsidR="008A2BF9" w:rsidRPr="0098660A" w:rsidRDefault="008A2BF9" w:rsidP="51A4B722">
            <w:r w:rsidRPr="0098660A">
              <w:rPr>
                <w:rFonts w:ascii="Arial Narrow" w:hAnsi="Arial Narrow"/>
                <w:sz w:val="20"/>
                <w:szCs w:val="20"/>
              </w:rPr>
              <w:t xml:space="preserve">Prescribing information (including Authority Application forms and other relevant documentation as applicable) is available on the Services Australia website at </w:t>
            </w:r>
            <w:hyperlink r:id="rId11">
              <w:r w:rsidRPr="0098660A">
                <w:rPr>
                  <w:rStyle w:val="Hyperlink"/>
                  <w:rFonts w:ascii="Arial Narrow" w:hAnsi="Arial Narrow"/>
                  <w:color w:val="auto"/>
                  <w:sz w:val="20"/>
                  <w:szCs w:val="20"/>
                </w:rPr>
                <w:t>www.servicesaustralia.gov.au</w:t>
              </w:r>
            </w:hyperlink>
          </w:p>
          <w:p w14:paraId="36EC2D23" w14:textId="0043CBC6" w:rsidR="008A2BF9" w:rsidRPr="0098660A" w:rsidRDefault="008A2BF9" w:rsidP="51A4B722">
            <w:pPr>
              <w:rPr>
                <w:rFonts w:ascii="Arial Narrow" w:hAnsi="Arial Narrow"/>
                <w:sz w:val="20"/>
                <w:szCs w:val="20"/>
              </w:rPr>
            </w:pPr>
          </w:p>
          <w:p w14:paraId="091F5DBB" w14:textId="305054D6" w:rsidR="008A2BF9" w:rsidRPr="0098660A" w:rsidRDefault="008A2BF9" w:rsidP="51A4B722">
            <w:pPr>
              <w:rPr>
                <w:rFonts w:ascii="Arial Narrow" w:hAnsi="Arial Narrow"/>
                <w:i/>
                <w:iCs/>
                <w:sz w:val="20"/>
                <w:szCs w:val="20"/>
              </w:rPr>
            </w:pPr>
            <w:r w:rsidRPr="0098660A">
              <w:rPr>
                <w:rFonts w:ascii="Arial Narrow" w:hAnsi="Arial Narrow"/>
                <w:i/>
                <w:iCs/>
                <w:sz w:val="20"/>
                <w:szCs w:val="20"/>
              </w:rPr>
              <w:lastRenderedPageBreak/>
              <w:t xml:space="preserve">Applications for authorisation under this restriction should be made in real time using the Online PBS Authorities system (see </w:t>
            </w:r>
            <w:hyperlink r:id="rId12">
              <w:r w:rsidRPr="0098660A">
                <w:rPr>
                  <w:rStyle w:val="Hyperlink"/>
                  <w:rFonts w:ascii="Arial Narrow" w:hAnsi="Arial Narrow"/>
                  <w:i/>
                  <w:iCs/>
                  <w:color w:val="auto"/>
                  <w:sz w:val="20"/>
                  <w:szCs w:val="20"/>
                </w:rPr>
                <w:t>www.servicesaustralia.gov.au/hpos</w:t>
              </w:r>
            </w:hyperlink>
            <w:r w:rsidRPr="0098660A">
              <w:rPr>
                <w:rFonts w:ascii="Arial Narrow" w:hAnsi="Arial Narrow"/>
                <w:i/>
                <w:iCs/>
                <w:sz w:val="20"/>
                <w:szCs w:val="20"/>
              </w:rPr>
              <w:t>)</w:t>
            </w:r>
          </w:p>
          <w:p w14:paraId="2B592323" w14:textId="10FA0CA1" w:rsidR="008A2BF9" w:rsidRPr="0098660A" w:rsidRDefault="008A2BF9" w:rsidP="51A4B722">
            <w:pPr>
              <w:rPr>
                <w:rFonts w:ascii="Arial Narrow" w:hAnsi="Arial Narrow"/>
                <w:sz w:val="20"/>
                <w:szCs w:val="20"/>
              </w:rPr>
            </w:pPr>
          </w:p>
          <w:p w14:paraId="42030BCE" w14:textId="0A9B24C6" w:rsidR="008A2BF9" w:rsidRPr="0098660A" w:rsidRDefault="008A2BF9" w:rsidP="51A4B722">
            <w:r w:rsidRPr="0098660A">
              <w:rPr>
                <w:rFonts w:ascii="Arial Narrow" w:hAnsi="Arial Narrow"/>
                <w:i/>
                <w:iCs/>
                <w:sz w:val="20"/>
                <w:szCs w:val="20"/>
              </w:rPr>
              <w:t xml:space="preserve">Alternatively, </w:t>
            </w:r>
            <w:r w:rsidRPr="0098660A">
              <w:rPr>
                <w:rFonts w:ascii="Arial Narrow" w:hAnsi="Arial Narrow"/>
                <w:strike/>
                <w:sz w:val="20"/>
                <w:szCs w:val="20"/>
              </w:rPr>
              <w:t>A</w:t>
            </w:r>
            <w:r w:rsidRPr="0098660A">
              <w:rPr>
                <w:rFonts w:ascii="Arial Narrow" w:hAnsi="Arial Narrow"/>
                <w:sz w:val="20"/>
                <w:szCs w:val="20"/>
              </w:rPr>
              <w:t xml:space="preserve"> </w:t>
            </w:r>
            <w:r w:rsidRPr="0098660A">
              <w:rPr>
                <w:rFonts w:ascii="Arial Narrow" w:hAnsi="Arial Narrow"/>
                <w:i/>
                <w:iCs/>
                <w:sz w:val="20"/>
                <w:szCs w:val="20"/>
              </w:rPr>
              <w:t>a</w:t>
            </w:r>
            <w:r w:rsidRPr="0098660A">
              <w:rPr>
                <w:rFonts w:ascii="Arial Narrow" w:hAnsi="Arial Narrow"/>
                <w:sz w:val="20"/>
                <w:szCs w:val="20"/>
              </w:rPr>
              <w:t xml:space="preserve">pplications for authority to prescribe </w:t>
            </w:r>
            <w:r w:rsidRPr="0098660A">
              <w:rPr>
                <w:rFonts w:ascii="Arial Narrow" w:hAnsi="Arial Narrow"/>
                <w:strike/>
                <w:sz w:val="20"/>
                <w:szCs w:val="20"/>
              </w:rPr>
              <w:t>should</w:t>
            </w:r>
            <w:r w:rsidRPr="0098660A">
              <w:rPr>
                <w:rFonts w:ascii="Arial Narrow" w:hAnsi="Arial Narrow"/>
                <w:sz w:val="20"/>
                <w:szCs w:val="20"/>
              </w:rPr>
              <w:t xml:space="preserve"> </w:t>
            </w:r>
            <w:r w:rsidRPr="0098660A">
              <w:rPr>
                <w:rFonts w:ascii="Arial Narrow" w:hAnsi="Arial Narrow"/>
                <w:i/>
                <w:iCs/>
                <w:sz w:val="20"/>
                <w:szCs w:val="20"/>
              </w:rPr>
              <w:t xml:space="preserve">can </w:t>
            </w:r>
            <w:r w:rsidRPr="0098660A">
              <w:rPr>
                <w:rFonts w:ascii="Arial Narrow" w:hAnsi="Arial Narrow"/>
                <w:sz w:val="20"/>
                <w:szCs w:val="20"/>
              </w:rPr>
              <w:t xml:space="preserve">be submitted online using the form upload facility in Health Professional Online Services (HPOS) at </w:t>
            </w:r>
            <w:hyperlink r:id="rId13">
              <w:r w:rsidRPr="0098660A">
                <w:rPr>
                  <w:rStyle w:val="Hyperlink"/>
                  <w:rFonts w:ascii="Arial Narrow" w:hAnsi="Arial Narrow"/>
                  <w:color w:val="auto"/>
                  <w:sz w:val="20"/>
                  <w:szCs w:val="20"/>
                </w:rPr>
                <w:t>www.servicesaustralia.gov.au/hpos</w:t>
              </w:r>
            </w:hyperlink>
          </w:p>
          <w:p w14:paraId="14623778" w14:textId="693A3790" w:rsidR="008A2BF9" w:rsidRPr="0098660A" w:rsidRDefault="008A2BF9" w:rsidP="51A4B722">
            <w:pPr>
              <w:rPr>
                <w:rFonts w:ascii="Arial Narrow" w:hAnsi="Arial Narrow"/>
                <w:sz w:val="20"/>
                <w:szCs w:val="20"/>
              </w:rPr>
            </w:pPr>
          </w:p>
          <w:p w14:paraId="219B924B" w14:textId="77777777" w:rsidR="008A2BF9" w:rsidRPr="0098660A" w:rsidRDefault="008A2BF9" w:rsidP="51A4B722">
            <w:pPr>
              <w:rPr>
                <w:rFonts w:ascii="Arial Narrow" w:hAnsi="Arial Narrow"/>
                <w:sz w:val="20"/>
                <w:szCs w:val="20"/>
              </w:rPr>
            </w:pPr>
            <w:r w:rsidRPr="0098660A">
              <w:rPr>
                <w:rFonts w:ascii="Arial Narrow" w:hAnsi="Arial Narrow"/>
                <w:sz w:val="20"/>
                <w:szCs w:val="20"/>
              </w:rPr>
              <w:t>Or mailed to:</w:t>
            </w:r>
          </w:p>
          <w:p w14:paraId="05C31983" w14:textId="77777777" w:rsidR="008A2BF9" w:rsidRPr="0098660A" w:rsidRDefault="008A2BF9" w:rsidP="51A4B722">
            <w:pPr>
              <w:rPr>
                <w:rFonts w:ascii="Arial Narrow" w:hAnsi="Arial Narrow"/>
                <w:sz w:val="20"/>
                <w:szCs w:val="20"/>
              </w:rPr>
            </w:pPr>
            <w:r w:rsidRPr="0098660A">
              <w:rPr>
                <w:rFonts w:ascii="Arial Narrow" w:hAnsi="Arial Narrow"/>
                <w:sz w:val="20"/>
                <w:szCs w:val="20"/>
              </w:rPr>
              <w:t>Services Australia</w:t>
            </w:r>
          </w:p>
          <w:p w14:paraId="2AA7B0F9" w14:textId="77777777" w:rsidR="008A2BF9" w:rsidRPr="0098660A" w:rsidRDefault="008A2BF9" w:rsidP="51A4B722">
            <w:pPr>
              <w:rPr>
                <w:rFonts w:ascii="Arial Narrow" w:hAnsi="Arial Narrow"/>
                <w:sz w:val="20"/>
                <w:szCs w:val="20"/>
              </w:rPr>
            </w:pPr>
            <w:r w:rsidRPr="0098660A">
              <w:rPr>
                <w:rFonts w:ascii="Arial Narrow" w:hAnsi="Arial Narrow"/>
                <w:sz w:val="20"/>
                <w:szCs w:val="20"/>
              </w:rPr>
              <w:t>Complex Drugs</w:t>
            </w:r>
          </w:p>
          <w:p w14:paraId="028C92CD" w14:textId="77777777" w:rsidR="008A2BF9" w:rsidRPr="0098660A" w:rsidRDefault="008A2BF9" w:rsidP="51A4B722">
            <w:pPr>
              <w:rPr>
                <w:rFonts w:ascii="Arial Narrow" w:hAnsi="Arial Narrow"/>
                <w:sz w:val="20"/>
                <w:szCs w:val="20"/>
              </w:rPr>
            </w:pPr>
            <w:r w:rsidRPr="0098660A">
              <w:rPr>
                <w:rFonts w:ascii="Arial Narrow" w:hAnsi="Arial Narrow"/>
                <w:sz w:val="20"/>
                <w:szCs w:val="20"/>
              </w:rPr>
              <w:t>Reply Paid 9826</w:t>
            </w:r>
          </w:p>
          <w:p w14:paraId="28240392" w14:textId="77777777" w:rsidR="008A2BF9" w:rsidRPr="0098660A" w:rsidRDefault="008A2BF9" w:rsidP="51A4B722">
            <w:pPr>
              <w:keepLines/>
              <w:rPr>
                <w:rFonts w:ascii="Arial Narrow" w:hAnsi="Arial Narrow"/>
                <w:b/>
                <w:bCs/>
                <w:i/>
                <w:iCs/>
                <w:sz w:val="20"/>
                <w:szCs w:val="20"/>
              </w:rPr>
            </w:pPr>
            <w:r w:rsidRPr="0098660A">
              <w:rPr>
                <w:rFonts w:ascii="Arial Narrow" w:hAnsi="Arial Narrow"/>
                <w:sz w:val="20"/>
                <w:szCs w:val="20"/>
              </w:rPr>
              <w:t>HOBART TAS 7001</w:t>
            </w:r>
          </w:p>
        </w:tc>
      </w:tr>
      <w:tr w:rsidR="008A2BF9" w:rsidRPr="0098660A" w14:paraId="67176062" w14:textId="77777777" w:rsidTr="008A2BF9">
        <w:tblPrEx>
          <w:tblCellMar>
            <w:top w:w="15" w:type="dxa"/>
            <w:bottom w:w="15" w:type="dxa"/>
          </w:tblCellMar>
          <w:tblLook w:val="04A0" w:firstRow="1" w:lastRow="0" w:firstColumn="1" w:lastColumn="0" w:noHBand="0" w:noVBand="1"/>
        </w:tblPrEx>
        <w:trPr>
          <w:gridAfter w:val="1"/>
          <w:wAfter w:w="56" w:type="dxa"/>
          <w:trHeight w:val="20"/>
        </w:trPr>
        <w:tc>
          <w:tcPr>
            <w:tcW w:w="9029"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CDBEA3" w14:textId="634D7EB4" w:rsidR="008A2BF9" w:rsidRPr="0098660A" w:rsidRDefault="008A2BF9" w:rsidP="000E2127">
            <w:pPr>
              <w:keepLines/>
              <w:rPr>
                <w:rFonts w:ascii="Arial Narrow" w:hAnsi="Arial Narrow"/>
                <w:b/>
                <w:bCs/>
                <w:sz w:val="20"/>
                <w:szCs w:val="20"/>
              </w:rPr>
            </w:pPr>
            <w:r w:rsidRPr="0098660A">
              <w:rPr>
                <w:rFonts w:ascii="Arial Narrow" w:hAnsi="Arial Narrow"/>
                <w:b/>
                <w:sz w:val="20"/>
                <w:szCs w:val="20"/>
              </w:rPr>
              <w:lastRenderedPageBreak/>
              <w:t xml:space="preserve">Restriction Summary edit 13709 / Treatment of Concept: edit 13655 </w:t>
            </w:r>
          </w:p>
        </w:tc>
      </w:tr>
      <w:tr w:rsidR="008A2BF9" w:rsidRPr="0098660A" w14:paraId="0B478131" w14:textId="77777777" w:rsidTr="008A2BF9">
        <w:tblPrEx>
          <w:tblCellMar>
            <w:top w:w="15" w:type="dxa"/>
            <w:bottom w:w="15" w:type="dxa"/>
          </w:tblCellMar>
          <w:tblLook w:val="04A0" w:firstRow="1" w:lastRow="0" w:firstColumn="1" w:lastColumn="0" w:noHBand="0" w:noVBand="1"/>
        </w:tblPrEx>
        <w:trPr>
          <w:gridAfter w:val="1"/>
          <w:wAfter w:w="56" w:type="dxa"/>
          <w:cantSplit/>
          <w:trHeight w:val="20"/>
        </w:trPr>
        <w:tc>
          <w:tcPr>
            <w:tcW w:w="9029" w:type="dxa"/>
            <w:gridSpan w:val="7"/>
            <w:vAlign w:val="center"/>
            <w:hideMark/>
          </w:tcPr>
          <w:p w14:paraId="616C1AA8" w14:textId="77777777" w:rsidR="008A2BF9" w:rsidRPr="0098660A" w:rsidRDefault="008A2BF9" w:rsidP="000E2127">
            <w:pPr>
              <w:keepLines/>
              <w:rPr>
                <w:rFonts w:ascii="Arial Narrow" w:hAnsi="Arial Narrow"/>
                <w:sz w:val="20"/>
                <w:szCs w:val="20"/>
              </w:rPr>
            </w:pPr>
            <w:r w:rsidRPr="0098660A">
              <w:rPr>
                <w:rFonts w:ascii="Arial Narrow" w:hAnsi="Arial Narrow" w:cs="Segoe UI"/>
                <w:b/>
                <w:bCs/>
                <w:color w:val="333333"/>
                <w:sz w:val="20"/>
                <w:szCs w:val="20"/>
                <w:lang w:eastAsia="en-US"/>
              </w:rPr>
              <w:t>Indication:</w:t>
            </w:r>
            <w:r w:rsidRPr="0098660A">
              <w:rPr>
                <w:rFonts w:ascii="Arial Narrow" w:hAnsi="Arial Narrow" w:cs="Segoe UI"/>
                <w:color w:val="333333"/>
                <w:sz w:val="20"/>
                <w:szCs w:val="20"/>
                <w:lang w:eastAsia="en-US"/>
              </w:rPr>
              <w:t xml:space="preserve"> Paroxysmal nocturnal haemoglobinuria (PNH)</w:t>
            </w:r>
          </w:p>
        </w:tc>
      </w:tr>
      <w:tr w:rsidR="008A2BF9" w:rsidRPr="0098660A" w14:paraId="66E49676" w14:textId="77777777" w:rsidTr="008A2BF9">
        <w:tblPrEx>
          <w:tblCellMar>
            <w:top w:w="15" w:type="dxa"/>
            <w:bottom w:w="15" w:type="dxa"/>
          </w:tblCellMar>
          <w:tblLook w:val="04A0" w:firstRow="1" w:lastRow="0" w:firstColumn="1" w:lastColumn="0" w:noHBand="0" w:noVBand="1"/>
        </w:tblPrEx>
        <w:trPr>
          <w:gridAfter w:val="1"/>
          <w:wAfter w:w="56" w:type="dxa"/>
          <w:cantSplit/>
          <w:trHeight w:val="20"/>
        </w:trPr>
        <w:tc>
          <w:tcPr>
            <w:tcW w:w="9029" w:type="dxa"/>
            <w:gridSpan w:val="7"/>
            <w:vAlign w:val="center"/>
            <w:hideMark/>
          </w:tcPr>
          <w:p w14:paraId="4F1800D4" w14:textId="77777777" w:rsidR="008A2BF9" w:rsidRPr="0098660A" w:rsidRDefault="008A2BF9" w:rsidP="000E2127">
            <w:pPr>
              <w:rPr>
                <w:rFonts w:ascii="Arial Narrow" w:hAnsi="Arial Narrow"/>
                <w:i/>
                <w:iCs/>
                <w:sz w:val="20"/>
                <w:szCs w:val="20"/>
              </w:rPr>
            </w:pPr>
            <w:r w:rsidRPr="0098660A">
              <w:rPr>
                <w:rFonts w:ascii="Arial Narrow" w:hAnsi="Arial Narrow" w:cs="Segoe UI"/>
                <w:b/>
                <w:bCs/>
                <w:color w:val="333333"/>
                <w:sz w:val="20"/>
                <w:szCs w:val="20"/>
                <w:lang w:eastAsia="en-US"/>
              </w:rPr>
              <w:t>Treatment Phase:</w:t>
            </w:r>
            <w:r w:rsidRPr="0098660A">
              <w:rPr>
                <w:rFonts w:ascii="Arial Narrow" w:hAnsi="Arial Narrow" w:cs="Segoe UI"/>
                <w:color w:val="FF0000"/>
                <w:sz w:val="20"/>
                <w:szCs w:val="20"/>
                <w:lang w:eastAsia="en-US"/>
              </w:rPr>
              <w:t xml:space="preserve"> </w:t>
            </w:r>
            <w:r w:rsidRPr="0098660A">
              <w:rPr>
                <w:rFonts w:ascii="Arial Narrow" w:hAnsi="Arial Narrow" w:cs="Segoe UI"/>
                <w:sz w:val="20"/>
                <w:szCs w:val="20"/>
                <w:lang w:eastAsia="en-US"/>
              </w:rPr>
              <w:t xml:space="preserve">Initial treatment </w:t>
            </w:r>
            <w:r w:rsidRPr="0098660A">
              <w:rPr>
                <w:rFonts w:ascii="Arial Narrow" w:hAnsi="Arial Narrow" w:cs="Segoe UI"/>
                <w:i/>
                <w:iCs/>
                <w:sz w:val="20"/>
                <w:szCs w:val="20"/>
                <w:lang w:eastAsia="en-US"/>
              </w:rPr>
              <w:t xml:space="preserve">– </w:t>
            </w:r>
            <w:r w:rsidRPr="0098660A">
              <w:rPr>
                <w:rFonts w:ascii="Arial Narrow" w:hAnsi="Arial Narrow" w:cs="Segoe UI"/>
                <w:strike/>
                <w:sz w:val="20"/>
                <w:szCs w:val="20"/>
                <w:lang w:eastAsia="en-US"/>
              </w:rPr>
              <w:t xml:space="preserve">(new patient) </w:t>
            </w:r>
            <w:r w:rsidRPr="0098660A">
              <w:rPr>
                <w:rFonts w:ascii="Arial Narrow" w:hAnsi="Arial Narrow" w:cs="Segoe UI"/>
                <w:i/>
                <w:iCs/>
                <w:sz w:val="20"/>
                <w:szCs w:val="20"/>
                <w:lang w:eastAsia="en-US"/>
              </w:rPr>
              <w:t xml:space="preserve">initial 2 </w:t>
            </w:r>
            <w:bookmarkStart w:id="100" w:name="_Hlk198196455"/>
            <w:r w:rsidRPr="0098660A">
              <w:rPr>
                <w:rFonts w:ascii="Arial Narrow" w:hAnsi="Arial Narrow" w:cs="Segoe UI"/>
                <w:i/>
                <w:iCs/>
                <w:sz w:val="20"/>
                <w:szCs w:val="20"/>
                <w:lang w:eastAsia="en-US"/>
              </w:rPr>
              <w:t>(switching from a Complement 5 inhibitor</w:t>
            </w:r>
            <w:bookmarkEnd w:id="100"/>
            <w:r w:rsidRPr="0098660A">
              <w:rPr>
                <w:rFonts w:ascii="Arial Narrow" w:hAnsi="Arial Narrow" w:cs="Segoe UI"/>
                <w:i/>
                <w:iCs/>
                <w:sz w:val="20"/>
                <w:szCs w:val="20"/>
                <w:lang w:eastAsia="en-US"/>
              </w:rPr>
              <w:t>)</w:t>
            </w:r>
          </w:p>
        </w:tc>
      </w:tr>
      <w:tr w:rsidR="008A2BF9" w:rsidRPr="0098660A" w14:paraId="35DD572B" w14:textId="77777777" w:rsidTr="008A2BF9">
        <w:tblPrEx>
          <w:tblCellMar>
            <w:top w:w="15" w:type="dxa"/>
            <w:bottom w:w="15" w:type="dxa"/>
          </w:tblCellMar>
          <w:tblLook w:val="04A0" w:firstRow="1" w:lastRow="0" w:firstColumn="1" w:lastColumn="0" w:noHBand="0" w:noVBand="1"/>
        </w:tblPrEx>
        <w:trPr>
          <w:gridAfter w:val="1"/>
          <w:wAfter w:w="56" w:type="dxa"/>
          <w:cantSplit/>
          <w:trHeight w:val="20"/>
        </w:trPr>
        <w:tc>
          <w:tcPr>
            <w:tcW w:w="9029" w:type="dxa"/>
            <w:gridSpan w:val="7"/>
            <w:vAlign w:val="center"/>
            <w:hideMark/>
          </w:tcPr>
          <w:p w14:paraId="7633A211" w14:textId="77777777" w:rsidR="008A2BF9" w:rsidRPr="0098660A" w:rsidRDefault="008A2BF9" w:rsidP="000E2127">
            <w:pPr>
              <w:rPr>
                <w:rFonts w:ascii="Arial Narrow" w:hAnsi="Arial Narrow"/>
                <w:sz w:val="20"/>
                <w:szCs w:val="20"/>
              </w:rPr>
            </w:pPr>
            <w:r w:rsidRPr="0098660A">
              <w:rPr>
                <w:rFonts w:ascii="Arial Narrow" w:hAnsi="Arial Narrow" w:cs="Segoe UI"/>
                <w:b/>
                <w:bCs/>
                <w:color w:val="333333"/>
                <w:sz w:val="20"/>
                <w:szCs w:val="20"/>
                <w:lang w:eastAsia="en-US"/>
              </w:rPr>
              <w:t>Clinical criteria:</w:t>
            </w:r>
          </w:p>
        </w:tc>
      </w:tr>
      <w:tr w:rsidR="008A2BF9" w:rsidRPr="0098660A" w14:paraId="2BEB6A56" w14:textId="77777777" w:rsidTr="008A2BF9">
        <w:tblPrEx>
          <w:tblCellMar>
            <w:top w:w="15" w:type="dxa"/>
            <w:bottom w:w="15" w:type="dxa"/>
          </w:tblCellMar>
          <w:tblLook w:val="04A0" w:firstRow="1" w:lastRow="0" w:firstColumn="1" w:lastColumn="0" w:noHBand="0" w:noVBand="1"/>
        </w:tblPrEx>
        <w:trPr>
          <w:gridAfter w:val="1"/>
          <w:wAfter w:w="56" w:type="dxa"/>
          <w:cantSplit/>
          <w:trHeight w:val="20"/>
        </w:trPr>
        <w:tc>
          <w:tcPr>
            <w:tcW w:w="9029" w:type="dxa"/>
            <w:gridSpan w:val="7"/>
            <w:vAlign w:val="center"/>
            <w:hideMark/>
          </w:tcPr>
          <w:p w14:paraId="6AC8943A" w14:textId="77777777" w:rsidR="008A2BF9" w:rsidRPr="0098660A" w:rsidRDefault="008A2BF9" w:rsidP="000E2127">
            <w:pPr>
              <w:rPr>
                <w:rFonts w:ascii="Arial Narrow" w:hAnsi="Arial Narrow"/>
                <w:sz w:val="20"/>
                <w:szCs w:val="20"/>
              </w:rPr>
            </w:pPr>
            <w:r w:rsidRPr="0098660A">
              <w:rPr>
                <w:rFonts w:ascii="Arial Narrow" w:hAnsi="Arial Narrow"/>
                <w:sz w:val="20"/>
                <w:szCs w:val="20"/>
              </w:rPr>
              <w:t>Patient must not have received prior treatment with this drug for this condition</w:t>
            </w:r>
          </w:p>
        </w:tc>
      </w:tr>
      <w:tr w:rsidR="008A2BF9" w:rsidRPr="0098660A" w14:paraId="22D7E242" w14:textId="77777777" w:rsidTr="008A2BF9">
        <w:tblPrEx>
          <w:tblCellMar>
            <w:top w:w="15" w:type="dxa"/>
            <w:bottom w:w="15" w:type="dxa"/>
          </w:tblCellMar>
          <w:tblLook w:val="04A0" w:firstRow="1" w:lastRow="0" w:firstColumn="1" w:lastColumn="0" w:noHBand="0" w:noVBand="1"/>
        </w:tblPrEx>
        <w:trPr>
          <w:gridAfter w:val="1"/>
          <w:wAfter w:w="56" w:type="dxa"/>
          <w:cantSplit/>
          <w:trHeight w:val="20"/>
        </w:trPr>
        <w:tc>
          <w:tcPr>
            <w:tcW w:w="9029" w:type="dxa"/>
            <w:gridSpan w:val="7"/>
            <w:vAlign w:val="center"/>
          </w:tcPr>
          <w:p w14:paraId="205CCAAC" w14:textId="77777777" w:rsidR="008A2BF9" w:rsidRPr="0098660A" w:rsidRDefault="008A2BF9" w:rsidP="000E2127">
            <w:pPr>
              <w:rPr>
                <w:rFonts w:ascii="Arial Narrow" w:hAnsi="Arial Narrow"/>
                <w:sz w:val="20"/>
                <w:szCs w:val="20"/>
              </w:rPr>
            </w:pPr>
            <w:r w:rsidRPr="0098660A">
              <w:rPr>
                <w:rFonts w:ascii="Arial Narrow" w:hAnsi="Arial Narrow" w:cs="Segoe UI"/>
                <w:b/>
                <w:bCs/>
                <w:color w:val="333333"/>
                <w:sz w:val="20"/>
                <w:szCs w:val="20"/>
                <w:lang w:eastAsia="en-US"/>
              </w:rPr>
              <w:t>AND</w:t>
            </w:r>
          </w:p>
        </w:tc>
      </w:tr>
      <w:tr w:rsidR="008A2BF9" w:rsidRPr="0098660A" w14:paraId="304186B1" w14:textId="77777777" w:rsidTr="008A2BF9">
        <w:tblPrEx>
          <w:tblCellMar>
            <w:top w:w="15" w:type="dxa"/>
            <w:bottom w:w="15" w:type="dxa"/>
          </w:tblCellMar>
          <w:tblLook w:val="04A0" w:firstRow="1" w:lastRow="0" w:firstColumn="1" w:lastColumn="0" w:noHBand="0" w:noVBand="1"/>
        </w:tblPrEx>
        <w:trPr>
          <w:gridAfter w:val="1"/>
          <w:wAfter w:w="56" w:type="dxa"/>
          <w:cantSplit/>
          <w:trHeight w:val="20"/>
        </w:trPr>
        <w:tc>
          <w:tcPr>
            <w:tcW w:w="9029" w:type="dxa"/>
            <w:gridSpan w:val="7"/>
            <w:vAlign w:val="center"/>
            <w:hideMark/>
          </w:tcPr>
          <w:p w14:paraId="2A12D9FD" w14:textId="77777777" w:rsidR="008A2BF9" w:rsidRPr="0098660A" w:rsidRDefault="008A2BF9" w:rsidP="000E2127">
            <w:pPr>
              <w:rPr>
                <w:rFonts w:ascii="Arial Narrow" w:hAnsi="Arial Narrow"/>
                <w:sz w:val="20"/>
                <w:szCs w:val="20"/>
              </w:rPr>
            </w:pPr>
            <w:r w:rsidRPr="0098660A">
              <w:rPr>
                <w:rFonts w:ascii="Arial Narrow" w:hAnsi="Arial Narrow" w:cs="Segoe UI"/>
                <w:b/>
                <w:bCs/>
                <w:color w:val="333333"/>
                <w:sz w:val="20"/>
                <w:szCs w:val="20"/>
                <w:lang w:eastAsia="en-US"/>
              </w:rPr>
              <w:t xml:space="preserve">Clinical criteria: </w:t>
            </w:r>
          </w:p>
        </w:tc>
      </w:tr>
      <w:tr w:rsidR="008A2BF9" w:rsidRPr="0098660A" w14:paraId="5233B67C" w14:textId="77777777" w:rsidTr="008A2BF9">
        <w:tblPrEx>
          <w:tblCellMar>
            <w:top w:w="15" w:type="dxa"/>
            <w:bottom w:w="15" w:type="dxa"/>
          </w:tblCellMar>
          <w:tblLook w:val="04A0" w:firstRow="1" w:lastRow="0" w:firstColumn="1" w:lastColumn="0" w:noHBand="0" w:noVBand="1"/>
        </w:tblPrEx>
        <w:trPr>
          <w:gridAfter w:val="1"/>
          <w:wAfter w:w="56" w:type="dxa"/>
          <w:cantSplit/>
          <w:trHeight w:val="20"/>
        </w:trPr>
        <w:tc>
          <w:tcPr>
            <w:tcW w:w="9029" w:type="dxa"/>
            <w:gridSpan w:val="7"/>
            <w:vAlign w:val="center"/>
          </w:tcPr>
          <w:p w14:paraId="0E118BFA" w14:textId="77777777" w:rsidR="008A2BF9" w:rsidRPr="0098660A" w:rsidRDefault="008A2BF9" w:rsidP="000E2127">
            <w:pPr>
              <w:rPr>
                <w:rFonts w:ascii="Arial Narrow" w:hAnsi="Arial Narrow"/>
                <w:sz w:val="20"/>
                <w:szCs w:val="20"/>
              </w:rPr>
            </w:pPr>
            <w:r w:rsidRPr="0098660A">
              <w:rPr>
                <w:rFonts w:ascii="Arial Narrow" w:hAnsi="Arial Narrow"/>
                <w:sz w:val="20"/>
                <w:szCs w:val="20"/>
              </w:rPr>
              <w:t>Patient must have PNH granulocyte clone size equal to or greater than 10% within the last 3 months</w:t>
            </w:r>
          </w:p>
        </w:tc>
      </w:tr>
      <w:tr w:rsidR="008A2BF9" w:rsidRPr="0098660A" w14:paraId="2B8E0DC6" w14:textId="77777777" w:rsidTr="008A2BF9">
        <w:tblPrEx>
          <w:tblCellMar>
            <w:top w:w="15" w:type="dxa"/>
            <w:bottom w:w="15" w:type="dxa"/>
          </w:tblCellMar>
          <w:tblLook w:val="04A0" w:firstRow="1" w:lastRow="0" w:firstColumn="1" w:lastColumn="0" w:noHBand="0" w:noVBand="1"/>
        </w:tblPrEx>
        <w:trPr>
          <w:gridAfter w:val="1"/>
          <w:wAfter w:w="56" w:type="dxa"/>
          <w:cantSplit/>
          <w:trHeight w:val="20"/>
        </w:trPr>
        <w:tc>
          <w:tcPr>
            <w:tcW w:w="9029" w:type="dxa"/>
            <w:gridSpan w:val="7"/>
            <w:vAlign w:val="center"/>
          </w:tcPr>
          <w:p w14:paraId="207E624E" w14:textId="77777777" w:rsidR="008A2BF9" w:rsidRPr="0098660A" w:rsidRDefault="008A2BF9" w:rsidP="000E2127">
            <w:pPr>
              <w:rPr>
                <w:rFonts w:ascii="Arial Narrow" w:hAnsi="Arial Narrow"/>
                <w:strike/>
                <w:sz w:val="20"/>
                <w:szCs w:val="20"/>
              </w:rPr>
            </w:pPr>
            <w:r w:rsidRPr="0098660A">
              <w:rPr>
                <w:rFonts w:ascii="Arial Narrow" w:hAnsi="Arial Narrow" w:cs="Segoe UI"/>
                <w:b/>
                <w:bCs/>
                <w:strike/>
                <w:color w:val="333333"/>
                <w:sz w:val="20"/>
                <w:szCs w:val="20"/>
                <w:lang w:eastAsia="en-US"/>
              </w:rPr>
              <w:t>AND</w:t>
            </w:r>
          </w:p>
        </w:tc>
      </w:tr>
      <w:tr w:rsidR="008A2BF9" w:rsidRPr="0098660A" w14:paraId="4F2C6BDA" w14:textId="77777777" w:rsidTr="008A2BF9">
        <w:tblPrEx>
          <w:tblCellMar>
            <w:top w:w="15" w:type="dxa"/>
            <w:bottom w:w="15" w:type="dxa"/>
          </w:tblCellMar>
          <w:tblLook w:val="04A0" w:firstRow="1" w:lastRow="0" w:firstColumn="1" w:lastColumn="0" w:noHBand="0" w:noVBand="1"/>
        </w:tblPrEx>
        <w:trPr>
          <w:gridAfter w:val="1"/>
          <w:wAfter w:w="56" w:type="dxa"/>
          <w:cantSplit/>
          <w:trHeight w:val="20"/>
        </w:trPr>
        <w:tc>
          <w:tcPr>
            <w:tcW w:w="9029" w:type="dxa"/>
            <w:gridSpan w:val="7"/>
            <w:vAlign w:val="center"/>
          </w:tcPr>
          <w:p w14:paraId="0B797FE7" w14:textId="77777777" w:rsidR="008A2BF9" w:rsidRPr="0098660A" w:rsidRDefault="008A2BF9" w:rsidP="000E2127">
            <w:pPr>
              <w:rPr>
                <w:rFonts w:ascii="Arial Narrow" w:hAnsi="Arial Narrow"/>
                <w:strike/>
                <w:sz w:val="20"/>
                <w:szCs w:val="20"/>
              </w:rPr>
            </w:pPr>
            <w:r w:rsidRPr="0098660A">
              <w:rPr>
                <w:rFonts w:ascii="Arial Narrow" w:hAnsi="Arial Narrow" w:cs="Segoe UI"/>
                <w:b/>
                <w:bCs/>
                <w:strike/>
                <w:color w:val="333333"/>
                <w:sz w:val="20"/>
                <w:szCs w:val="20"/>
                <w:lang w:eastAsia="en-US"/>
              </w:rPr>
              <w:t>Clinical criteria:</w:t>
            </w:r>
          </w:p>
        </w:tc>
      </w:tr>
      <w:tr w:rsidR="008A2BF9" w:rsidRPr="0098660A" w14:paraId="503DB288" w14:textId="77777777" w:rsidTr="008A2BF9">
        <w:tblPrEx>
          <w:tblCellMar>
            <w:top w:w="15" w:type="dxa"/>
            <w:bottom w:w="15" w:type="dxa"/>
          </w:tblCellMar>
          <w:tblLook w:val="04A0" w:firstRow="1" w:lastRow="0" w:firstColumn="1" w:lastColumn="0" w:noHBand="0" w:noVBand="1"/>
        </w:tblPrEx>
        <w:trPr>
          <w:gridAfter w:val="1"/>
          <w:wAfter w:w="56" w:type="dxa"/>
          <w:cantSplit/>
          <w:trHeight w:val="20"/>
        </w:trPr>
        <w:tc>
          <w:tcPr>
            <w:tcW w:w="9029" w:type="dxa"/>
            <w:gridSpan w:val="7"/>
            <w:vAlign w:val="center"/>
          </w:tcPr>
          <w:p w14:paraId="06AA59A5" w14:textId="77777777" w:rsidR="008A2BF9" w:rsidRPr="0098660A" w:rsidRDefault="008A2BF9" w:rsidP="000E2127">
            <w:pPr>
              <w:rPr>
                <w:rFonts w:ascii="Arial Narrow" w:hAnsi="Arial Narrow"/>
                <w:strike/>
                <w:sz w:val="20"/>
                <w:szCs w:val="20"/>
              </w:rPr>
            </w:pPr>
            <w:r w:rsidRPr="0098660A">
              <w:rPr>
                <w:rFonts w:ascii="Arial Narrow" w:hAnsi="Arial Narrow"/>
                <w:strike/>
                <w:sz w:val="20"/>
                <w:szCs w:val="20"/>
              </w:rPr>
              <w:t>Patient must have experienced an inadequate response to a complement 5 (C5) inhibitor demonstrated by a haemoglobin level of less than 105 g/L; or</w:t>
            </w:r>
          </w:p>
        </w:tc>
      </w:tr>
      <w:tr w:rsidR="008A2BF9" w:rsidRPr="0098660A" w14:paraId="2E4434B4" w14:textId="77777777" w:rsidTr="008A2BF9">
        <w:tblPrEx>
          <w:tblCellMar>
            <w:top w:w="15" w:type="dxa"/>
            <w:bottom w:w="15" w:type="dxa"/>
          </w:tblCellMar>
          <w:tblLook w:val="04A0" w:firstRow="1" w:lastRow="0" w:firstColumn="1" w:lastColumn="0" w:noHBand="0" w:noVBand="1"/>
        </w:tblPrEx>
        <w:trPr>
          <w:gridAfter w:val="1"/>
          <w:wAfter w:w="56" w:type="dxa"/>
          <w:cantSplit/>
          <w:trHeight w:val="20"/>
        </w:trPr>
        <w:tc>
          <w:tcPr>
            <w:tcW w:w="9029" w:type="dxa"/>
            <w:gridSpan w:val="7"/>
            <w:vAlign w:val="center"/>
          </w:tcPr>
          <w:p w14:paraId="41608111" w14:textId="77777777" w:rsidR="008A2BF9" w:rsidRPr="0098660A" w:rsidRDefault="008A2BF9" w:rsidP="000E2127">
            <w:pPr>
              <w:rPr>
                <w:rFonts w:ascii="Arial Narrow" w:hAnsi="Arial Narrow"/>
                <w:strike/>
                <w:sz w:val="20"/>
                <w:szCs w:val="20"/>
              </w:rPr>
            </w:pPr>
            <w:r w:rsidRPr="0098660A">
              <w:rPr>
                <w:rFonts w:ascii="Arial Narrow" w:hAnsi="Arial Narrow"/>
                <w:strike/>
                <w:sz w:val="20"/>
                <w:szCs w:val="20"/>
              </w:rPr>
              <w:t>Patient must be intolerant to C5 inhibitors as determined by the treating physician</w:t>
            </w:r>
          </w:p>
        </w:tc>
      </w:tr>
      <w:tr w:rsidR="008A2BF9" w:rsidRPr="0098660A" w14:paraId="0839D3F4" w14:textId="77777777" w:rsidTr="008A2BF9">
        <w:tblPrEx>
          <w:tblCellMar>
            <w:top w:w="15" w:type="dxa"/>
            <w:bottom w:w="15" w:type="dxa"/>
          </w:tblCellMar>
          <w:tblLook w:val="04A0" w:firstRow="1" w:lastRow="0" w:firstColumn="1" w:lastColumn="0" w:noHBand="0" w:noVBand="1"/>
        </w:tblPrEx>
        <w:trPr>
          <w:cantSplit/>
          <w:trHeight w:val="20"/>
        </w:trPr>
        <w:tc>
          <w:tcPr>
            <w:tcW w:w="9085" w:type="dxa"/>
            <w:gridSpan w:val="8"/>
            <w:vAlign w:val="center"/>
          </w:tcPr>
          <w:p w14:paraId="5C5A1DE5" w14:textId="77777777" w:rsidR="008A2BF9" w:rsidRPr="0098660A" w:rsidRDefault="008A2BF9" w:rsidP="000E2127">
            <w:pPr>
              <w:rPr>
                <w:rFonts w:ascii="Arial Narrow" w:hAnsi="Arial Narrow"/>
                <w:sz w:val="20"/>
                <w:szCs w:val="20"/>
              </w:rPr>
            </w:pPr>
            <w:r w:rsidRPr="0098660A">
              <w:rPr>
                <w:rFonts w:ascii="Arial Narrow" w:hAnsi="Arial Narrow" w:cs="Segoe UI"/>
                <w:b/>
                <w:bCs/>
                <w:color w:val="333333"/>
                <w:sz w:val="20"/>
                <w:szCs w:val="20"/>
                <w:lang w:eastAsia="en-US"/>
              </w:rPr>
              <w:t>AND</w:t>
            </w:r>
            <w:r w:rsidRPr="0098660A">
              <w:rPr>
                <w:rFonts w:ascii="Arial Narrow" w:hAnsi="Arial Narrow" w:cs="Segoe UI"/>
                <w:color w:val="333333"/>
                <w:sz w:val="20"/>
                <w:szCs w:val="20"/>
                <w:lang w:eastAsia="en-US"/>
              </w:rPr>
              <w:t> </w:t>
            </w:r>
          </w:p>
        </w:tc>
      </w:tr>
      <w:tr w:rsidR="008A2BF9" w:rsidRPr="0098660A" w14:paraId="53897622" w14:textId="77777777" w:rsidTr="008A2BF9">
        <w:tblPrEx>
          <w:tblCellMar>
            <w:top w:w="15" w:type="dxa"/>
            <w:bottom w:w="15" w:type="dxa"/>
          </w:tblCellMar>
          <w:tblLook w:val="04A0" w:firstRow="1" w:lastRow="0" w:firstColumn="1" w:lastColumn="0" w:noHBand="0" w:noVBand="1"/>
        </w:tblPrEx>
        <w:trPr>
          <w:cantSplit/>
          <w:trHeight w:val="20"/>
        </w:trPr>
        <w:tc>
          <w:tcPr>
            <w:tcW w:w="9085" w:type="dxa"/>
            <w:gridSpan w:val="8"/>
            <w:vAlign w:val="center"/>
          </w:tcPr>
          <w:p w14:paraId="60310493" w14:textId="77777777" w:rsidR="008A2BF9" w:rsidRPr="0098660A" w:rsidRDefault="008A2BF9" w:rsidP="000E2127">
            <w:pPr>
              <w:rPr>
                <w:rFonts w:ascii="Arial Narrow" w:hAnsi="Arial Narrow"/>
                <w:sz w:val="20"/>
                <w:szCs w:val="20"/>
              </w:rPr>
            </w:pPr>
            <w:r w:rsidRPr="0098660A">
              <w:rPr>
                <w:rFonts w:ascii="Arial Narrow" w:hAnsi="Arial Narrow" w:cs="Segoe UI"/>
                <w:b/>
                <w:bCs/>
                <w:color w:val="333333"/>
                <w:sz w:val="20"/>
                <w:szCs w:val="20"/>
                <w:lang w:eastAsia="en-US"/>
              </w:rPr>
              <w:t>Clinical criteria:</w:t>
            </w:r>
            <w:r w:rsidRPr="0098660A">
              <w:rPr>
                <w:rFonts w:ascii="Arial Narrow" w:hAnsi="Arial Narrow" w:cs="Segoe UI"/>
                <w:color w:val="333333"/>
                <w:sz w:val="20"/>
                <w:szCs w:val="20"/>
                <w:lang w:eastAsia="en-US"/>
              </w:rPr>
              <w:t> </w:t>
            </w:r>
          </w:p>
        </w:tc>
      </w:tr>
      <w:tr w:rsidR="008A2BF9" w:rsidRPr="0098660A" w14:paraId="146BDED4" w14:textId="77777777" w:rsidTr="008A2BF9">
        <w:tblPrEx>
          <w:tblCellMar>
            <w:top w:w="15" w:type="dxa"/>
            <w:bottom w:w="15" w:type="dxa"/>
          </w:tblCellMar>
          <w:tblLook w:val="04A0" w:firstRow="1" w:lastRow="0" w:firstColumn="1" w:lastColumn="0" w:noHBand="0" w:noVBand="1"/>
        </w:tblPrEx>
        <w:trPr>
          <w:cantSplit/>
          <w:trHeight w:val="20"/>
        </w:trPr>
        <w:tc>
          <w:tcPr>
            <w:tcW w:w="9085" w:type="dxa"/>
            <w:gridSpan w:val="8"/>
            <w:vAlign w:val="center"/>
          </w:tcPr>
          <w:p w14:paraId="3A98D68E" w14:textId="77777777" w:rsidR="008A2BF9" w:rsidRPr="0098660A" w:rsidRDefault="008A2BF9" w:rsidP="000E2127">
            <w:pPr>
              <w:rPr>
                <w:rFonts w:ascii="Arial Narrow" w:hAnsi="Arial Narrow"/>
                <w:sz w:val="20"/>
                <w:szCs w:val="20"/>
              </w:rPr>
            </w:pPr>
            <w:r w:rsidRPr="0098660A">
              <w:rPr>
                <w:rFonts w:ascii="Arial Narrow" w:hAnsi="Arial Narrow"/>
                <w:sz w:val="20"/>
                <w:szCs w:val="20"/>
              </w:rPr>
              <w:t>Patient must have received treatment with at least one C5 inhibitor for at least 3 months before initiating treatment with this drug unless intolerance of severity necessitating permanent treatment withdrawal had occurred</w:t>
            </w:r>
          </w:p>
        </w:tc>
      </w:tr>
      <w:tr w:rsidR="008A2BF9" w:rsidRPr="0098660A" w14:paraId="2B4A3F1C" w14:textId="77777777" w:rsidTr="008A2BF9">
        <w:tblPrEx>
          <w:tblCellMar>
            <w:top w:w="15" w:type="dxa"/>
            <w:bottom w:w="15" w:type="dxa"/>
          </w:tblCellMar>
          <w:tblLook w:val="04A0" w:firstRow="1" w:lastRow="0" w:firstColumn="1" w:lastColumn="0" w:noHBand="0" w:noVBand="1"/>
        </w:tblPrEx>
        <w:trPr>
          <w:cantSplit/>
          <w:trHeight w:val="20"/>
        </w:trPr>
        <w:tc>
          <w:tcPr>
            <w:tcW w:w="9085" w:type="dxa"/>
            <w:gridSpan w:val="8"/>
            <w:vAlign w:val="center"/>
          </w:tcPr>
          <w:p w14:paraId="639A2354" w14:textId="77777777" w:rsidR="008A2BF9" w:rsidRPr="0098660A" w:rsidRDefault="008A2BF9" w:rsidP="000E2127">
            <w:pPr>
              <w:autoSpaceDE w:val="0"/>
              <w:autoSpaceDN w:val="0"/>
              <w:adjustRightInd w:val="0"/>
              <w:rPr>
                <w:rFonts w:ascii="Arial Narrow" w:hAnsi="Arial Narrow" w:cs="Arial Narrow"/>
                <w:sz w:val="20"/>
                <w:szCs w:val="20"/>
              </w:rPr>
            </w:pPr>
            <w:r w:rsidRPr="0098660A">
              <w:rPr>
                <w:rFonts w:ascii="Arial Narrow" w:hAnsi="Arial Narrow" w:cs="Segoe UI"/>
                <w:b/>
                <w:bCs/>
                <w:color w:val="333333"/>
                <w:sz w:val="20"/>
                <w:szCs w:val="20"/>
                <w:lang w:eastAsia="en-US"/>
              </w:rPr>
              <w:t>AND</w:t>
            </w:r>
            <w:r w:rsidRPr="0098660A">
              <w:rPr>
                <w:rFonts w:ascii="Arial Narrow" w:hAnsi="Arial Narrow" w:cs="Segoe UI"/>
                <w:color w:val="333333"/>
                <w:sz w:val="20"/>
                <w:szCs w:val="20"/>
                <w:lang w:eastAsia="en-US"/>
              </w:rPr>
              <w:t> </w:t>
            </w:r>
          </w:p>
        </w:tc>
      </w:tr>
      <w:tr w:rsidR="008A2BF9" w:rsidRPr="0098660A" w14:paraId="66DF68A7" w14:textId="77777777" w:rsidTr="008A2BF9">
        <w:tblPrEx>
          <w:tblCellMar>
            <w:top w:w="15" w:type="dxa"/>
            <w:bottom w:w="15" w:type="dxa"/>
          </w:tblCellMar>
          <w:tblLook w:val="04A0" w:firstRow="1" w:lastRow="0" w:firstColumn="1" w:lastColumn="0" w:noHBand="0" w:noVBand="1"/>
        </w:tblPrEx>
        <w:trPr>
          <w:cantSplit/>
          <w:trHeight w:val="20"/>
        </w:trPr>
        <w:tc>
          <w:tcPr>
            <w:tcW w:w="9085" w:type="dxa"/>
            <w:gridSpan w:val="8"/>
            <w:vAlign w:val="center"/>
          </w:tcPr>
          <w:p w14:paraId="4331C1AA" w14:textId="77777777" w:rsidR="008A2BF9" w:rsidRPr="0098660A" w:rsidRDefault="008A2BF9" w:rsidP="000E2127">
            <w:pPr>
              <w:autoSpaceDE w:val="0"/>
              <w:autoSpaceDN w:val="0"/>
              <w:adjustRightInd w:val="0"/>
              <w:rPr>
                <w:rFonts w:ascii="Arial Narrow" w:hAnsi="Arial Narrow" w:cs="Arial Narrow"/>
                <w:b/>
                <w:bCs/>
                <w:strike/>
                <w:sz w:val="20"/>
                <w:szCs w:val="20"/>
              </w:rPr>
            </w:pPr>
            <w:r w:rsidRPr="0098660A">
              <w:rPr>
                <w:rFonts w:ascii="Arial Narrow" w:hAnsi="Arial Narrow" w:cs="Segoe UI"/>
                <w:b/>
                <w:bCs/>
                <w:color w:val="333333"/>
                <w:sz w:val="20"/>
                <w:szCs w:val="20"/>
                <w:lang w:eastAsia="en-US"/>
              </w:rPr>
              <w:t>Clinical criteria:</w:t>
            </w:r>
            <w:r w:rsidRPr="0098660A">
              <w:rPr>
                <w:rFonts w:ascii="Arial Narrow" w:hAnsi="Arial Narrow" w:cs="Segoe UI"/>
                <w:color w:val="333333"/>
                <w:sz w:val="20"/>
                <w:szCs w:val="20"/>
                <w:lang w:eastAsia="en-US"/>
              </w:rPr>
              <w:t> </w:t>
            </w:r>
          </w:p>
        </w:tc>
      </w:tr>
      <w:tr w:rsidR="008A2BF9" w:rsidRPr="0098660A" w14:paraId="0503C119" w14:textId="77777777" w:rsidTr="008A2BF9">
        <w:tblPrEx>
          <w:tblCellMar>
            <w:top w:w="15" w:type="dxa"/>
            <w:bottom w:w="15" w:type="dxa"/>
          </w:tblCellMar>
          <w:tblLook w:val="04A0" w:firstRow="1" w:lastRow="0" w:firstColumn="1" w:lastColumn="0" w:noHBand="0" w:noVBand="1"/>
        </w:tblPrEx>
        <w:trPr>
          <w:cantSplit/>
          <w:trHeight w:val="20"/>
        </w:trPr>
        <w:tc>
          <w:tcPr>
            <w:tcW w:w="9085" w:type="dxa"/>
            <w:gridSpan w:val="8"/>
            <w:vAlign w:val="center"/>
          </w:tcPr>
          <w:p w14:paraId="67641197" w14:textId="77777777" w:rsidR="008A2BF9" w:rsidRPr="0098660A" w:rsidRDefault="008A2BF9" w:rsidP="000E2127">
            <w:pPr>
              <w:autoSpaceDE w:val="0"/>
              <w:autoSpaceDN w:val="0"/>
              <w:adjustRightInd w:val="0"/>
              <w:rPr>
                <w:rFonts w:ascii="Arial Narrow" w:hAnsi="Arial Narrow" w:cs="Segoe UI"/>
                <w:color w:val="333333"/>
                <w:sz w:val="20"/>
                <w:szCs w:val="20"/>
                <w:lang w:eastAsia="en-US"/>
              </w:rPr>
            </w:pPr>
            <w:r w:rsidRPr="0098660A">
              <w:rPr>
                <w:rFonts w:ascii="Arial Narrow" w:hAnsi="Arial Narrow" w:cs="Segoe UI"/>
                <w:color w:val="333333"/>
                <w:sz w:val="20"/>
                <w:szCs w:val="20"/>
                <w:lang w:eastAsia="en-US"/>
              </w:rPr>
              <w:t>The treatment must be in combination with one PBS-subsidised C5 inhibitor for a period of 4 weeks during initiation of therapy</w:t>
            </w:r>
          </w:p>
        </w:tc>
      </w:tr>
      <w:tr w:rsidR="008A2BF9" w:rsidRPr="0098660A" w14:paraId="3806C6D1" w14:textId="77777777" w:rsidTr="008A2BF9">
        <w:tblPrEx>
          <w:tblCellMar>
            <w:top w:w="15" w:type="dxa"/>
            <w:bottom w:w="15" w:type="dxa"/>
          </w:tblCellMar>
          <w:tblLook w:val="04A0" w:firstRow="1" w:lastRow="0" w:firstColumn="1" w:lastColumn="0" w:noHBand="0" w:noVBand="1"/>
        </w:tblPrEx>
        <w:trPr>
          <w:cantSplit/>
          <w:trHeight w:val="20"/>
        </w:trPr>
        <w:tc>
          <w:tcPr>
            <w:tcW w:w="9085" w:type="dxa"/>
            <w:gridSpan w:val="8"/>
            <w:vAlign w:val="center"/>
          </w:tcPr>
          <w:p w14:paraId="178DDA92" w14:textId="77777777" w:rsidR="008A2BF9" w:rsidRPr="0098660A" w:rsidRDefault="008A2BF9" w:rsidP="000E2127">
            <w:pPr>
              <w:autoSpaceDE w:val="0"/>
              <w:autoSpaceDN w:val="0"/>
              <w:adjustRightInd w:val="0"/>
              <w:rPr>
                <w:rFonts w:ascii="Arial Narrow" w:hAnsi="Arial Narrow" w:cs="Arial Narrow"/>
                <w:sz w:val="20"/>
                <w:szCs w:val="20"/>
              </w:rPr>
            </w:pPr>
            <w:r w:rsidRPr="0098660A">
              <w:rPr>
                <w:rFonts w:ascii="Arial Narrow" w:hAnsi="Arial Narrow" w:cs="Segoe UI"/>
                <w:b/>
                <w:bCs/>
                <w:sz w:val="20"/>
                <w:szCs w:val="20"/>
              </w:rPr>
              <w:t>Treatment criteria:</w:t>
            </w:r>
          </w:p>
        </w:tc>
      </w:tr>
      <w:tr w:rsidR="008A2BF9" w:rsidRPr="0098660A" w14:paraId="15637D11" w14:textId="77777777" w:rsidTr="008A2BF9">
        <w:tblPrEx>
          <w:tblCellMar>
            <w:top w:w="15" w:type="dxa"/>
            <w:bottom w:w="15" w:type="dxa"/>
          </w:tblCellMar>
          <w:tblLook w:val="04A0" w:firstRow="1" w:lastRow="0" w:firstColumn="1" w:lastColumn="0" w:noHBand="0" w:noVBand="1"/>
        </w:tblPrEx>
        <w:trPr>
          <w:cantSplit/>
          <w:trHeight w:val="20"/>
        </w:trPr>
        <w:tc>
          <w:tcPr>
            <w:tcW w:w="9085" w:type="dxa"/>
            <w:gridSpan w:val="8"/>
            <w:vAlign w:val="center"/>
          </w:tcPr>
          <w:p w14:paraId="3D4B8614" w14:textId="77777777" w:rsidR="008A2BF9" w:rsidRPr="0098660A" w:rsidRDefault="008A2BF9" w:rsidP="000E2127">
            <w:pPr>
              <w:autoSpaceDE w:val="0"/>
              <w:autoSpaceDN w:val="0"/>
              <w:adjustRightInd w:val="0"/>
              <w:rPr>
                <w:rFonts w:ascii="Arial Narrow" w:hAnsi="Arial Narrow" w:cs="Arial Narrow"/>
                <w:sz w:val="20"/>
                <w:szCs w:val="20"/>
              </w:rPr>
            </w:pPr>
            <w:r w:rsidRPr="0098660A">
              <w:rPr>
                <w:rFonts w:ascii="Arial Narrow" w:hAnsi="Arial Narrow" w:cs="Arial Narrow"/>
                <w:sz w:val="20"/>
                <w:szCs w:val="20"/>
              </w:rPr>
              <w:t>Must be treated by a haematologist; or</w:t>
            </w:r>
          </w:p>
        </w:tc>
      </w:tr>
      <w:tr w:rsidR="008A2BF9" w:rsidRPr="0098660A" w14:paraId="67FAFBF4" w14:textId="77777777" w:rsidTr="008A2BF9">
        <w:tblPrEx>
          <w:tblCellMar>
            <w:top w:w="15" w:type="dxa"/>
            <w:bottom w:w="15" w:type="dxa"/>
          </w:tblCellMar>
          <w:tblLook w:val="04A0" w:firstRow="1" w:lastRow="0" w:firstColumn="1" w:lastColumn="0" w:noHBand="0" w:noVBand="1"/>
        </w:tblPrEx>
        <w:trPr>
          <w:cantSplit/>
          <w:trHeight w:val="20"/>
        </w:trPr>
        <w:tc>
          <w:tcPr>
            <w:tcW w:w="9085" w:type="dxa"/>
            <w:gridSpan w:val="8"/>
            <w:vAlign w:val="center"/>
          </w:tcPr>
          <w:p w14:paraId="370222BA" w14:textId="77777777" w:rsidR="008A2BF9" w:rsidRPr="0098660A" w:rsidRDefault="008A2BF9" w:rsidP="000E2127">
            <w:pPr>
              <w:autoSpaceDE w:val="0"/>
              <w:autoSpaceDN w:val="0"/>
              <w:adjustRightInd w:val="0"/>
              <w:rPr>
                <w:rFonts w:ascii="Arial Narrow" w:hAnsi="Arial Narrow" w:cs="Arial Narrow"/>
                <w:sz w:val="20"/>
                <w:szCs w:val="20"/>
              </w:rPr>
            </w:pPr>
            <w:r w:rsidRPr="0098660A">
              <w:rPr>
                <w:rFonts w:ascii="Arial Narrow" w:hAnsi="Arial Narrow" w:cs="Arial Narrow"/>
                <w:sz w:val="20"/>
                <w:szCs w:val="20"/>
              </w:rPr>
              <w:t>Must be treated by a non-specialist medical physician who has consulted a haematologist on the patient's drug treatment details.</w:t>
            </w:r>
          </w:p>
        </w:tc>
      </w:tr>
      <w:tr w:rsidR="008A2BF9" w:rsidRPr="0098660A" w14:paraId="687B952F" w14:textId="77777777" w:rsidTr="008A2BF9">
        <w:tblPrEx>
          <w:tblCellMar>
            <w:top w:w="15" w:type="dxa"/>
            <w:bottom w:w="15" w:type="dxa"/>
          </w:tblCellMar>
          <w:tblLook w:val="04A0" w:firstRow="1" w:lastRow="0" w:firstColumn="1" w:lastColumn="0" w:noHBand="0" w:noVBand="1"/>
        </w:tblPrEx>
        <w:trPr>
          <w:cantSplit/>
          <w:trHeight w:val="20"/>
        </w:trPr>
        <w:tc>
          <w:tcPr>
            <w:tcW w:w="9085" w:type="dxa"/>
            <w:gridSpan w:val="8"/>
            <w:vAlign w:val="center"/>
          </w:tcPr>
          <w:p w14:paraId="0B8AD78B" w14:textId="77777777" w:rsidR="008A2BF9" w:rsidRPr="0098660A" w:rsidRDefault="008A2BF9" w:rsidP="000E2127">
            <w:pPr>
              <w:autoSpaceDE w:val="0"/>
              <w:autoSpaceDN w:val="0"/>
              <w:adjustRightInd w:val="0"/>
              <w:rPr>
                <w:rFonts w:ascii="Arial Narrow" w:hAnsi="Arial Narrow" w:cs="Arial Narrow"/>
                <w:b/>
                <w:bCs/>
                <w:sz w:val="20"/>
                <w:szCs w:val="20"/>
              </w:rPr>
            </w:pPr>
            <w:r w:rsidRPr="0098660A">
              <w:rPr>
                <w:rFonts w:ascii="Arial Narrow" w:hAnsi="Arial Narrow" w:cs="Arial Narrow"/>
                <w:b/>
                <w:bCs/>
                <w:sz w:val="20"/>
                <w:szCs w:val="20"/>
              </w:rPr>
              <w:t>Population criteria:</w:t>
            </w:r>
          </w:p>
        </w:tc>
      </w:tr>
      <w:tr w:rsidR="008A2BF9" w:rsidRPr="0098660A" w14:paraId="184B4D28" w14:textId="77777777" w:rsidTr="008A2BF9">
        <w:tblPrEx>
          <w:tblCellMar>
            <w:top w:w="15" w:type="dxa"/>
            <w:bottom w:w="15" w:type="dxa"/>
          </w:tblCellMar>
          <w:tblLook w:val="04A0" w:firstRow="1" w:lastRow="0" w:firstColumn="1" w:lastColumn="0" w:noHBand="0" w:noVBand="1"/>
        </w:tblPrEx>
        <w:trPr>
          <w:cantSplit/>
          <w:trHeight w:val="20"/>
        </w:trPr>
        <w:tc>
          <w:tcPr>
            <w:tcW w:w="9085" w:type="dxa"/>
            <w:gridSpan w:val="8"/>
            <w:vAlign w:val="center"/>
          </w:tcPr>
          <w:p w14:paraId="58643B7F" w14:textId="77777777" w:rsidR="008A2BF9" w:rsidRPr="0098660A" w:rsidRDefault="008A2BF9" w:rsidP="000E2127">
            <w:pPr>
              <w:autoSpaceDE w:val="0"/>
              <w:autoSpaceDN w:val="0"/>
              <w:adjustRightInd w:val="0"/>
              <w:rPr>
                <w:rFonts w:ascii="Arial Narrow" w:hAnsi="Arial Narrow" w:cs="Arial Narrow"/>
                <w:sz w:val="20"/>
                <w:szCs w:val="20"/>
              </w:rPr>
            </w:pPr>
            <w:r w:rsidRPr="0098660A">
              <w:rPr>
                <w:rFonts w:ascii="Arial Narrow" w:hAnsi="Arial Narrow" w:cs="Arial Narrow"/>
                <w:sz w:val="20"/>
                <w:szCs w:val="20"/>
              </w:rPr>
              <w:t>Patient must be at least 18 years of age</w:t>
            </w:r>
          </w:p>
        </w:tc>
      </w:tr>
      <w:tr w:rsidR="008A2BF9" w:rsidRPr="0098660A" w14:paraId="426A43DB" w14:textId="77777777" w:rsidTr="008A2BF9">
        <w:tblPrEx>
          <w:tblCellMar>
            <w:top w:w="15" w:type="dxa"/>
            <w:bottom w:w="15" w:type="dxa"/>
          </w:tblCellMar>
          <w:tblLook w:val="04A0" w:firstRow="1" w:lastRow="0" w:firstColumn="1" w:lastColumn="0" w:noHBand="0" w:noVBand="1"/>
        </w:tblPrEx>
        <w:trPr>
          <w:cantSplit/>
          <w:trHeight w:val="20"/>
        </w:trPr>
        <w:tc>
          <w:tcPr>
            <w:tcW w:w="9085" w:type="dxa"/>
            <w:gridSpan w:val="8"/>
            <w:vAlign w:val="center"/>
          </w:tcPr>
          <w:p w14:paraId="7D9B18FA" w14:textId="77777777" w:rsidR="008A2BF9" w:rsidRPr="0098660A" w:rsidRDefault="008A2BF9" w:rsidP="000E2127">
            <w:pPr>
              <w:rPr>
                <w:rFonts w:ascii="Arial Narrow" w:hAnsi="Arial Narrow" w:cs="Times New Roman"/>
                <w:sz w:val="20"/>
                <w:szCs w:val="20"/>
              </w:rPr>
            </w:pPr>
            <w:r w:rsidRPr="0098660A">
              <w:rPr>
                <w:rFonts w:ascii="Arial Narrow" w:hAnsi="Arial Narrow" w:cs="Times New Roman"/>
                <w:b/>
                <w:bCs/>
                <w:sz w:val="20"/>
                <w:szCs w:val="20"/>
              </w:rPr>
              <w:t xml:space="preserve">Prescribing Instructions: </w:t>
            </w:r>
          </w:p>
          <w:p w14:paraId="421A3039" w14:textId="77777777" w:rsidR="008A2BF9" w:rsidRPr="0098660A" w:rsidRDefault="008A2BF9" w:rsidP="51A4B722">
            <w:pPr>
              <w:rPr>
                <w:rFonts w:ascii="Arial Narrow" w:hAnsi="Arial Narrow" w:cs="Times New Roman"/>
                <w:strike/>
                <w:sz w:val="20"/>
                <w:szCs w:val="20"/>
              </w:rPr>
            </w:pPr>
            <w:r w:rsidRPr="0098660A">
              <w:rPr>
                <w:rFonts w:ascii="Arial Narrow" w:hAnsi="Arial Narrow" w:cs="Times New Roman"/>
                <w:strike/>
                <w:sz w:val="20"/>
                <w:szCs w:val="20"/>
              </w:rPr>
              <w:t>The authority application must be made in writing and must include:</w:t>
            </w:r>
          </w:p>
          <w:p w14:paraId="718808AC" w14:textId="26409197" w:rsidR="008A2BF9" w:rsidRPr="0098660A" w:rsidRDefault="008A2BF9" w:rsidP="51A4B722">
            <w:pPr>
              <w:rPr>
                <w:rFonts w:ascii="Arial Narrow" w:hAnsi="Arial Narrow" w:cs="Times New Roman"/>
                <w:i/>
                <w:iCs/>
                <w:sz w:val="20"/>
                <w:szCs w:val="20"/>
              </w:rPr>
            </w:pPr>
            <w:r w:rsidRPr="0098660A">
              <w:rPr>
                <w:rFonts w:ascii="Arial Narrow" w:hAnsi="Arial Narrow" w:cs="Times New Roman"/>
                <w:i/>
                <w:iCs/>
                <w:sz w:val="20"/>
                <w:szCs w:val="20"/>
              </w:rPr>
              <w:t>If the application is submitted through HPOS form upload or mail, it must include:</w:t>
            </w:r>
          </w:p>
          <w:p w14:paraId="01B8C8DD" w14:textId="78F93C96" w:rsidR="008A2BF9" w:rsidRPr="0098660A" w:rsidRDefault="008A2BF9" w:rsidP="000E2127">
            <w:pPr>
              <w:rPr>
                <w:rFonts w:ascii="Arial Narrow" w:hAnsi="Arial Narrow" w:cs="Times New Roman"/>
                <w:sz w:val="20"/>
                <w:szCs w:val="20"/>
              </w:rPr>
            </w:pPr>
            <w:r w:rsidRPr="0098660A">
              <w:rPr>
                <w:rFonts w:ascii="Arial Narrow" w:hAnsi="Arial Narrow" w:cs="Times New Roman"/>
                <w:strike/>
                <w:sz w:val="20"/>
                <w:szCs w:val="20"/>
              </w:rPr>
              <w:t>(1)</w:t>
            </w:r>
            <w:r w:rsidRPr="0098660A">
              <w:rPr>
                <w:rFonts w:ascii="Arial Narrow" w:hAnsi="Arial Narrow" w:cs="Times New Roman"/>
                <w:sz w:val="20"/>
                <w:szCs w:val="20"/>
              </w:rPr>
              <w:t xml:space="preserve"> </w:t>
            </w:r>
            <w:r w:rsidRPr="0098660A">
              <w:rPr>
                <w:rFonts w:ascii="Arial Narrow" w:hAnsi="Arial Narrow" w:cs="Times New Roman"/>
                <w:i/>
                <w:iCs/>
                <w:sz w:val="20"/>
                <w:szCs w:val="20"/>
              </w:rPr>
              <w:t xml:space="preserve">(i) </w:t>
            </w:r>
            <w:r w:rsidRPr="0098660A">
              <w:rPr>
                <w:rFonts w:ascii="Arial Narrow" w:hAnsi="Arial Narrow" w:cs="Times New Roman"/>
                <w:strike/>
                <w:sz w:val="20"/>
                <w:szCs w:val="20"/>
              </w:rPr>
              <w:t>a completed authority prescription form;</w:t>
            </w:r>
            <w:r w:rsidRPr="0098660A">
              <w:rPr>
                <w:rFonts w:ascii="Arial Narrow" w:hAnsi="Arial Narrow" w:cs="Times New Roman"/>
                <w:sz w:val="20"/>
                <w:szCs w:val="20"/>
              </w:rPr>
              <w:t xml:space="preserve"> details of the proposed prescription; and</w:t>
            </w:r>
          </w:p>
          <w:p w14:paraId="28FE64B5" w14:textId="4AFEE069" w:rsidR="008A2BF9" w:rsidRPr="0098660A" w:rsidRDefault="008A2BF9" w:rsidP="000E2127">
            <w:pPr>
              <w:rPr>
                <w:rFonts w:ascii="Arial Narrow" w:hAnsi="Arial Narrow" w:cs="Times New Roman"/>
                <w:sz w:val="20"/>
                <w:szCs w:val="20"/>
              </w:rPr>
            </w:pPr>
            <w:r w:rsidRPr="0098660A">
              <w:rPr>
                <w:rFonts w:ascii="Arial Narrow" w:hAnsi="Arial Narrow" w:cs="Times New Roman"/>
                <w:strike/>
                <w:sz w:val="20"/>
                <w:szCs w:val="20"/>
              </w:rPr>
              <w:t>(2)</w:t>
            </w:r>
            <w:r w:rsidRPr="0098660A">
              <w:rPr>
                <w:rFonts w:ascii="Arial Narrow" w:hAnsi="Arial Narrow" w:cs="Times New Roman"/>
                <w:sz w:val="20"/>
                <w:szCs w:val="20"/>
              </w:rPr>
              <w:t xml:space="preserve"> </w:t>
            </w:r>
            <w:r w:rsidRPr="0098660A">
              <w:rPr>
                <w:rFonts w:ascii="Arial Narrow" w:hAnsi="Arial Narrow" w:cs="Times New Roman"/>
                <w:i/>
                <w:iCs/>
                <w:sz w:val="20"/>
                <w:szCs w:val="20"/>
              </w:rPr>
              <w:t xml:space="preserve">(ii) </w:t>
            </w:r>
            <w:r w:rsidRPr="0098660A">
              <w:rPr>
                <w:rFonts w:ascii="Arial Narrow" w:hAnsi="Arial Narrow" w:cs="Times New Roman"/>
                <w:sz w:val="20"/>
                <w:szCs w:val="20"/>
              </w:rPr>
              <w:t>a completed authority application form relevant to the indication and treatment phase (the latest version is located on the website specified in the Administrative Advice).</w:t>
            </w:r>
          </w:p>
        </w:tc>
      </w:tr>
      <w:tr w:rsidR="008A2BF9" w:rsidRPr="0098660A" w14:paraId="742CB712" w14:textId="77777777" w:rsidTr="008A2BF9">
        <w:tblPrEx>
          <w:tblCellMar>
            <w:top w:w="15" w:type="dxa"/>
            <w:bottom w:w="15" w:type="dxa"/>
          </w:tblCellMar>
          <w:tblLook w:val="04A0" w:firstRow="1" w:lastRow="0" w:firstColumn="1" w:lastColumn="0" w:noHBand="0" w:noVBand="1"/>
        </w:tblPrEx>
        <w:trPr>
          <w:cantSplit/>
          <w:trHeight w:val="20"/>
        </w:trPr>
        <w:tc>
          <w:tcPr>
            <w:tcW w:w="9085" w:type="dxa"/>
            <w:gridSpan w:val="8"/>
            <w:vAlign w:val="center"/>
            <w:hideMark/>
          </w:tcPr>
          <w:p w14:paraId="56AD63BA" w14:textId="77777777" w:rsidR="008A2BF9" w:rsidRPr="0098660A" w:rsidRDefault="008A2BF9" w:rsidP="000E2127">
            <w:pPr>
              <w:rPr>
                <w:rFonts w:ascii="Arial Narrow" w:hAnsi="Arial Narrow" w:cs="Times New Roman"/>
                <w:sz w:val="20"/>
                <w:szCs w:val="20"/>
              </w:rPr>
            </w:pPr>
            <w:r w:rsidRPr="0098660A">
              <w:rPr>
                <w:rFonts w:ascii="Arial Narrow" w:hAnsi="Arial Narrow" w:cs="Times New Roman"/>
                <w:b/>
                <w:bCs/>
                <w:sz w:val="20"/>
                <w:szCs w:val="20"/>
              </w:rPr>
              <w:t xml:space="preserve">Prescribing Instructions: </w:t>
            </w:r>
          </w:p>
          <w:p w14:paraId="54D7C1A5" w14:textId="77777777" w:rsidR="008A2BF9" w:rsidRPr="0098660A" w:rsidRDefault="008A2BF9" w:rsidP="000E2127">
            <w:pPr>
              <w:rPr>
                <w:rFonts w:ascii="Arial Narrow" w:hAnsi="Arial Narrow"/>
                <w:sz w:val="20"/>
                <w:szCs w:val="20"/>
              </w:rPr>
            </w:pPr>
            <w:r w:rsidRPr="0098660A">
              <w:rPr>
                <w:rFonts w:ascii="Arial Narrow" w:hAnsi="Arial Narrow" w:cs="Times New Roman"/>
                <w:sz w:val="20"/>
                <w:szCs w:val="20"/>
              </w:rPr>
              <w:t>At the time of the authority application, medical practitioners must request the appropriate number of vials for 4 weeks supply per dispensing as per the Product Information.</w:t>
            </w:r>
          </w:p>
        </w:tc>
      </w:tr>
      <w:tr w:rsidR="008A2BF9" w:rsidRPr="0098660A" w14:paraId="7606162D" w14:textId="77777777" w:rsidTr="008A2BF9">
        <w:tblPrEx>
          <w:tblCellMar>
            <w:top w:w="15" w:type="dxa"/>
            <w:bottom w:w="15" w:type="dxa"/>
          </w:tblCellMar>
          <w:tblLook w:val="04A0" w:firstRow="1" w:lastRow="0" w:firstColumn="1" w:lastColumn="0" w:noHBand="0" w:noVBand="1"/>
        </w:tblPrEx>
        <w:trPr>
          <w:cantSplit/>
          <w:trHeight w:val="20"/>
        </w:trPr>
        <w:tc>
          <w:tcPr>
            <w:tcW w:w="9085" w:type="dxa"/>
            <w:gridSpan w:val="8"/>
            <w:vAlign w:val="center"/>
          </w:tcPr>
          <w:p w14:paraId="2F11005B" w14:textId="77777777" w:rsidR="008A2BF9" w:rsidRPr="0098660A" w:rsidRDefault="008A2BF9" w:rsidP="000E2127">
            <w:pPr>
              <w:rPr>
                <w:rFonts w:ascii="Arial Narrow" w:hAnsi="Arial Narrow" w:cs="Times New Roman"/>
                <w:b/>
                <w:bCs/>
                <w:sz w:val="20"/>
                <w:szCs w:val="20"/>
              </w:rPr>
            </w:pPr>
            <w:r w:rsidRPr="0098660A">
              <w:rPr>
                <w:rFonts w:ascii="Arial Narrow" w:hAnsi="Arial Narrow" w:cs="Times New Roman"/>
                <w:b/>
                <w:bCs/>
                <w:sz w:val="20"/>
                <w:szCs w:val="20"/>
              </w:rPr>
              <w:lastRenderedPageBreak/>
              <w:t>Prescribing Instructions:</w:t>
            </w:r>
          </w:p>
          <w:p w14:paraId="3A4778A1" w14:textId="77777777" w:rsidR="008A2BF9" w:rsidRPr="0098660A" w:rsidRDefault="008A2BF9" w:rsidP="000E2127">
            <w:pPr>
              <w:rPr>
                <w:rFonts w:ascii="Arial Narrow" w:hAnsi="Arial Narrow" w:cs="Times New Roman"/>
                <w:sz w:val="20"/>
                <w:szCs w:val="20"/>
              </w:rPr>
            </w:pPr>
            <w:r w:rsidRPr="0098660A">
              <w:rPr>
                <w:rFonts w:ascii="Arial Narrow" w:hAnsi="Arial Narrow" w:cs="Times New Roman"/>
                <w:sz w:val="20"/>
                <w:szCs w:val="20"/>
              </w:rPr>
              <w:t>At the time of the authority application, details (result and date of result) of the following monitoring requirements must be provided:</w:t>
            </w:r>
          </w:p>
          <w:p w14:paraId="62EB7C99" w14:textId="77777777" w:rsidR="008A2BF9" w:rsidRPr="0098660A" w:rsidRDefault="008A2BF9" w:rsidP="000E2127">
            <w:pPr>
              <w:rPr>
                <w:rFonts w:ascii="Arial Narrow" w:hAnsi="Arial Narrow" w:cs="Times New Roman"/>
                <w:sz w:val="20"/>
                <w:szCs w:val="20"/>
              </w:rPr>
            </w:pPr>
            <w:r w:rsidRPr="0098660A">
              <w:rPr>
                <w:rFonts w:ascii="Arial Narrow" w:hAnsi="Arial Narrow" w:cs="Times New Roman"/>
                <w:sz w:val="20"/>
                <w:szCs w:val="20"/>
              </w:rPr>
              <w:t>(i) Haemoglobin (g/L)</w:t>
            </w:r>
          </w:p>
          <w:p w14:paraId="7F17D7B0" w14:textId="77777777" w:rsidR="008A2BF9" w:rsidRPr="0098660A" w:rsidRDefault="008A2BF9" w:rsidP="000E2127">
            <w:pPr>
              <w:rPr>
                <w:rFonts w:ascii="Arial Narrow" w:hAnsi="Arial Narrow" w:cs="Times New Roman"/>
                <w:sz w:val="20"/>
                <w:szCs w:val="20"/>
              </w:rPr>
            </w:pPr>
            <w:r w:rsidRPr="0098660A">
              <w:rPr>
                <w:rFonts w:ascii="Arial Narrow" w:hAnsi="Arial Narrow" w:cs="Times New Roman"/>
                <w:sz w:val="20"/>
                <w:szCs w:val="20"/>
              </w:rPr>
              <w:t>(ii) Platelets (x10</w:t>
            </w:r>
            <w:r w:rsidRPr="0098660A">
              <w:rPr>
                <w:rFonts w:ascii="Arial Narrow" w:hAnsi="Arial Narrow" w:cs="Times New Roman"/>
                <w:sz w:val="20"/>
                <w:szCs w:val="20"/>
                <w:vertAlign w:val="superscript"/>
              </w:rPr>
              <w:t>9</w:t>
            </w:r>
            <w:r w:rsidRPr="0098660A">
              <w:rPr>
                <w:rFonts w:ascii="Arial Narrow" w:hAnsi="Arial Narrow" w:cs="Times New Roman"/>
                <w:sz w:val="20"/>
                <w:szCs w:val="20"/>
              </w:rPr>
              <w:t>/L)</w:t>
            </w:r>
          </w:p>
          <w:p w14:paraId="50BA8089" w14:textId="77777777" w:rsidR="008A2BF9" w:rsidRPr="0098660A" w:rsidRDefault="008A2BF9" w:rsidP="000E2127">
            <w:pPr>
              <w:rPr>
                <w:rFonts w:ascii="Arial Narrow" w:hAnsi="Arial Narrow" w:cs="Times New Roman"/>
                <w:sz w:val="20"/>
                <w:szCs w:val="20"/>
              </w:rPr>
            </w:pPr>
            <w:r w:rsidRPr="0098660A">
              <w:rPr>
                <w:rFonts w:ascii="Arial Narrow" w:hAnsi="Arial Narrow" w:cs="Times New Roman"/>
                <w:sz w:val="20"/>
                <w:szCs w:val="20"/>
              </w:rPr>
              <w:t>(iii) White Cell Count (x10</w:t>
            </w:r>
            <w:r w:rsidRPr="0098660A">
              <w:rPr>
                <w:rFonts w:ascii="Arial Narrow" w:hAnsi="Arial Narrow" w:cs="Times New Roman"/>
                <w:sz w:val="20"/>
                <w:szCs w:val="20"/>
                <w:vertAlign w:val="superscript"/>
              </w:rPr>
              <w:t>9</w:t>
            </w:r>
            <w:r w:rsidRPr="0098660A">
              <w:rPr>
                <w:rFonts w:ascii="Arial Narrow" w:hAnsi="Arial Narrow" w:cs="Times New Roman"/>
                <w:sz w:val="20"/>
                <w:szCs w:val="20"/>
              </w:rPr>
              <w:t>/L)</w:t>
            </w:r>
          </w:p>
          <w:p w14:paraId="1DE1DC84" w14:textId="77777777" w:rsidR="008A2BF9" w:rsidRPr="0098660A" w:rsidRDefault="008A2BF9" w:rsidP="000E2127">
            <w:pPr>
              <w:rPr>
                <w:rFonts w:ascii="Arial Narrow" w:hAnsi="Arial Narrow" w:cs="Times New Roman"/>
                <w:sz w:val="20"/>
                <w:szCs w:val="20"/>
              </w:rPr>
            </w:pPr>
            <w:r w:rsidRPr="0098660A">
              <w:rPr>
                <w:rFonts w:ascii="Arial Narrow" w:hAnsi="Arial Narrow" w:cs="Times New Roman"/>
                <w:sz w:val="20"/>
                <w:szCs w:val="20"/>
              </w:rPr>
              <w:t>(iv) Reticulocytes (x10</w:t>
            </w:r>
            <w:r w:rsidRPr="0098660A">
              <w:rPr>
                <w:rFonts w:ascii="Arial Narrow" w:hAnsi="Arial Narrow" w:cs="Times New Roman"/>
                <w:sz w:val="20"/>
                <w:szCs w:val="20"/>
                <w:vertAlign w:val="superscript"/>
              </w:rPr>
              <w:t>9</w:t>
            </w:r>
            <w:r w:rsidRPr="0098660A">
              <w:rPr>
                <w:rFonts w:ascii="Arial Narrow" w:hAnsi="Arial Narrow" w:cs="Times New Roman"/>
                <w:sz w:val="20"/>
                <w:szCs w:val="20"/>
              </w:rPr>
              <w:t>/L)</w:t>
            </w:r>
          </w:p>
          <w:p w14:paraId="7CD57822" w14:textId="77777777" w:rsidR="008A2BF9" w:rsidRPr="0098660A" w:rsidRDefault="008A2BF9" w:rsidP="000E2127">
            <w:pPr>
              <w:rPr>
                <w:rFonts w:ascii="Arial Narrow" w:hAnsi="Arial Narrow" w:cs="Times New Roman"/>
                <w:sz w:val="20"/>
                <w:szCs w:val="20"/>
              </w:rPr>
            </w:pPr>
            <w:r w:rsidRPr="0098660A">
              <w:rPr>
                <w:rFonts w:ascii="Arial Narrow" w:hAnsi="Arial Narrow" w:cs="Times New Roman"/>
                <w:sz w:val="20"/>
                <w:szCs w:val="20"/>
              </w:rPr>
              <w:t>(v) Neutrophils (x10</w:t>
            </w:r>
            <w:r w:rsidRPr="0098660A">
              <w:rPr>
                <w:rFonts w:ascii="Arial Narrow" w:hAnsi="Arial Narrow" w:cs="Times New Roman"/>
                <w:sz w:val="20"/>
                <w:szCs w:val="20"/>
                <w:vertAlign w:val="superscript"/>
              </w:rPr>
              <w:t>9</w:t>
            </w:r>
            <w:r w:rsidRPr="0098660A">
              <w:rPr>
                <w:rFonts w:ascii="Arial Narrow" w:hAnsi="Arial Narrow" w:cs="Times New Roman"/>
                <w:sz w:val="20"/>
                <w:szCs w:val="20"/>
              </w:rPr>
              <w:t>/L)</w:t>
            </w:r>
          </w:p>
          <w:p w14:paraId="246EBBCC" w14:textId="77777777" w:rsidR="008A2BF9" w:rsidRPr="0098660A" w:rsidRDefault="008A2BF9" w:rsidP="000E2127">
            <w:pPr>
              <w:rPr>
                <w:rFonts w:ascii="Arial Narrow" w:hAnsi="Arial Narrow" w:cs="Times New Roman"/>
                <w:sz w:val="20"/>
                <w:szCs w:val="20"/>
              </w:rPr>
            </w:pPr>
            <w:r w:rsidRPr="0098660A">
              <w:rPr>
                <w:rFonts w:ascii="Arial Narrow" w:hAnsi="Arial Narrow" w:cs="Times New Roman"/>
                <w:sz w:val="20"/>
                <w:szCs w:val="20"/>
              </w:rPr>
              <w:t>(vi) Granulocyte clone size (%)</w:t>
            </w:r>
          </w:p>
          <w:p w14:paraId="472735EF" w14:textId="77777777" w:rsidR="008A2BF9" w:rsidRPr="0098660A" w:rsidRDefault="008A2BF9" w:rsidP="000E2127">
            <w:pPr>
              <w:rPr>
                <w:rFonts w:ascii="Arial Narrow" w:hAnsi="Arial Narrow" w:cs="Times New Roman"/>
                <w:sz w:val="20"/>
                <w:szCs w:val="20"/>
              </w:rPr>
            </w:pPr>
            <w:r w:rsidRPr="0098660A">
              <w:rPr>
                <w:rFonts w:ascii="Arial Narrow" w:hAnsi="Arial Narrow" w:cs="Times New Roman"/>
                <w:sz w:val="20"/>
                <w:szCs w:val="20"/>
              </w:rPr>
              <w:t>(vii) Lactate Dehydrogenase (LDH)</w:t>
            </w:r>
          </w:p>
          <w:p w14:paraId="464CEDD6" w14:textId="77777777" w:rsidR="008A2BF9" w:rsidRPr="0098660A" w:rsidRDefault="008A2BF9" w:rsidP="000E2127">
            <w:pPr>
              <w:rPr>
                <w:rFonts w:ascii="Arial Narrow" w:hAnsi="Arial Narrow" w:cs="Times New Roman"/>
                <w:sz w:val="20"/>
                <w:szCs w:val="20"/>
              </w:rPr>
            </w:pPr>
            <w:r w:rsidRPr="0098660A">
              <w:rPr>
                <w:rFonts w:ascii="Arial Narrow" w:hAnsi="Arial Narrow" w:cs="Times New Roman"/>
                <w:sz w:val="20"/>
                <w:szCs w:val="20"/>
              </w:rPr>
              <w:t>(viii) the upper limit of normal (ULN) for LDH as quoted by the reporting laboratory</w:t>
            </w:r>
          </w:p>
          <w:p w14:paraId="104D06AF" w14:textId="77777777" w:rsidR="008A2BF9" w:rsidRPr="0098660A" w:rsidRDefault="008A2BF9" w:rsidP="000E2127">
            <w:pPr>
              <w:rPr>
                <w:rFonts w:ascii="Arial Narrow" w:hAnsi="Arial Narrow" w:cs="Times New Roman"/>
                <w:b/>
                <w:bCs/>
                <w:sz w:val="20"/>
                <w:szCs w:val="20"/>
              </w:rPr>
            </w:pPr>
            <w:r w:rsidRPr="0098660A">
              <w:rPr>
                <w:rFonts w:ascii="Arial Narrow" w:hAnsi="Arial Narrow" w:cs="Times New Roman"/>
                <w:sz w:val="20"/>
                <w:szCs w:val="20"/>
              </w:rPr>
              <w:t>(ix) the LDH:ULN ratio (in figures, rounded to one decimal place)</w:t>
            </w:r>
          </w:p>
        </w:tc>
      </w:tr>
    </w:tbl>
    <w:p w14:paraId="726A8043" w14:textId="77777777" w:rsidR="007718A0" w:rsidRPr="0098660A" w:rsidRDefault="007718A0" w:rsidP="004908CF">
      <w:pPr>
        <w:pStyle w:val="5-SubsectionSubheading"/>
        <w:rPr>
          <w:sz w:val="20"/>
        </w:rPr>
      </w:pPr>
      <w:r w:rsidRPr="0098660A">
        <w:t>Continuing and grandfather treatment:</w:t>
      </w:r>
      <w:r w:rsidRPr="0098660A">
        <w:rPr>
          <w:sz w:val="22"/>
          <w:szCs w:val="28"/>
        </w:rPr>
        <w:t xml:space="preserve"> </w:t>
      </w:r>
    </w:p>
    <w:tbl>
      <w:tblPr>
        <w:tblW w:w="50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2526"/>
        <w:gridCol w:w="1018"/>
        <w:gridCol w:w="605"/>
        <w:gridCol w:w="811"/>
        <w:gridCol w:w="812"/>
        <w:gridCol w:w="1907"/>
        <w:gridCol w:w="15"/>
      </w:tblGrid>
      <w:tr w:rsidR="007718A0" w:rsidRPr="0098660A" w14:paraId="119E994D" w14:textId="77777777" w:rsidTr="00027082">
        <w:trPr>
          <w:gridAfter w:val="1"/>
          <w:wAfter w:w="15" w:type="dxa"/>
          <w:cantSplit/>
          <w:trHeight w:val="20"/>
        </w:trPr>
        <w:tc>
          <w:tcPr>
            <w:tcW w:w="3945" w:type="dxa"/>
            <w:gridSpan w:val="2"/>
            <w:vAlign w:val="center"/>
          </w:tcPr>
          <w:p w14:paraId="4FC25A37" w14:textId="77777777" w:rsidR="007718A0" w:rsidRPr="0098660A" w:rsidRDefault="007718A0" w:rsidP="000E2127">
            <w:pPr>
              <w:keepLines/>
              <w:rPr>
                <w:rFonts w:ascii="Arial Narrow" w:hAnsi="Arial Narrow"/>
                <w:b/>
                <w:bCs/>
                <w:sz w:val="20"/>
                <w:szCs w:val="20"/>
              </w:rPr>
            </w:pPr>
            <w:r w:rsidRPr="0098660A">
              <w:rPr>
                <w:rFonts w:ascii="Arial Narrow" w:hAnsi="Arial Narrow"/>
                <w:b/>
                <w:bCs/>
                <w:sz w:val="20"/>
                <w:szCs w:val="20"/>
              </w:rPr>
              <w:t>MEDICINAL PRODUCT</w:t>
            </w:r>
          </w:p>
          <w:p w14:paraId="6E0BDF65" w14:textId="77777777" w:rsidR="007718A0" w:rsidRPr="0098660A" w:rsidRDefault="007718A0" w:rsidP="000E2127">
            <w:pPr>
              <w:keepLines/>
              <w:rPr>
                <w:rFonts w:ascii="Arial Narrow" w:hAnsi="Arial Narrow"/>
                <w:b/>
                <w:sz w:val="20"/>
                <w:szCs w:val="20"/>
              </w:rPr>
            </w:pPr>
            <w:r w:rsidRPr="0098660A">
              <w:rPr>
                <w:rFonts w:ascii="Arial Narrow" w:hAnsi="Arial Narrow"/>
                <w:b/>
                <w:bCs/>
                <w:sz w:val="20"/>
                <w:szCs w:val="20"/>
              </w:rPr>
              <w:t>medicinal product pack</w:t>
            </w:r>
          </w:p>
        </w:tc>
        <w:tc>
          <w:tcPr>
            <w:tcW w:w="1018" w:type="dxa"/>
            <w:vAlign w:val="center"/>
          </w:tcPr>
          <w:p w14:paraId="588629B7" w14:textId="77777777" w:rsidR="007718A0" w:rsidRPr="0098660A" w:rsidRDefault="007718A0" w:rsidP="000E2127">
            <w:pPr>
              <w:keepLines/>
              <w:jc w:val="center"/>
              <w:rPr>
                <w:rFonts w:ascii="Arial Narrow" w:hAnsi="Arial Narrow"/>
                <w:b/>
                <w:sz w:val="20"/>
                <w:szCs w:val="20"/>
              </w:rPr>
            </w:pPr>
            <w:r w:rsidRPr="0098660A">
              <w:rPr>
                <w:rFonts w:ascii="Arial Narrow" w:hAnsi="Arial Narrow"/>
                <w:b/>
                <w:sz w:val="20"/>
                <w:szCs w:val="20"/>
              </w:rPr>
              <w:t>PBS item code</w:t>
            </w:r>
          </w:p>
        </w:tc>
        <w:tc>
          <w:tcPr>
            <w:tcW w:w="605" w:type="dxa"/>
            <w:vAlign w:val="center"/>
          </w:tcPr>
          <w:p w14:paraId="2DFB2D6B" w14:textId="77777777" w:rsidR="007718A0" w:rsidRPr="0098660A" w:rsidRDefault="007718A0" w:rsidP="000E2127">
            <w:pPr>
              <w:keepLines/>
              <w:jc w:val="center"/>
              <w:rPr>
                <w:rFonts w:ascii="Arial Narrow" w:hAnsi="Arial Narrow"/>
                <w:b/>
                <w:sz w:val="20"/>
                <w:szCs w:val="20"/>
              </w:rPr>
            </w:pPr>
            <w:r w:rsidRPr="0098660A">
              <w:rPr>
                <w:rFonts w:ascii="Arial Narrow" w:hAnsi="Arial Narrow"/>
                <w:b/>
                <w:sz w:val="20"/>
                <w:szCs w:val="20"/>
              </w:rPr>
              <w:t>Max. qty packs</w:t>
            </w:r>
          </w:p>
        </w:tc>
        <w:tc>
          <w:tcPr>
            <w:tcW w:w="811" w:type="dxa"/>
            <w:vAlign w:val="center"/>
          </w:tcPr>
          <w:p w14:paraId="180A36D8" w14:textId="77777777" w:rsidR="007718A0" w:rsidRPr="0098660A" w:rsidRDefault="007718A0" w:rsidP="000E2127">
            <w:pPr>
              <w:keepLines/>
              <w:jc w:val="center"/>
              <w:rPr>
                <w:rFonts w:ascii="Arial Narrow" w:hAnsi="Arial Narrow"/>
                <w:b/>
                <w:sz w:val="20"/>
                <w:szCs w:val="20"/>
              </w:rPr>
            </w:pPr>
            <w:r w:rsidRPr="0098660A">
              <w:rPr>
                <w:rFonts w:ascii="Arial Narrow" w:hAnsi="Arial Narrow"/>
                <w:b/>
                <w:sz w:val="20"/>
                <w:szCs w:val="20"/>
              </w:rPr>
              <w:t>Max. qty units</w:t>
            </w:r>
          </w:p>
        </w:tc>
        <w:tc>
          <w:tcPr>
            <w:tcW w:w="812" w:type="dxa"/>
            <w:vAlign w:val="center"/>
          </w:tcPr>
          <w:p w14:paraId="5AE6AF32" w14:textId="77777777" w:rsidR="007718A0" w:rsidRPr="0098660A" w:rsidRDefault="007718A0" w:rsidP="000E2127">
            <w:pPr>
              <w:keepLines/>
              <w:jc w:val="center"/>
              <w:rPr>
                <w:rFonts w:ascii="Arial Narrow" w:hAnsi="Arial Narrow"/>
                <w:b/>
                <w:bCs/>
                <w:sz w:val="20"/>
                <w:szCs w:val="20"/>
              </w:rPr>
            </w:pPr>
            <w:r w:rsidRPr="0098660A">
              <w:rPr>
                <w:rFonts w:ascii="Arial Narrow" w:hAnsi="Arial Narrow"/>
                <w:b/>
                <w:bCs/>
                <w:sz w:val="20"/>
                <w:szCs w:val="20"/>
              </w:rPr>
              <w:t>№.of</w:t>
            </w:r>
          </w:p>
          <w:p w14:paraId="5EDBE9E1" w14:textId="77777777" w:rsidR="007718A0" w:rsidRPr="0098660A" w:rsidRDefault="007718A0" w:rsidP="000E2127">
            <w:pPr>
              <w:keepLines/>
              <w:jc w:val="center"/>
              <w:rPr>
                <w:rFonts w:ascii="Arial Narrow" w:hAnsi="Arial Narrow"/>
                <w:b/>
                <w:sz w:val="20"/>
                <w:szCs w:val="20"/>
              </w:rPr>
            </w:pPr>
            <w:r w:rsidRPr="0098660A">
              <w:rPr>
                <w:rFonts w:ascii="Arial Narrow" w:hAnsi="Arial Narrow"/>
                <w:b/>
                <w:sz w:val="20"/>
                <w:szCs w:val="20"/>
              </w:rPr>
              <w:t>Rpts</w:t>
            </w:r>
          </w:p>
        </w:tc>
        <w:tc>
          <w:tcPr>
            <w:tcW w:w="1907" w:type="dxa"/>
            <w:vAlign w:val="center"/>
          </w:tcPr>
          <w:p w14:paraId="35A838FA" w14:textId="77777777" w:rsidR="007718A0" w:rsidRPr="0098660A" w:rsidRDefault="007718A0" w:rsidP="000E2127">
            <w:pPr>
              <w:keepLines/>
              <w:rPr>
                <w:rFonts w:ascii="Arial Narrow" w:hAnsi="Arial Narrow"/>
                <w:b/>
                <w:sz w:val="20"/>
                <w:szCs w:val="20"/>
              </w:rPr>
            </w:pPr>
            <w:r w:rsidRPr="0098660A">
              <w:rPr>
                <w:rFonts w:ascii="Arial Narrow" w:hAnsi="Arial Narrow"/>
                <w:b/>
                <w:sz w:val="20"/>
                <w:szCs w:val="20"/>
              </w:rPr>
              <w:t>Available brands</w:t>
            </w:r>
          </w:p>
        </w:tc>
      </w:tr>
      <w:tr w:rsidR="007718A0" w:rsidRPr="0098660A" w14:paraId="229FF2FB" w14:textId="77777777" w:rsidTr="00027082">
        <w:trPr>
          <w:gridAfter w:val="1"/>
          <w:wAfter w:w="15" w:type="dxa"/>
          <w:cantSplit/>
          <w:trHeight w:val="20"/>
        </w:trPr>
        <w:tc>
          <w:tcPr>
            <w:tcW w:w="9098" w:type="dxa"/>
            <w:gridSpan w:val="7"/>
            <w:vAlign w:val="center"/>
          </w:tcPr>
          <w:p w14:paraId="0C6BE795" w14:textId="77777777" w:rsidR="007718A0" w:rsidRPr="0098660A" w:rsidRDefault="007718A0" w:rsidP="000E2127">
            <w:pPr>
              <w:keepLines/>
              <w:rPr>
                <w:rFonts w:ascii="Arial Narrow" w:hAnsi="Arial Narrow"/>
                <w:sz w:val="20"/>
                <w:szCs w:val="20"/>
              </w:rPr>
            </w:pPr>
            <w:r w:rsidRPr="0098660A">
              <w:rPr>
                <w:rFonts w:ascii="Arial Narrow" w:hAnsi="Arial Narrow"/>
                <w:sz w:val="20"/>
                <w:szCs w:val="20"/>
              </w:rPr>
              <w:t>PEGCETACOPLAN</w:t>
            </w:r>
          </w:p>
        </w:tc>
      </w:tr>
      <w:tr w:rsidR="007718A0" w:rsidRPr="0098660A" w14:paraId="50D522C8" w14:textId="77777777" w:rsidTr="00027082">
        <w:trPr>
          <w:gridAfter w:val="1"/>
          <w:wAfter w:w="15" w:type="dxa"/>
          <w:cantSplit/>
          <w:trHeight w:val="20"/>
        </w:trPr>
        <w:tc>
          <w:tcPr>
            <w:tcW w:w="3945" w:type="dxa"/>
            <w:gridSpan w:val="2"/>
            <w:vAlign w:val="center"/>
          </w:tcPr>
          <w:p w14:paraId="6D395555" w14:textId="77777777" w:rsidR="007718A0" w:rsidRPr="0098660A" w:rsidRDefault="007718A0" w:rsidP="000E2127">
            <w:pPr>
              <w:keepLines/>
              <w:rPr>
                <w:rFonts w:ascii="Arial Narrow" w:hAnsi="Arial Narrow"/>
                <w:sz w:val="20"/>
                <w:szCs w:val="20"/>
              </w:rPr>
            </w:pPr>
            <w:r w:rsidRPr="0098660A">
              <w:rPr>
                <w:rFonts w:ascii="Arial Narrow" w:hAnsi="Arial Narrow"/>
                <w:sz w:val="20"/>
                <w:szCs w:val="20"/>
              </w:rPr>
              <w:t>pegcetacoplan 1.08 g/20 mL injection, 20 mL vial</w:t>
            </w:r>
          </w:p>
        </w:tc>
        <w:tc>
          <w:tcPr>
            <w:tcW w:w="1018" w:type="dxa"/>
            <w:vAlign w:val="center"/>
          </w:tcPr>
          <w:p w14:paraId="4B8B8907" w14:textId="77777777" w:rsidR="007718A0" w:rsidRPr="0098660A" w:rsidRDefault="007718A0" w:rsidP="000E2127">
            <w:pPr>
              <w:keepLines/>
              <w:jc w:val="center"/>
              <w:rPr>
                <w:rFonts w:ascii="Arial Narrow" w:hAnsi="Arial Narrow"/>
                <w:sz w:val="20"/>
                <w:szCs w:val="20"/>
              </w:rPr>
            </w:pPr>
            <w:r w:rsidRPr="0098660A">
              <w:rPr>
                <w:rFonts w:ascii="Arial Narrow" w:hAnsi="Arial Narrow"/>
                <w:sz w:val="20"/>
                <w:szCs w:val="20"/>
              </w:rPr>
              <w:t>13185Y</w:t>
            </w:r>
          </w:p>
          <w:p w14:paraId="4314A1CB" w14:textId="77777777" w:rsidR="007718A0" w:rsidRPr="0098660A" w:rsidRDefault="007718A0" w:rsidP="000E2127">
            <w:pPr>
              <w:keepLines/>
              <w:jc w:val="center"/>
              <w:rPr>
                <w:rFonts w:ascii="Arial Narrow" w:hAnsi="Arial Narrow"/>
                <w:sz w:val="20"/>
                <w:szCs w:val="20"/>
              </w:rPr>
            </w:pPr>
            <w:r w:rsidRPr="0098660A">
              <w:rPr>
                <w:rFonts w:ascii="Arial Narrow" w:hAnsi="Arial Narrow"/>
                <w:sz w:val="20"/>
                <w:szCs w:val="20"/>
              </w:rPr>
              <w:t xml:space="preserve">(Public) </w:t>
            </w:r>
          </w:p>
        </w:tc>
        <w:tc>
          <w:tcPr>
            <w:tcW w:w="605" w:type="dxa"/>
            <w:vAlign w:val="center"/>
          </w:tcPr>
          <w:p w14:paraId="098FB0D5" w14:textId="77777777" w:rsidR="007718A0" w:rsidRPr="0098660A" w:rsidRDefault="007718A0" w:rsidP="000E2127">
            <w:pPr>
              <w:keepLines/>
              <w:jc w:val="center"/>
              <w:rPr>
                <w:rFonts w:ascii="Arial Narrow" w:hAnsi="Arial Narrow"/>
                <w:sz w:val="20"/>
                <w:szCs w:val="20"/>
              </w:rPr>
            </w:pPr>
            <w:r w:rsidRPr="0098660A">
              <w:rPr>
                <w:rFonts w:ascii="Arial Narrow" w:hAnsi="Arial Narrow"/>
                <w:sz w:val="20"/>
                <w:szCs w:val="20"/>
              </w:rPr>
              <w:t>1</w:t>
            </w:r>
          </w:p>
        </w:tc>
        <w:tc>
          <w:tcPr>
            <w:tcW w:w="811" w:type="dxa"/>
            <w:vAlign w:val="center"/>
          </w:tcPr>
          <w:p w14:paraId="687F84D0" w14:textId="77777777" w:rsidR="007718A0" w:rsidRPr="0098660A" w:rsidRDefault="007718A0" w:rsidP="000E2127">
            <w:pPr>
              <w:keepLines/>
              <w:jc w:val="center"/>
              <w:rPr>
                <w:rFonts w:ascii="Arial Narrow" w:hAnsi="Arial Narrow"/>
                <w:sz w:val="20"/>
                <w:szCs w:val="20"/>
              </w:rPr>
            </w:pPr>
            <w:r w:rsidRPr="0098660A">
              <w:rPr>
                <w:rFonts w:ascii="Arial Narrow" w:hAnsi="Arial Narrow"/>
                <w:sz w:val="20"/>
                <w:szCs w:val="20"/>
              </w:rPr>
              <w:t>1</w:t>
            </w:r>
          </w:p>
        </w:tc>
        <w:tc>
          <w:tcPr>
            <w:tcW w:w="812" w:type="dxa"/>
            <w:vAlign w:val="center"/>
          </w:tcPr>
          <w:p w14:paraId="7F170A8E" w14:textId="77777777" w:rsidR="007718A0" w:rsidRPr="0098660A" w:rsidRDefault="007718A0" w:rsidP="000E2127">
            <w:pPr>
              <w:keepLines/>
              <w:jc w:val="center"/>
              <w:rPr>
                <w:rFonts w:ascii="Arial Narrow" w:hAnsi="Arial Narrow"/>
                <w:sz w:val="20"/>
                <w:szCs w:val="20"/>
              </w:rPr>
            </w:pPr>
            <w:r w:rsidRPr="0098660A">
              <w:rPr>
                <w:rFonts w:ascii="Arial Narrow" w:hAnsi="Arial Narrow"/>
                <w:sz w:val="20"/>
                <w:szCs w:val="20"/>
              </w:rPr>
              <w:t>5</w:t>
            </w:r>
          </w:p>
        </w:tc>
        <w:tc>
          <w:tcPr>
            <w:tcW w:w="1907" w:type="dxa"/>
            <w:vMerge w:val="restart"/>
            <w:vAlign w:val="center"/>
          </w:tcPr>
          <w:p w14:paraId="31FCF87A" w14:textId="77777777" w:rsidR="007718A0" w:rsidRPr="0098660A" w:rsidRDefault="007718A0" w:rsidP="000E2127">
            <w:pPr>
              <w:keepLines/>
              <w:rPr>
                <w:rFonts w:ascii="Arial Narrow" w:hAnsi="Arial Narrow"/>
                <w:sz w:val="20"/>
                <w:szCs w:val="20"/>
              </w:rPr>
            </w:pPr>
            <w:r w:rsidRPr="0098660A">
              <w:rPr>
                <w:rFonts w:ascii="Arial Narrow" w:hAnsi="Arial Narrow"/>
                <w:sz w:val="20"/>
                <w:szCs w:val="20"/>
              </w:rPr>
              <w:t>Empaveli</w:t>
            </w:r>
          </w:p>
        </w:tc>
      </w:tr>
      <w:tr w:rsidR="007718A0" w:rsidRPr="0098660A" w14:paraId="72C5D9D5" w14:textId="77777777" w:rsidTr="00027082">
        <w:trPr>
          <w:gridAfter w:val="1"/>
          <w:wAfter w:w="15" w:type="dxa"/>
          <w:cantSplit/>
          <w:trHeight w:val="20"/>
        </w:trPr>
        <w:tc>
          <w:tcPr>
            <w:tcW w:w="3945" w:type="dxa"/>
            <w:gridSpan w:val="2"/>
            <w:vAlign w:val="center"/>
          </w:tcPr>
          <w:p w14:paraId="1BA430EB" w14:textId="77777777" w:rsidR="007718A0" w:rsidRPr="0098660A" w:rsidRDefault="007718A0" w:rsidP="000E2127">
            <w:pPr>
              <w:keepLines/>
              <w:rPr>
                <w:rFonts w:ascii="Arial Narrow" w:hAnsi="Arial Narrow"/>
                <w:sz w:val="20"/>
                <w:szCs w:val="20"/>
              </w:rPr>
            </w:pPr>
            <w:r w:rsidRPr="0098660A">
              <w:rPr>
                <w:rFonts w:ascii="Arial Narrow" w:hAnsi="Arial Narrow"/>
                <w:sz w:val="20"/>
                <w:szCs w:val="20"/>
              </w:rPr>
              <w:t>pegcetacoplan 1.08 g/20 mL injection, 20 mL vial</w:t>
            </w:r>
          </w:p>
        </w:tc>
        <w:tc>
          <w:tcPr>
            <w:tcW w:w="1018" w:type="dxa"/>
            <w:vAlign w:val="center"/>
          </w:tcPr>
          <w:p w14:paraId="04F56E2F" w14:textId="77777777" w:rsidR="007718A0" w:rsidRPr="0098660A" w:rsidRDefault="007718A0" w:rsidP="000E2127">
            <w:pPr>
              <w:keepLines/>
              <w:jc w:val="center"/>
              <w:rPr>
                <w:rFonts w:ascii="Arial Narrow" w:hAnsi="Arial Narrow"/>
                <w:sz w:val="20"/>
                <w:szCs w:val="20"/>
              </w:rPr>
            </w:pPr>
            <w:r w:rsidRPr="0098660A">
              <w:rPr>
                <w:rFonts w:ascii="Arial Narrow" w:hAnsi="Arial Narrow"/>
                <w:sz w:val="20"/>
                <w:szCs w:val="20"/>
              </w:rPr>
              <w:t>13197N (Private)</w:t>
            </w:r>
          </w:p>
        </w:tc>
        <w:tc>
          <w:tcPr>
            <w:tcW w:w="605" w:type="dxa"/>
            <w:vAlign w:val="center"/>
          </w:tcPr>
          <w:p w14:paraId="5690A723" w14:textId="77777777" w:rsidR="007718A0" w:rsidRPr="0098660A" w:rsidRDefault="007718A0" w:rsidP="000E2127">
            <w:pPr>
              <w:keepLines/>
              <w:jc w:val="center"/>
              <w:rPr>
                <w:rFonts w:ascii="Arial Narrow" w:hAnsi="Arial Narrow"/>
                <w:sz w:val="20"/>
                <w:szCs w:val="20"/>
              </w:rPr>
            </w:pPr>
            <w:r w:rsidRPr="0098660A">
              <w:rPr>
                <w:rFonts w:ascii="Arial Narrow" w:hAnsi="Arial Narrow"/>
                <w:sz w:val="20"/>
                <w:szCs w:val="20"/>
              </w:rPr>
              <w:t>1</w:t>
            </w:r>
          </w:p>
        </w:tc>
        <w:tc>
          <w:tcPr>
            <w:tcW w:w="811" w:type="dxa"/>
            <w:vAlign w:val="center"/>
          </w:tcPr>
          <w:p w14:paraId="0668CE0C" w14:textId="77777777" w:rsidR="007718A0" w:rsidRPr="0098660A" w:rsidRDefault="007718A0" w:rsidP="000E2127">
            <w:pPr>
              <w:keepLines/>
              <w:jc w:val="center"/>
              <w:rPr>
                <w:rFonts w:ascii="Arial Narrow" w:hAnsi="Arial Narrow"/>
                <w:sz w:val="20"/>
                <w:szCs w:val="20"/>
              </w:rPr>
            </w:pPr>
            <w:r w:rsidRPr="0098660A">
              <w:rPr>
                <w:rFonts w:ascii="Arial Narrow" w:hAnsi="Arial Narrow"/>
                <w:sz w:val="20"/>
                <w:szCs w:val="20"/>
              </w:rPr>
              <w:t>1</w:t>
            </w:r>
          </w:p>
        </w:tc>
        <w:tc>
          <w:tcPr>
            <w:tcW w:w="812" w:type="dxa"/>
            <w:vAlign w:val="center"/>
          </w:tcPr>
          <w:p w14:paraId="7DB55E26" w14:textId="77777777" w:rsidR="007718A0" w:rsidRPr="0098660A" w:rsidRDefault="007718A0" w:rsidP="000E2127">
            <w:pPr>
              <w:keepLines/>
              <w:jc w:val="center"/>
              <w:rPr>
                <w:rFonts w:ascii="Arial Narrow" w:hAnsi="Arial Narrow"/>
                <w:sz w:val="20"/>
                <w:szCs w:val="20"/>
              </w:rPr>
            </w:pPr>
            <w:r w:rsidRPr="0098660A">
              <w:rPr>
                <w:rFonts w:ascii="Arial Narrow" w:hAnsi="Arial Narrow"/>
                <w:sz w:val="20"/>
                <w:szCs w:val="20"/>
              </w:rPr>
              <w:t>5</w:t>
            </w:r>
          </w:p>
        </w:tc>
        <w:tc>
          <w:tcPr>
            <w:tcW w:w="1907" w:type="dxa"/>
            <w:vMerge/>
            <w:vAlign w:val="center"/>
          </w:tcPr>
          <w:p w14:paraId="31E9D60F" w14:textId="77777777" w:rsidR="007718A0" w:rsidRPr="0098660A" w:rsidRDefault="007718A0" w:rsidP="000E2127">
            <w:pPr>
              <w:keepLines/>
              <w:rPr>
                <w:rFonts w:ascii="Arial Narrow" w:hAnsi="Arial Narrow"/>
                <w:sz w:val="20"/>
                <w:szCs w:val="20"/>
              </w:rPr>
            </w:pPr>
          </w:p>
        </w:tc>
      </w:tr>
      <w:tr w:rsidR="007718A0" w:rsidRPr="0098660A" w14:paraId="3AAC4842" w14:textId="77777777" w:rsidTr="00027082">
        <w:tblPrEx>
          <w:tblCellMar>
            <w:top w:w="15" w:type="dxa"/>
            <w:bottom w:w="15" w:type="dxa"/>
          </w:tblCellMar>
          <w:tblLook w:val="04A0" w:firstRow="1" w:lastRow="0" w:firstColumn="1" w:lastColumn="0" w:noHBand="0" w:noVBand="1"/>
        </w:tblPrEx>
        <w:trPr>
          <w:gridAfter w:val="1"/>
          <w:wAfter w:w="15" w:type="dxa"/>
          <w:trHeight w:val="20"/>
        </w:trPr>
        <w:tc>
          <w:tcPr>
            <w:tcW w:w="9098" w:type="dxa"/>
            <w:gridSpan w:val="7"/>
            <w:tcBorders>
              <w:top w:val="single" w:sz="4" w:space="0" w:color="auto"/>
              <w:left w:val="single" w:sz="4" w:space="0" w:color="auto"/>
              <w:right w:val="single" w:sz="4" w:space="0" w:color="auto"/>
            </w:tcBorders>
            <w:vAlign w:val="center"/>
          </w:tcPr>
          <w:p w14:paraId="2B42BF29" w14:textId="77777777" w:rsidR="007718A0" w:rsidRPr="0098660A" w:rsidRDefault="007718A0" w:rsidP="000E2127">
            <w:pPr>
              <w:rPr>
                <w:rFonts w:ascii="Arial Narrow" w:hAnsi="Arial Narrow"/>
                <w:sz w:val="20"/>
                <w:szCs w:val="20"/>
              </w:rPr>
            </w:pPr>
          </w:p>
        </w:tc>
      </w:tr>
      <w:tr w:rsidR="00147ACC" w:rsidRPr="0098660A" w14:paraId="4A479398" w14:textId="77777777" w:rsidTr="00027082">
        <w:tblPrEx>
          <w:tblCellMar>
            <w:top w:w="15" w:type="dxa"/>
            <w:bottom w:w="15" w:type="dxa"/>
          </w:tblCellMar>
          <w:tblLook w:val="04A0" w:firstRow="1" w:lastRow="0" w:firstColumn="1" w:lastColumn="0" w:noHBand="0" w:noVBand="1"/>
        </w:tblPrEx>
        <w:trPr>
          <w:gridAfter w:val="1"/>
          <w:wAfter w:w="15" w:type="dxa"/>
          <w:trHeight w:val="20"/>
        </w:trPr>
        <w:tc>
          <w:tcPr>
            <w:tcW w:w="9098" w:type="dxa"/>
            <w:gridSpan w:val="7"/>
            <w:tcBorders>
              <w:top w:val="single" w:sz="4" w:space="0" w:color="auto"/>
              <w:left w:val="single" w:sz="4" w:space="0" w:color="auto"/>
              <w:bottom w:val="single" w:sz="4" w:space="0" w:color="auto"/>
              <w:right w:val="single" w:sz="4" w:space="0" w:color="auto"/>
            </w:tcBorders>
            <w:vAlign w:val="center"/>
          </w:tcPr>
          <w:p w14:paraId="247F7F69" w14:textId="77777777" w:rsidR="00147ACC" w:rsidRPr="0098660A" w:rsidRDefault="00147ACC" w:rsidP="000E2127">
            <w:pPr>
              <w:keepLines/>
              <w:rPr>
                <w:rFonts w:ascii="Arial Narrow" w:hAnsi="Arial Narrow"/>
                <w:sz w:val="20"/>
                <w:szCs w:val="20"/>
              </w:rPr>
            </w:pPr>
            <w:r w:rsidRPr="0098660A">
              <w:rPr>
                <w:rFonts w:ascii="Arial Narrow" w:hAnsi="Arial Narrow"/>
                <w:b/>
                <w:sz w:val="20"/>
                <w:szCs w:val="20"/>
              </w:rPr>
              <w:t>Category / Program:</w:t>
            </w:r>
            <w:r w:rsidRPr="0098660A">
              <w:rPr>
                <w:rFonts w:ascii="Arial Narrow" w:hAnsi="Arial Narrow"/>
                <w:sz w:val="20"/>
                <w:szCs w:val="20"/>
              </w:rPr>
              <w:t xml:space="preserve"> </w:t>
            </w:r>
            <w:r w:rsidRPr="0098660A">
              <w:rPr>
                <w:rFonts w:ascii="Arial Narrow" w:eastAsia="Calibri" w:hAnsi="Arial Narrow"/>
                <w:sz w:val="20"/>
                <w:szCs w:val="20"/>
              </w:rPr>
              <w:fldChar w:fldCharType="begin" w:fldLock="1">
                <w:ffData>
                  <w:name w:val=""/>
                  <w:enabled/>
                  <w:calcOnExit w:val="0"/>
                  <w:checkBox>
                    <w:sizeAuto/>
                    <w:default w:val="1"/>
                  </w:checkBox>
                </w:ffData>
              </w:fldChar>
            </w:r>
            <w:r w:rsidRPr="0098660A">
              <w:rPr>
                <w:rFonts w:ascii="Arial Narrow" w:eastAsia="Calibri" w:hAnsi="Arial Narrow"/>
                <w:sz w:val="20"/>
                <w:szCs w:val="20"/>
              </w:rPr>
              <w:instrText xml:space="preserve"> FORMCHECKBOX </w:instrText>
            </w:r>
            <w:r w:rsidRPr="0098660A">
              <w:rPr>
                <w:rFonts w:ascii="Arial Narrow" w:eastAsia="Calibri" w:hAnsi="Arial Narrow"/>
                <w:sz w:val="20"/>
                <w:szCs w:val="20"/>
              </w:rPr>
            </w:r>
            <w:r w:rsidRPr="0098660A">
              <w:rPr>
                <w:rFonts w:ascii="Arial Narrow" w:eastAsia="Calibri" w:hAnsi="Arial Narrow"/>
                <w:sz w:val="20"/>
                <w:szCs w:val="20"/>
              </w:rPr>
              <w:fldChar w:fldCharType="separate"/>
            </w:r>
            <w:r w:rsidRPr="0098660A">
              <w:rPr>
                <w:rFonts w:ascii="Arial Narrow" w:eastAsia="Calibri" w:hAnsi="Arial Narrow"/>
                <w:sz w:val="20"/>
                <w:szCs w:val="20"/>
              </w:rPr>
              <w:fldChar w:fldCharType="end"/>
            </w:r>
            <w:r w:rsidRPr="0098660A">
              <w:rPr>
                <w:rFonts w:ascii="Arial Narrow" w:eastAsia="Calibri" w:hAnsi="Arial Narrow"/>
                <w:sz w:val="20"/>
                <w:szCs w:val="20"/>
              </w:rPr>
              <w:t xml:space="preserve"> GENERAL - General Schedule (Code GE) </w:t>
            </w:r>
          </w:p>
        </w:tc>
      </w:tr>
      <w:tr w:rsidR="00147ACC" w:rsidRPr="0098660A" w14:paraId="2C0C6358" w14:textId="77777777" w:rsidTr="00027082">
        <w:tblPrEx>
          <w:tblCellMar>
            <w:top w:w="15" w:type="dxa"/>
            <w:bottom w:w="15" w:type="dxa"/>
          </w:tblCellMar>
          <w:tblLook w:val="04A0" w:firstRow="1" w:lastRow="0" w:firstColumn="1" w:lastColumn="0" w:noHBand="0" w:noVBand="1"/>
        </w:tblPrEx>
        <w:trPr>
          <w:gridAfter w:val="1"/>
          <w:wAfter w:w="15" w:type="dxa"/>
          <w:trHeight w:val="20"/>
        </w:trPr>
        <w:tc>
          <w:tcPr>
            <w:tcW w:w="9098" w:type="dxa"/>
            <w:gridSpan w:val="7"/>
            <w:tcBorders>
              <w:top w:val="single" w:sz="4" w:space="0" w:color="auto"/>
              <w:left w:val="single" w:sz="4" w:space="0" w:color="auto"/>
              <w:bottom w:val="single" w:sz="4" w:space="0" w:color="auto"/>
              <w:right w:val="single" w:sz="4" w:space="0" w:color="auto"/>
            </w:tcBorders>
            <w:vAlign w:val="center"/>
          </w:tcPr>
          <w:p w14:paraId="187A6F4C" w14:textId="77777777" w:rsidR="00147ACC" w:rsidRPr="0098660A" w:rsidRDefault="00147ACC" w:rsidP="000E2127">
            <w:pPr>
              <w:keepLines/>
              <w:rPr>
                <w:rFonts w:ascii="Arial Narrow" w:hAnsi="Arial Narrow"/>
                <w:b/>
                <w:sz w:val="20"/>
                <w:szCs w:val="20"/>
              </w:rPr>
            </w:pPr>
            <w:r w:rsidRPr="0098660A">
              <w:rPr>
                <w:rFonts w:ascii="Arial Narrow" w:hAnsi="Arial Narrow"/>
                <w:b/>
                <w:sz w:val="20"/>
                <w:szCs w:val="20"/>
              </w:rPr>
              <w:t xml:space="preserve">Prescriber type: </w:t>
            </w:r>
            <w:r w:rsidRPr="0098660A">
              <w:rPr>
                <w:rFonts w:ascii="Arial Narrow" w:hAnsi="Arial Narrow"/>
                <w:sz w:val="20"/>
                <w:szCs w:val="20"/>
              </w:rPr>
              <w:fldChar w:fldCharType="begin" w:fldLock="1">
                <w:ffData>
                  <w:name w:val=""/>
                  <w:enabled/>
                  <w:calcOnExit w:val="0"/>
                  <w:checkBox>
                    <w:sizeAuto/>
                    <w:default w:val="1"/>
                  </w:checkBox>
                </w:ffData>
              </w:fldChar>
            </w:r>
            <w:r w:rsidRPr="0098660A">
              <w:rPr>
                <w:rFonts w:ascii="Arial Narrow" w:hAnsi="Arial Narrow"/>
                <w:sz w:val="20"/>
                <w:szCs w:val="20"/>
              </w:rPr>
              <w:instrText xml:space="preserve"> FORMCHECKBOX </w:instrText>
            </w:r>
            <w:r w:rsidRPr="0098660A">
              <w:rPr>
                <w:rFonts w:ascii="Arial Narrow" w:hAnsi="Arial Narrow"/>
                <w:sz w:val="20"/>
                <w:szCs w:val="20"/>
              </w:rPr>
            </w:r>
            <w:r w:rsidRPr="0098660A">
              <w:rPr>
                <w:rFonts w:ascii="Arial Narrow" w:hAnsi="Arial Narrow"/>
                <w:sz w:val="20"/>
                <w:szCs w:val="20"/>
              </w:rPr>
              <w:fldChar w:fldCharType="separate"/>
            </w:r>
            <w:r w:rsidRPr="0098660A">
              <w:rPr>
                <w:rFonts w:ascii="Arial Narrow" w:hAnsi="Arial Narrow"/>
                <w:sz w:val="20"/>
                <w:szCs w:val="20"/>
              </w:rPr>
              <w:fldChar w:fldCharType="end"/>
            </w:r>
            <w:r w:rsidRPr="0098660A">
              <w:rPr>
                <w:rFonts w:ascii="Arial Narrow" w:hAnsi="Arial Narrow"/>
                <w:sz w:val="20"/>
                <w:szCs w:val="20"/>
              </w:rPr>
              <w:t xml:space="preserve">Medical Practitioners </w:t>
            </w:r>
          </w:p>
        </w:tc>
      </w:tr>
      <w:tr w:rsidR="00147ACC" w:rsidRPr="0098660A" w14:paraId="349A4BDB" w14:textId="77777777" w:rsidTr="00027082">
        <w:tblPrEx>
          <w:tblCellMar>
            <w:top w:w="15" w:type="dxa"/>
            <w:bottom w:w="15" w:type="dxa"/>
          </w:tblCellMar>
          <w:tblLook w:val="04A0" w:firstRow="1" w:lastRow="0" w:firstColumn="1" w:lastColumn="0" w:noHBand="0" w:noVBand="1"/>
        </w:tblPrEx>
        <w:trPr>
          <w:gridAfter w:val="1"/>
          <w:wAfter w:w="15" w:type="dxa"/>
          <w:trHeight w:val="20"/>
        </w:trPr>
        <w:tc>
          <w:tcPr>
            <w:tcW w:w="9098" w:type="dxa"/>
            <w:gridSpan w:val="7"/>
            <w:tcBorders>
              <w:top w:val="single" w:sz="4" w:space="0" w:color="auto"/>
              <w:left w:val="single" w:sz="4" w:space="0" w:color="auto"/>
              <w:bottom w:val="single" w:sz="4" w:space="0" w:color="auto"/>
              <w:right w:val="single" w:sz="4" w:space="0" w:color="auto"/>
            </w:tcBorders>
            <w:vAlign w:val="center"/>
          </w:tcPr>
          <w:p w14:paraId="658EDBFC" w14:textId="0288D90A" w:rsidR="00147ACC" w:rsidRPr="0098660A" w:rsidRDefault="00147ACC" w:rsidP="000E2127">
            <w:pPr>
              <w:keepLines/>
              <w:rPr>
                <w:rFonts w:ascii="Arial Narrow" w:eastAsia="Calibri" w:hAnsi="Arial Narrow"/>
                <w:sz w:val="20"/>
                <w:szCs w:val="20"/>
              </w:rPr>
            </w:pPr>
            <w:r w:rsidRPr="0098660A">
              <w:rPr>
                <w:rFonts w:ascii="Arial Narrow" w:hAnsi="Arial Narrow"/>
                <w:b/>
                <w:bCs/>
                <w:sz w:val="20"/>
                <w:szCs w:val="20"/>
              </w:rPr>
              <w:t xml:space="preserve">Restriction type: </w:t>
            </w:r>
            <w:r w:rsidRPr="0098660A">
              <w:rPr>
                <w:rFonts w:ascii="Arial Narrow" w:eastAsia="Calibri" w:hAnsi="Arial Narrow"/>
                <w:sz w:val="20"/>
                <w:szCs w:val="20"/>
              </w:rPr>
              <w:fldChar w:fldCharType="begin" w:fldLock="1">
                <w:ffData>
                  <w:name w:val=""/>
                  <w:enabled/>
                  <w:calcOnExit w:val="0"/>
                  <w:checkBox>
                    <w:sizeAuto/>
                    <w:default w:val="1"/>
                  </w:checkBox>
                </w:ffData>
              </w:fldChar>
            </w:r>
            <w:r w:rsidRPr="0098660A">
              <w:rPr>
                <w:rFonts w:ascii="Arial Narrow" w:eastAsia="Calibri" w:hAnsi="Arial Narrow"/>
                <w:sz w:val="20"/>
                <w:szCs w:val="20"/>
              </w:rPr>
              <w:instrText xml:space="preserve"> FORMCHECKBOX </w:instrText>
            </w:r>
            <w:r w:rsidRPr="0098660A">
              <w:rPr>
                <w:rFonts w:ascii="Arial Narrow" w:eastAsia="Calibri" w:hAnsi="Arial Narrow"/>
                <w:sz w:val="20"/>
                <w:szCs w:val="20"/>
              </w:rPr>
            </w:r>
            <w:r w:rsidRPr="0098660A">
              <w:rPr>
                <w:rFonts w:ascii="Arial Narrow" w:eastAsia="Calibri" w:hAnsi="Arial Narrow"/>
                <w:sz w:val="20"/>
                <w:szCs w:val="20"/>
              </w:rPr>
              <w:fldChar w:fldCharType="separate"/>
            </w:r>
            <w:r w:rsidRPr="0098660A">
              <w:rPr>
                <w:rFonts w:ascii="Arial Narrow" w:eastAsia="Calibri" w:hAnsi="Arial Narrow"/>
                <w:sz w:val="20"/>
                <w:szCs w:val="20"/>
              </w:rPr>
              <w:fldChar w:fldCharType="end"/>
            </w:r>
            <w:r w:rsidRPr="0098660A">
              <w:rPr>
                <w:rFonts w:ascii="Arial Narrow" w:eastAsia="Calibri" w:hAnsi="Arial Narrow"/>
                <w:sz w:val="20"/>
                <w:szCs w:val="20"/>
              </w:rPr>
              <w:t xml:space="preserve">Authority Required (in writing only via </w:t>
            </w:r>
            <w:r w:rsidRPr="0098660A">
              <w:rPr>
                <w:rFonts w:ascii="Arial Narrow" w:eastAsia="Calibri" w:hAnsi="Arial Narrow"/>
                <w:i/>
                <w:iCs/>
                <w:sz w:val="20"/>
                <w:szCs w:val="20"/>
              </w:rPr>
              <w:t>OPA/</w:t>
            </w:r>
            <w:r w:rsidRPr="0098660A">
              <w:rPr>
                <w:rFonts w:ascii="Arial Narrow" w:eastAsia="Calibri" w:hAnsi="Arial Narrow"/>
                <w:sz w:val="20"/>
                <w:szCs w:val="20"/>
              </w:rPr>
              <w:t xml:space="preserve">post/HPOS upload) </w:t>
            </w:r>
          </w:p>
        </w:tc>
      </w:tr>
      <w:tr w:rsidR="00147ACC" w:rsidRPr="0098660A" w14:paraId="6294C22B" w14:textId="77777777" w:rsidTr="00027082">
        <w:tblPrEx>
          <w:tblCellMar>
            <w:top w:w="15" w:type="dxa"/>
            <w:bottom w:w="15" w:type="dxa"/>
          </w:tblCellMar>
          <w:tblLook w:val="04A0" w:firstRow="1" w:lastRow="0" w:firstColumn="1" w:lastColumn="0" w:noHBand="0" w:noVBand="1"/>
        </w:tblPrEx>
        <w:trPr>
          <w:gridAfter w:val="1"/>
          <w:wAfter w:w="15" w:type="dxa"/>
          <w:trHeight w:val="20"/>
        </w:trPr>
        <w:tc>
          <w:tcPr>
            <w:tcW w:w="9098" w:type="dxa"/>
            <w:gridSpan w:val="7"/>
            <w:tcBorders>
              <w:top w:val="single" w:sz="4" w:space="0" w:color="auto"/>
              <w:left w:val="single" w:sz="4" w:space="0" w:color="auto"/>
              <w:bottom w:val="single" w:sz="4" w:space="0" w:color="auto"/>
              <w:right w:val="single" w:sz="4" w:space="0" w:color="auto"/>
            </w:tcBorders>
            <w:vAlign w:val="center"/>
          </w:tcPr>
          <w:p w14:paraId="38E5CA75" w14:textId="7FE9D963" w:rsidR="00147ACC" w:rsidRPr="0098660A" w:rsidRDefault="00147ACC" w:rsidP="000E2127">
            <w:pPr>
              <w:keepLines/>
              <w:rPr>
                <w:rFonts w:ascii="Arial Narrow" w:hAnsi="Arial Narrow"/>
                <w:b/>
                <w:sz w:val="20"/>
                <w:szCs w:val="20"/>
              </w:rPr>
            </w:pPr>
            <w:r w:rsidRPr="0098660A">
              <w:rPr>
                <w:rFonts w:ascii="Arial Narrow" w:hAnsi="Arial Narrow"/>
                <w:b/>
                <w:sz w:val="20"/>
                <w:szCs w:val="20"/>
              </w:rPr>
              <w:t xml:space="preserve">Authority type: </w:t>
            </w:r>
            <w:r w:rsidRPr="0098660A">
              <w:rPr>
                <w:rFonts w:ascii="Arial Narrow" w:eastAsia="Calibri" w:hAnsi="Arial Narrow"/>
                <w:sz w:val="20"/>
                <w:szCs w:val="20"/>
              </w:rPr>
              <w:fldChar w:fldCharType="begin">
                <w:ffData>
                  <w:name w:val="Check1"/>
                  <w:enabled/>
                  <w:calcOnExit w:val="0"/>
                  <w:checkBox>
                    <w:sizeAuto/>
                    <w:default w:val="1"/>
                  </w:checkBox>
                </w:ffData>
              </w:fldChar>
            </w:r>
            <w:r w:rsidRPr="0098660A">
              <w:rPr>
                <w:rFonts w:ascii="Arial Narrow" w:eastAsia="Calibri" w:hAnsi="Arial Narrow"/>
                <w:sz w:val="20"/>
                <w:szCs w:val="20"/>
              </w:rPr>
              <w:instrText xml:space="preserve"> FORMCHECKBOX </w:instrText>
            </w:r>
            <w:r w:rsidRPr="0098660A">
              <w:rPr>
                <w:rFonts w:ascii="Arial Narrow" w:eastAsia="Calibri" w:hAnsi="Arial Narrow"/>
                <w:sz w:val="20"/>
                <w:szCs w:val="20"/>
              </w:rPr>
            </w:r>
            <w:r w:rsidRPr="0098660A">
              <w:rPr>
                <w:rFonts w:ascii="Arial Narrow" w:eastAsia="Calibri" w:hAnsi="Arial Narrow"/>
                <w:sz w:val="20"/>
                <w:szCs w:val="20"/>
              </w:rPr>
              <w:fldChar w:fldCharType="separate"/>
            </w:r>
            <w:r w:rsidRPr="0098660A">
              <w:rPr>
                <w:rFonts w:ascii="Arial Narrow" w:eastAsia="Calibri" w:hAnsi="Arial Narrow"/>
                <w:sz w:val="20"/>
                <w:szCs w:val="20"/>
              </w:rPr>
              <w:fldChar w:fldCharType="end"/>
            </w:r>
            <w:r w:rsidRPr="0098660A">
              <w:rPr>
                <w:rFonts w:ascii="Arial Narrow" w:eastAsia="Calibri" w:hAnsi="Arial Narrow"/>
                <w:sz w:val="20"/>
                <w:szCs w:val="20"/>
              </w:rPr>
              <w:t xml:space="preserve"> Complex Authority Required (CAR)</w:t>
            </w:r>
          </w:p>
        </w:tc>
      </w:tr>
      <w:tr w:rsidR="00147ACC" w:rsidRPr="0098660A" w14:paraId="72AA06B1" w14:textId="77777777" w:rsidTr="00027082">
        <w:tblPrEx>
          <w:tblCellMar>
            <w:top w:w="15" w:type="dxa"/>
            <w:bottom w:w="15" w:type="dxa"/>
          </w:tblCellMar>
          <w:tblLook w:val="04A0" w:firstRow="1" w:lastRow="0" w:firstColumn="1" w:lastColumn="0" w:noHBand="0" w:noVBand="1"/>
        </w:tblPrEx>
        <w:trPr>
          <w:gridAfter w:val="1"/>
          <w:wAfter w:w="15" w:type="dxa"/>
          <w:trHeight w:val="20"/>
        </w:trPr>
        <w:tc>
          <w:tcPr>
            <w:tcW w:w="9098" w:type="dxa"/>
            <w:gridSpan w:val="7"/>
            <w:tcBorders>
              <w:top w:val="single" w:sz="4" w:space="0" w:color="auto"/>
              <w:left w:val="single" w:sz="4" w:space="0" w:color="auto"/>
              <w:bottom w:val="single" w:sz="4" w:space="0" w:color="auto"/>
              <w:right w:val="single" w:sz="4" w:space="0" w:color="auto"/>
            </w:tcBorders>
            <w:vAlign w:val="center"/>
          </w:tcPr>
          <w:p w14:paraId="6E0937AE" w14:textId="77777777" w:rsidR="00147ACC" w:rsidRPr="0098660A" w:rsidRDefault="00147ACC" w:rsidP="000E2127">
            <w:pPr>
              <w:keepLines/>
              <w:rPr>
                <w:rFonts w:ascii="Arial Narrow" w:hAnsi="Arial Narrow"/>
                <w:b/>
                <w:sz w:val="20"/>
                <w:szCs w:val="20"/>
              </w:rPr>
            </w:pPr>
            <w:r w:rsidRPr="0098660A">
              <w:rPr>
                <w:rFonts w:ascii="Arial Narrow" w:hAnsi="Arial Narrow"/>
                <w:b/>
                <w:sz w:val="20"/>
                <w:szCs w:val="20"/>
              </w:rPr>
              <w:t xml:space="preserve">Prescribing rule level:  </w:t>
            </w:r>
          </w:p>
        </w:tc>
      </w:tr>
      <w:tr w:rsidR="00147ACC" w:rsidRPr="0098660A" w14:paraId="6DDAF404" w14:textId="77777777" w:rsidTr="00027082">
        <w:tblPrEx>
          <w:tblCellMar>
            <w:top w:w="15" w:type="dxa"/>
            <w:bottom w:w="15" w:type="dxa"/>
          </w:tblCellMar>
          <w:tblLook w:val="04A0" w:firstRow="1" w:lastRow="0" w:firstColumn="1" w:lastColumn="0" w:noHBand="0" w:noVBand="1"/>
        </w:tblPrEx>
        <w:trPr>
          <w:gridAfter w:val="1"/>
          <w:wAfter w:w="15" w:type="dxa"/>
          <w:trHeight w:val="20"/>
        </w:trPr>
        <w:tc>
          <w:tcPr>
            <w:tcW w:w="9098" w:type="dxa"/>
            <w:gridSpan w:val="7"/>
            <w:tcBorders>
              <w:top w:val="single" w:sz="4" w:space="0" w:color="auto"/>
              <w:left w:val="single" w:sz="4" w:space="0" w:color="auto"/>
              <w:bottom w:val="single" w:sz="4" w:space="0" w:color="auto"/>
              <w:right w:val="single" w:sz="4" w:space="0" w:color="auto"/>
            </w:tcBorders>
            <w:vAlign w:val="center"/>
          </w:tcPr>
          <w:p w14:paraId="5EBF856F" w14:textId="77777777" w:rsidR="00147ACC" w:rsidRPr="0098660A" w:rsidRDefault="00147ACC" w:rsidP="000E2127">
            <w:pPr>
              <w:keepLines/>
              <w:rPr>
                <w:rFonts w:ascii="Arial Narrow" w:hAnsi="Arial Narrow"/>
                <w:b/>
                <w:bCs/>
                <w:sz w:val="20"/>
                <w:szCs w:val="20"/>
              </w:rPr>
            </w:pPr>
            <w:r w:rsidRPr="0098660A">
              <w:rPr>
                <w:rFonts w:ascii="Arial Narrow" w:hAnsi="Arial Narrow"/>
                <w:b/>
                <w:bCs/>
                <w:sz w:val="20"/>
                <w:szCs w:val="20"/>
              </w:rPr>
              <w:t>Caution:</w:t>
            </w:r>
          </w:p>
          <w:p w14:paraId="746EEEBA" w14:textId="77777777" w:rsidR="00147ACC" w:rsidRPr="0098660A" w:rsidRDefault="00147ACC" w:rsidP="000E2127">
            <w:pPr>
              <w:keepLines/>
              <w:rPr>
                <w:rFonts w:ascii="Arial Narrow" w:hAnsi="Arial Narrow"/>
                <w:sz w:val="20"/>
                <w:szCs w:val="20"/>
              </w:rPr>
            </w:pPr>
            <w:r w:rsidRPr="0098660A">
              <w:rPr>
                <w:rFonts w:ascii="Arial Narrow" w:hAnsi="Arial Narrow"/>
                <w:sz w:val="20"/>
                <w:szCs w:val="20"/>
              </w:rPr>
              <w:t>This drug increases the risk of encapsulated bacterial infections.</w:t>
            </w:r>
          </w:p>
          <w:p w14:paraId="5EC95BFD" w14:textId="77777777" w:rsidR="00147ACC" w:rsidRPr="0098660A" w:rsidRDefault="00147ACC" w:rsidP="000E2127">
            <w:pPr>
              <w:keepLines/>
              <w:rPr>
                <w:rFonts w:ascii="Arial Narrow" w:hAnsi="Arial Narrow"/>
                <w:b/>
                <w:sz w:val="20"/>
                <w:szCs w:val="20"/>
              </w:rPr>
            </w:pPr>
            <w:r w:rsidRPr="0098660A">
              <w:rPr>
                <w:rFonts w:ascii="Arial Narrow" w:hAnsi="Arial Narrow"/>
                <w:sz w:val="20"/>
                <w:szCs w:val="20"/>
              </w:rPr>
              <w:t>Consult the approved Product Information for information about vaccination against meningococcal, pneumococcal and Haemophilus influenzae type B (Hib) infection.</w:t>
            </w:r>
          </w:p>
        </w:tc>
      </w:tr>
      <w:tr w:rsidR="00147ACC" w:rsidRPr="0098660A" w14:paraId="6E47F910" w14:textId="77777777" w:rsidTr="00027082">
        <w:tblPrEx>
          <w:tblCellMar>
            <w:top w:w="15" w:type="dxa"/>
            <w:bottom w:w="15" w:type="dxa"/>
          </w:tblCellMar>
          <w:tblLook w:val="04A0" w:firstRow="1" w:lastRow="0" w:firstColumn="1" w:lastColumn="0" w:noHBand="0" w:noVBand="1"/>
        </w:tblPrEx>
        <w:trPr>
          <w:gridAfter w:val="1"/>
          <w:wAfter w:w="15" w:type="dxa"/>
          <w:trHeight w:val="20"/>
        </w:trPr>
        <w:tc>
          <w:tcPr>
            <w:tcW w:w="9098" w:type="dxa"/>
            <w:gridSpan w:val="7"/>
            <w:tcBorders>
              <w:top w:val="single" w:sz="4" w:space="0" w:color="auto"/>
              <w:left w:val="single" w:sz="4" w:space="0" w:color="auto"/>
              <w:bottom w:val="single" w:sz="4" w:space="0" w:color="auto"/>
              <w:right w:val="single" w:sz="4" w:space="0" w:color="auto"/>
            </w:tcBorders>
            <w:vAlign w:val="center"/>
          </w:tcPr>
          <w:p w14:paraId="639B6D3A" w14:textId="77777777" w:rsidR="00147ACC" w:rsidRPr="0098660A" w:rsidRDefault="00147ACC" w:rsidP="000E2127">
            <w:pPr>
              <w:spacing w:line="256" w:lineRule="auto"/>
              <w:jc w:val="left"/>
              <w:textAlignment w:val="baseline"/>
              <w:rPr>
                <w:rFonts w:ascii="Arial Narrow" w:hAnsi="Arial Narrow" w:cs="Segoe UI"/>
                <w:color w:val="333333"/>
                <w:sz w:val="20"/>
                <w:szCs w:val="20"/>
                <w:lang w:eastAsia="en-US"/>
              </w:rPr>
            </w:pPr>
            <w:r w:rsidRPr="0098660A">
              <w:rPr>
                <w:rFonts w:ascii="Arial Narrow" w:hAnsi="Arial Narrow" w:cs="Segoe UI"/>
                <w:b/>
                <w:bCs/>
                <w:color w:val="333333"/>
                <w:sz w:val="20"/>
                <w:szCs w:val="20"/>
                <w:lang w:eastAsia="en-US"/>
              </w:rPr>
              <w:t>Administrative Advice:</w:t>
            </w:r>
            <w:r w:rsidRPr="0098660A">
              <w:rPr>
                <w:rFonts w:ascii="Arial Narrow" w:hAnsi="Arial Narrow" w:cs="Segoe UI"/>
                <w:color w:val="333333"/>
                <w:sz w:val="20"/>
                <w:szCs w:val="20"/>
                <w:lang w:eastAsia="en-US"/>
              </w:rPr>
              <w:t> </w:t>
            </w:r>
          </w:p>
          <w:p w14:paraId="5CBA331E" w14:textId="77777777" w:rsidR="00147ACC" w:rsidRPr="0098660A" w:rsidRDefault="00147ACC" w:rsidP="000E2127">
            <w:pPr>
              <w:keepLines/>
              <w:rPr>
                <w:rFonts w:ascii="Arial Narrow" w:hAnsi="Arial Narrow"/>
                <w:b/>
                <w:bCs/>
                <w:sz w:val="20"/>
                <w:szCs w:val="20"/>
              </w:rPr>
            </w:pPr>
            <w:r w:rsidRPr="0098660A">
              <w:rPr>
                <w:rFonts w:ascii="Arial Narrow" w:hAnsi="Arial Narrow" w:cs="Segoe UI"/>
                <w:sz w:val="20"/>
                <w:szCs w:val="20"/>
                <w:lang w:eastAsia="en-US"/>
              </w:rPr>
              <w:t>Special Pricing Arrangements apply</w:t>
            </w:r>
            <w:r w:rsidRPr="0098660A">
              <w:rPr>
                <w:rFonts w:ascii="Arial Narrow" w:hAnsi="Arial Narrow" w:cs="Segoe UI"/>
                <w:i/>
                <w:iCs/>
                <w:sz w:val="20"/>
                <w:szCs w:val="20"/>
                <w:lang w:eastAsia="en-US"/>
              </w:rPr>
              <w:t>.</w:t>
            </w:r>
          </w:p>
        </w:tc>
      </w:tr>
      <w:tr w:rsidR="00147ACC" w:rsidRPr="0098660A" w14:paraId="62835DB8" w14:textId="77777777" w:rsidTr="00027082">
        <w:tblPrEx>
          <w:tblCellMar>
            <w:top w:w="15" w:type="dxa"/>
            <w:bottom w:w="15" w:type="dxa"/>
          </w:tblCellMar>
          <w:tblLook w:val="04A0" w:firstRow="1" w:lastRow="0" w:firstColumn="1" w:lastColumn="0" w:noHBand="0" w:noVBand="1"/>
        </w:tblPrEx>
        <w:trPr>
          <w:gridAfter w:val="1"/>
          <w:wAfter w:w="15" w:type="dxa"/>
          <w:trHeight w:val="20"/>
        </w:trPr>
        <w:tc>
          <w:tcPr>
            <w:tcW w:w="9098" w:type="dxa"/>
            <w:gridSpan w:val="7"/>
            <w:tcBorders>
              <w:top w:val="single" w:sz="4" w:space="0" w:color="auto"/>
              <w:left w:val="single" w:sz="4" w:space="0" w:color="auto"/>
              <w:bottom w:val="single" w:sz="4" w:space="0" w:color="auto"/>
              <w:right w:val="single" w:sz="4" w:space="0" w:color="auto"/>
            </w:tcBorders>
            <w:vAlign w:val="center"/>
          </w:tcPr>
          <w:p w14:paraId="346C9050" w14:textId="77777777" w:rsidR="00147ACC" w:rsidRPr="0098660A" w:rsidRDefault="00147ACC" w:rsidP="000E2127">
            <w:pPr>
              <w:keepLines/>
              <w:rPr>
                <w:rFonts w:ascii="Arial Narrow" w:hAnsi="Arial Narrow"/>
                <w:sz w:val="20"/>
                <w:szCs w:val="20"/>
              </w:rPr>
            </w:pPr>
            <w:r w:rsidRPr="0098660A">
              <w:rPr>
                <w:rFonts w:ascii="Arial Narrow" w:hAnsi="Arial Narrow"/>
                <w:b/>
                <w:bCs/>
                <w:sz w:val="20"/>
                <w:szCs w:val="20"/>
              </w:rPr>
              <w:t>Administrative Advice:</w:t>
            </w:r>
            <w:r w:rsidRPr="0098660A">
              <w:rPr>
                <w:rFonts w:ascii="Arial Narrow" w:hAnsi="Arial Narrow"/>
                <w:sz w:val="20"/>
                <w:szCs w:val="20"/>
              </w:rPr>
              <w:t xml:space="preserve"> </w:t>
            </w:r>
          </w:p>
          <w:p w14:paraId="43E926D4" w14:textId="77777777" w:rsidR="00147ACC" w:rsidRPr="0098660A" w:rsidRDefault="00147ACC" w:rsidP="000E2127">
            <w:pPr>
              <w:keepLines/>
              <w:rPr>
                <w:rFonts w:ascii="Arial Narrow" w:hAnsi="Arial Narrow"/>
                <w:b/>
                <w:sz w:val="20"/>
                <w:szCs w:val="20"/>
              </w:rPr>
            </w:pPr>
            <w:r w:rsidRPr="0098660A">
              <w:rPr>
                <w:rFonts w:ascii="Arial Narrow" w:hAnsi="Arial Narrow"/>
                <w:sz w:val="20"/>
                <w:szCs w:val="20"/>
              </w:rPr>
              <w:t>No increase in the maximum number of repeats may be authorised.</w:t>
            </w:r>
          </w:p>
        </w:tc>
      </w:tr>
      <w:tr w:rsidR="00147ACC" w:rsidRPr="0098660A" w14:paraId="446259F4" w14:textId="77777777" w:rsidTr="00027082">
        <w:tblPrEx>
          <w:tblCellMar>
            <w:top w:w="15" w:type="dxa"/>
            <w:bottom w:w="15" w:type="dxa"/>
          </w:tblCellMar>
          <w:tblLook w:val="04A0" w:firstRow="1" w:lastRow="0" w:firstColumn="1" w:lastColumn="0" w:noHBand="0" w:noVBand="1"/>
        </w:tblPrEx>
        <w:trPr>
          <w:gridAfter w:val="1"/>
          <w:wAfter w:w="15" w:type="dxa"/>
          <w:trHeight w:val="20"/>
        </w:trPr>
        <w:tc>
          <w:tcPr>
            <w:tcW w:w="9098" w:type="dxa"/>
            <w:gridSpan w:val="7"/>
            <w:tcBorders>
              <w:top w:val="single" w:sz="4" w:space="0" w:color="auto"/>
              <w:left w:val="single" w:sz="4" w:space="0" w:color="auto"/>
              <w:bottom w:val="single" w:sz="4" w:space="0" w:color="auto"/>
              <w:right w:val="single" w:sz="4" w:space="0" w:color="auto"/>
            </w:tcBorders>
            <w:vAlign w:val="center"/>
          </w:tcPr>
          <w:p w14:paraId="313825E9" w14:textId="77777777" w:rsidR="00147ACC" w:rsidRPr="0098660A" w:rsidRDefault="00147ACC" w:rsidP="000E2127">
            <w:pPr>
              <w:keepLines/>
              <w:rPr>
                <w:rFonts w:ascii="Arial Narrow" w:hAnsi="Arial Narrow"/>
                <w:sz w:val="20"/>
                <w:szCs w:val="20"/>
              </w:rPr>
            </w:pPr>
            <w:r w:rsidRPr="0098660A">
              <w:rPr>
                <w:rFonts w:ascii="Arial Narrow" w:hAnsi="Arial Narrow"/>
                <w:b/>
                <w:bCs/>
                <w:sz w:val="20"/>
                <w:szCs w:val="20"/>
              </w:rPr>
              <w:t>Administrative Advice:</w:t>
            </w:r>
          </w:p>
          <w:p w14:paraId="52132AEB" w14:textId="77777777" w:rsidR="00147ACC" w:rsidRPr="0098660A" w:rsidRDefault="00147ACC" w:rsidP="000E2127">
            <w:pPr>
              <w:keepLines/>
              <w:rPr>
                <w:rFonts w:ascii="Arial Narrow" w:hAnsi="Arial Narrow"/>
                <w:b/>
                <w:bCs/>
                <w:sz w:val="20"/>
                <w:szCs w:val="20"/>
              </w:rPr>
            </w:pPr>
            <w:r w:rsidRPr="0098660A">
              <w:rPr>
                <w:rFonts w:ascii="Arial Narrow" w:hAnsi="Arial Narrow"/>
                <w:sz w:val="20"/>
                <w:szCs w:val="20"/>
              </w:rPr>
              <w:t>Complement 5 (C5) inhibitors are defined as eculizumab or ravulizumab</w:t>
            </w:r>
          </w:p>
        </w:tc>
      </w:tr>
      <w:tr w:rsidR="00147ACC" w:rsidRPr="0098660A" w14:paraId="6A60AEFE" w14:textId="77777777" w:rsidTr="00027082">
        <w:tblPrEx>
          <w:tblCellMar>
            <w:top w:w="15" w:type="dxa"/>
            <w:bottom w:w="15" w:type="dxa"/>
          </w:tblCellMar>
          <w:tblLook w:val="04A0" w:firstRow="1" w:lastRow="0" w:firstColumn="1" w:lastColumn="0" w:noHBand="0" w:noVBand="1"/>
        </w:tblPrEx>
        <w:trPr>
          <w:gridAfter w:val="1"/>
          <w:wAfter w:w="15" w:type="dxa"/>
          <w:trHeight w:val="20"/>
        </w:trPr>
        <w:tc>
          <w:tcPr>
            <w:tcW w:w="9098" w:type="dxa"/>
            <w:gridSpan w:val="7"/>
            <w:tcBorders>
              <w:top w:val="single" w:sz="4" w:space="0" w:color="auto"/>
              <w:left w:val="single" w:sz="4" w:space="0" w:color="auto"/>
              <w:bottom w:val="single" w:sz="4" w:space="0" w:color="auto"/>
              <w:right w:val="single" w:sz="4" w:space="0" w:color="auto"/>
            </w:tcBorders>
            <w:vAlign w:val="center"/>
          </w:tcPr>
          <w:p w14:paraId="0681FA70" w14:textId="77777777" w:rsidR="00147ACC" w:rsidRPr="0098660A" w:rsidRDefault="00147ACC" w:rsidP="000E2127">
            <w:pPr>
              <w:keepLines/>
              <w:rPr>
                <w:rFonts w:ascii="Arial Narrow" w:hAnsi="Arial Narrow"/>
                <w:b/>
                <w:bCs/>
                <w:sz w:val="20"/>
                <w:szCs w:val="20"/>
              </w:rPr>
            </w:pPr>
            <w:r w:rsidRPr="0098660A">
              <w:rPr>
                <w:rFonts w:ascii="Arial Narrow" w:hAnsi="Arial Narrow"/>
                <w:b/>
                <w:bCs/>
                <w:sz w:val="20"/>
                <w:szCs w:val="20"/>
              </w:rPr>
              <w:t>Administrative Advice:</w:t>
            </w:r>
          </w:p>
          <w:p w14:paraId="43713DE7" w14:textId="77777777" w:rsidR="00147ACC" w:rsidRPr="0098660A" w:rsidRDefault="00147ACC" w:rsidP="000E2127">
            <w:pPr>
              <w:keepLines/>
              <w:rPr>
                <w:rFonts w:ascii="Arial Narrow" w:hAnsi="Arial Narrow"/>
                <w:b/>
                <w:bCs/>
                <w:sz w:val="20"/>
                <w:szCs w:val="20"/>
              </w:rPr>
            </w:pPr>
            <w:r w:rsidRPr="0098660A">
              <w:rPr>
                <w:rFonts w:ascii="Arial Narrow" w:hAnsi="Arial Narrow"/>
                <w:sz w:val="20"/>
                <w:szCs w:val="20"/>
              </w:rPr>
              <w:t>Prior to prescribing this drug, the prescriber must contact the pharmaceutical company to confirm that the patient has received all relevant vaccinations. The prescriber will then be provided with a Controlled Distribution Reference Number (CDRN) and information about the pumps and consumables for use.</w:t>
            </w:r>
          </w:p>
        </w:tc>
      </w:tr>
      <w:tr w:rsidR="00147ACC" w:rsidRPr="0098660A" w14:paraId="6564655D" w14:textId="77777777" w:rsidTr="00027082">
        <w:tblPrEx>
          <w:tblCellMar>
            <w:top w:w="15" w:type="dxa"/>
            <w:bottom w:w="15" w:type="dxa"/>
          </w:tblCellMar>
          <w:tblLook w:val="04A0" w:firstRow="1" w:lastRow="0" w:firstColumn="1" w:lastColumn="0" w:noHBand="0" w:noVBand="1"/>
        </w:tblPrEx>
        <w:trPr>
          <w:gridAfter w:val="1"/>
          <w:wAfter w:w="15" w:type="dxa"/>
          <w:trHeight w:val="20"/>
        </w:trPr>
        <w:tc>
          <w:tcPr>
            <w:tcW w:w="9098" w:type="dxa"/>
            <w:gridSpan w:val="7"/>
            <w:tcBorders>
              <w:top w:val="single" w:sz="4" w:space="0" w:color="auto"/>
              <w:left w:val="single" w:sz="4" w:space="0" w:color="auto"/>
              <w:bottom w:val="single" w:sz="4" w:space="0" w:color="auto"/>
              <w:right w:val="single" w:sz="4" w:space="0" w:color="auto"/>
            </w:tcBorders>
            <w:vAlign w:val="center"/>
          </w:tcPr>
          <w:p w14:paraId="76D85145" w14:textId="77777777" w:rsidR="00147ACC" w:rsidRPr="0098660A" w:rsidRDefault="00147ACC" w:rsidP="51A4B722">
            <w:pPr>
              <w:rPr>
                <w:rFonts w:ascii="Arial Narrow" w:hAnsi="Arial Narrow"/>
                <w:b/>
                <w:bCs/>
                <w:sz w:val="20"/>
                <w:szCs w:val="20"/>
              </w:rPr>
            </w:pPr>
            <w:r w:rsidRPr="0098660A">
              <w:rPr>
                <w:rFonts w:ascii="Arial Narrow" w:hAnsi="Arial Narrow"/>
                <w:b/>
                <w:bCs/>
                <w:sz w:val="20"/>
                <w:szCs w:val="20"/>
              </w:rPr>
              <w:t>Administrative Advice:</w:t>
            </w:r>
          </w:p>
          <w:p w14:paraId="5C66968E" w14:textId="77777777" w:rsidR="00147ACC" w:rsidRPr="0098660A" w:rsidRDefault="00147ACC" w:rsidP="51A4B722">
            <w:pPr>
              <w:rPr>
                <w:rFonts w:ascii="Arial Narrow" w:hAnsi="Arial Narrow"/>
                <w:sz w:val="20"/>
                <w:szCs w:val="20"/>
              </w:rPr>
            </w:pPr>
            <w:r w:rsidRPr="0098660A">
              <w:rPr>
                <w:rFonts w:ascii="Arial Narrow" w:hAnsi="Arial Narrow"/>
                <w:sz w:val="20"/>
                <w:szCs w:val="20"/>
              </w:rPr>
              <w:t>Any queries concerning the arrangements to prescribe may be directed to Services Australia on 1800 700 270 (hours of operation 8 a.m. to 5 p.m. Monday to Friday).</w:t>
            </w:r>
          </w:p>
          <w:p w14:paraId="4896ECDB" w14:textId="7562A64D" w:rsidR="00147ACC" w:rsidRPr="0098660A" w:rsidRDefault="00147ACC" w:rsidP="51A4B722">
            <w:pPr>
              <w:rPr>
                <w:rFonts w:ascii="Arial Narrow" w:hAnsi="Arial Narrow"/>
                <w:sz w:val="20"/>
                <w:szCs w:val="20"/>
              </w:rPr>
            </w:pPr>
          </w:p>
          <w:p w14:paraId="48E71120" w14:textId="7FEF4C91" w:rsidR="00147ACC" w:rsidRPr="0098660A" w:rsidRDefault="00147ACC" w:rsidP="51A4B722">
            <w:r w:rsidRPr="0098660A">
              <w:rPr>
                <w:rFonts w:ascii="Arial Narrow" w:hAnsi="Arial Narrow"/>
                <w:sz w:val="20"/>
                <w:szCs w:val="20"/>
              </w:rPr>
              <w:t xml:space="preserve">Prescribing information (including Authority Application forms and other relevant documentation as applicable) is available on the Services Australia website at </w:t>
            </w:r>
            <w:hyperlink r:id="rId14">
              <w:r w:rsidRPr="0098660A">
                <w:rPr>
                  <w:rStyle w:val="Hyperlink"/>
                  <w:rFonts w:ascii="Arial Narrow" w:hAnsi="Arial Narrow"/>
                  <w:color w:val="auto"/>
                  <w:sz w:val="20"/>
                  <w:szCs w:val="20"/>
                </w:rPr>
                <w:t>www.servicesaustralia.gov.au</w:t>
              </w:r>
            </w:hyperlink>
          </w:p>
          <w:p w14:paraId="4EC7BA1A" w14:textId="0043CBC6" w:rsidR="00147ACC" w:rsidRPr="0098660A" w:rsidRDefault="00147ACC" w:rsidP="51A4B722">
            <w:pPr>
              <w:rPr>
                <w:rFonts w:ascii="Arial Narrow" w:hAnsi="Arial Narrow"/>
                <w:sz w:val="20"/>
                <w:szCs w:val="20"/>
              </w:rPr>
            </w:pPr>
          </w:p>
          <w:p w14:paraId="3280C013" w14:textId="6F80D1D4" w:rsidR="00147ACC" w:rsidRPr="0098660A" w:rsidRDefault="00147ACC" w:rsidP="51A4B722">
            <w:pPr>
              <w:rPr>
                <w:rFonts w:ascii="Arial Narrow" w:hAnsi="Arial Narrow"/>
                <w:i/>
                <w:iCs/>
                <w:sz w:val="20"/>
                <w:szCs w:val="20"/>
              </w:rPr>
            </w:pPr>
            <w:r w:rsidRPr="0098660A">
              <w:rPr>
                <w:rFonts w:ascii="Arial Narrow" w:hAnsi="Arial Narrow"/>
                <w:i/>
                <w:iCs/>
                <w:sz w:val="20"/>
                <w:szCs w:val="20"/>
              </w:rPr>
              <w:t xml:space="preserve">Applications for authorisation under this restriction should be made in real time using the Online PBS Authorities system (see </w:t>
            </w:r>
            <w:hyperlink r:id="rId15">
              <w:r w:rsidRPr="0098660A">
                <w:rPr>
                  <w:rStyle w:val="Hyperlink"/>
                  <w:rFonts w:ascii="Arial Narrow" w:hAnsi="Arial Narrow"/>
                  <w:i/>
                  <w:iCs/>
                  <w:color w:val="auto"/>
                  <w:sz w:val="20"/>
                  <w:szCs w:val="20"/>
                </w:rPr>
                <w:t>www.servicesaustralia.gov.au/hpos</w:t>
              </w:r>
            </w:hyperlink>
            <w:r w:rsidRPr="0098660A">
              <w:rPr>
                <w:rFonts w:ascii="Arial Narrow" w:hAnsi="Arial Narrow"/>
                <w:i/>
                <w:iCs/>
                <w:sz w:val="20"/>
                <w:szCs w:val="20"/>
              </w:rPr>
              <w:t>)</w:t>
            </w:r>
          </w:p>
          <w:p w14:paraId="018286C5" w14:textId="10FA0CA1" w:rsidR="00147ACC" w:rsidRPr="0098660A" w:rsidRDefault="00147ACC" w:rsidP="51A4B722">
            <w:pPr>
              <w:rPr>
                <w:rFonts w:ascii="Arial Narrow" w:hAnsi="Arial Narrow"/>
                <w:sz w:val="20"/>
                <w:szCs w:val="20"/>
              </w:rPr>
            </w:pPr>
          </w:p>
          <w:p w14:paraId="073BAC42" w14:textId="33AC0FD1" w:rsidR="00147ACC" w:rsidRPr="0098660A" w:rsidRDefault="00147ACC" w:rsidP="51A4B722">
            <w:r w:rsidRPr="0098660A">
              <w:rPr>
                <w:rFonts w:ascii="Arial Narrow" w:hAnsi="Arial Narrow"/>
                <w:i/>
                <w:iCs/>
                <w:sz w:val="20"/>
                <w:szCs w:val="20"/>
              </w:rPr>
              <w:lastRenderedPageBreak/>
              <w:t xml:space="preserve">Alternatively, </w:t>
            </w:r>
            <w:r w:rsidRPr="0098660A">
              <w:rPr>
                <w:rFonts w:ascii="Arial Narrow" w:hAnsi="Arial Narrow"/>
                <w:strike/>
                <w:sz w:val="20"/>
                <w:szCs w:val="20"/>
              </w:rPr>
              <w:t>A</w:t>
            </w:r>
            <w:r w:rsidRPr="0098660A">
              <w:rPr>
                <w:rFonts w:ascii="Arial Narrow" w:hAnsi="Arial Narrow"/>
                <w:sz w:val="20"/>
                <w:szCs w:val="20"/>
              </w:rPr>
              <w:t xml:space="preserve"> </w:t>
            </w:r>
            <w:r w:rsidRPr="0098660A">
              <w:rPr>
                <w:rFonts w:ascii="Arial Narrow" w:hAnsi="Arial Narrow"/>
                <w:i/>
                <w:iCs/>
                <w:sz w:val="20"/>
                <w:szCs w:val="20"/>
              </w:rPr>
              <w:t>a</w:t>
            </w:r>
            <w:r w:rsidRPr="0098660A">
              <w:rPr>
                <w:rFonts w:ascii="Arial Narrow" w:hAnsi="Arial Narrow"/>
                <w:sz w:val="20"/>
                <w:szCs w:val="20"/>
              </w:rPr>
              <w:t xml:space="preserve">pplications for authority to prescribe </w:t>
            </w:r>
            <w:r w:rsidRPr="0098660A">
              <w:rPr>
                <w:rFonts w:ascii="Arial Narrow" w:hAnsi="Arial Narrow"/>
                <w:strike/>
                <w:sz w:val="20"/>
                <w:szCs w:val="20"/>
              </w:rPr>
              <w:t>should</w:t>
            </w:r>
            <w:r w:rsidRPr="0098660A">
              <w:rPr>
                <w:rFonts w:ascii="Arial Narrow" w:hAnsi="Arial Narrow"/>
                <w:sz w:val="20"/>
                <w:szCs w:val="20"/>
              </w:rPr>
              <w:t xml:space="preserve"> </w:t>
            </w:r>
            <w:r w:rsidRPr="0098660A">
              <w:rPr>
                <w:rFonts w:ascii="Arial Narrow" w:hAnsi="Arial Narrow"/>
                <w:i/>
                <w:iCs/>
                <w:sz w:val="20"/>
                <w:szCs w:val="20"/>
              </w:rPr>
              <w:t xml:space="preserve">can </w:t>
            </w:r>
            <w:r w:rsidRPr="0098660A">
              <w:rPr>
                <w:rFonts w:ascii="Arial Narrow" w:hAnsi="Arial Narrow"/>
                <w:sz w:val="20"/>
                <w:szCs w:val="20"/>
              </w:rPr>
              <w:t xml:space="preserve">be submitted online using the form upload facility in Health Professional Online Services (HPOS) at </w:t>
            </w:r>
            <w:hyperlink r:id="rId16">
              <w:r w:rsidRPr="0098660A">
                <w:rPr>
                  <w:rStyle w:val="Hyperlink"/>
                  <w:rFonts w:ascii="Arial Narrow" w:hAnsi="Arial Narrow"/>
                  <w:color w:val="auto"/>
                  <w:sz w:val="20"/>
                  <w:szCs w:val="20"/>
                </w:rPr>
                <w:t>www.servicesaustralia.gov.au/hpos</w:t>
              </w:r>
            </w:hyperlink>
          </w:p>
          <w:p w14:paraId="5A3E5A14" w14:textId="693A3790" w:rsidR="00147ACC" w:rsidRPr="0098660A" w:rsidRDefault="00147ACC" w:rsidP="51A4B722">
            <w:pPr>
              <w:rPr>
                <w:rFonts w:ascii="Arial Narrow" w:hAnsi="Arial Narrow"/>
                <w:sz w:val="20"/>
                <w:szCs w:val="20"/>
              </w:rPr>
            </w:pPr>
          </w:p>
          <w:p w14:paraId="3098D56F" w14:textId="77777777" w:rsidR="00147ACC" w:rsidRPr="0098660A" w:rsidRDefault="00147ACC" w:rsidP="51A4B722">
            <w:pPr>
              <w:rPr>
                <w:rFonts w:ascii="Arial Narrow" w:hAnsi="Arial Narrow"/>
                <w:sz w:val="20"/>
                <w:szCs w:val="20"/>
              </w:rPr>
            </w:pPr>
            <w:r w:rsidRPr="0098660A">
              <w:rPr>
                <w:rFonts w:ascii="Arial Narrow" w:hAnsi="Arial Narrow"/>
                <w:sz w:val="20"/>
                <w:szCs w:val="20"/>
              </w:rPr>
              <w:t>Or mailed to:</w:t>
            </w:r>
          </w:p>
          <w:p w14:paraId="2332D42B" w14:textId="77777777" w:rsidR="00147ACC" w:rsidRPr="0098660A" w:rsidRDefault="00147ACC" w:rsidP="51A4B722">
            <w:pPr>
              <w:rPr>
                <w:rFonts w:ascii="Arial Narrow" w:hAnsi="Arial Narrow"/>
                <w:sz w:val="20"/>
                <w:szCs w:val="20"/>
              </w:rPr>
            </w:pPr>
            <w:r w:rsidRPr="0098660A">
              <w:rPr>
                <w:rFonts w:ascii="Arial Narrow" w:hAnsi="Arial Narrow"/>
                <w:sz w:val="20"/>
                <w:szCs w:val="20"/>
              </w:rPr>
              <w:t>Services Australia</w:t>
            </w:r>
          </w:p>
          <w:p w14:paraId="372FA3B0" w14:textId="77777777" w:rsidR="00147ACC" w:rsidRPr="0098660A" w:rsidRDefault="00147ACC" w:rsidP="51A4B722">
            <w:pPr>
              <w:rPr>
                <w:rFonts w:ascii="Arial Narrow" w:hAnsi="Arial Narrow"/>
                <w:sz w:val="20"/>
                <w:szCs w:val="20"/>
              </w:rPr>
            </w:pPr>
            <w:r w:rsidRPr="0098660A">
              <w:rPr>
                <w:rFonts w:ascii="Arial Narrow" w:hAnsi="Arial Narrow"/>
                <w:sz w:val="20"/>
                <w:szCs w:val="20"/>
              </w:rPr>
              <w:t>Complex Drugs</w:t>
            </w:r>
          </w:p>
          <w:p w14:paraId="585A75FA" w14:textId="77777777" w:rsidR="00147ACC" w:rsidRPr="0098660A" w:rsidRDefault="00147ACC" w:rsidP="51A4B722">
            <w:pPr>
              <w:rPr>
                <w:rFonts w:ascii="Arial Narrow" w:hAnsi="Arial Narrow"/>
                <w:sz w:val="20"/>
                <w:szCs w:val="20"/>
              </w:rPr>
            </w:pPr>
            <w:r w:rsidRPr="0098660A">
              <w:rPr>
                <w:rFonts w:ascii="Arial Narrow" w:hAnsi="Arial Narrow"/>
                <w:sz w:val="20"/>
                <w:szCs w:val="20"/>
              </w:rPr>
              <w:t>Reply Paid 9826</w:t>
            </w:r>
          </w:p>
          <w:p w14:paraId="2B3C35EE" w14:textId="77777777" w:rsidR="00147ACC" w:rsidRPr="0098660A" w:rsidRDefault="00147ACC" w:rsidP="51A4B722">
            <w:pPr>
              <w:keepLines/>
              <w:rPr>
                <w:rFonts w:ascii="Arial Narrow" w:hAnsi="Arial Narrow"/>
                <w:b/>
                <w:bCs/>
                <w:i/>
                <w:iCs/>
                <w:sz w:val="20"/>
                <w:szCs w:val="20"/>
              </w:rPr>
            </w:pPr>
            <w:r w:rsidRPr="0098660A">
              <w:rPr>
                <w:rFonts w:ascii="Arial Narrow" w:hAnsi="Arial Narrow"/>
                <w:sz w:val="20"/>
                <w:szCs w:val="20"/>
              </w:rPr>
              <w:t>HOBART TAS 7001</w:t>
            </w:r>
          </w:p>
        </w:tc>
      </w:tr>
      <w:tr w:rsidR="00147ACC" w:rsidRPr="0098660A" w14:paraId="4EDE7B71" w14:textId="77777777" w:rsidTr="00027082">
        <w:tblPrEx>
          <w:tblCellMar>
            <w:top w:w="15" w:type="dxa"/>
            <w:bottom w:w="15" w:type="dxa"/>
          </w:tblCellMar>
          <w:tblLook w:val="04A0" w:firstRow="1" w:lastRow="0" w:firstColumn="1" w:lastColumn="0" w:noHBand="0" w:noVBand="1"/>
        </w:tblPrEx>
        <w:trPr>
          <w:gridAfter w:val="1"/>
          <w:wAfter w:w="15" w:type="dxa"/>
          <w:trHeight w:val="20"/>
        </w:trPr>
        <w:tc>
          <w:tcPr>
            <w:tcW w:w="9098"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DA89A0" w14:textId="6F252ECA" w:rsidR="00147ACC" w:rsidRPr="0098660A" w:rsidRDefault="00147ACC" w:rsidP="000E2127">
            <w:pPr>
              <w:keepLines/>
              <w:rPr>
                <w:rFonts w:ascii="Arial Narrow" w:hAnsi="Arial Narrow"/>
                <w:b/>
                <w:bCs/>
                <w:sz w:val="20"/>
                <w:szCs w:val="20"/>
              </w:rPr>
            </w:pPr>
            <w:r w:rsidRPr="0098660A">
              <w:rPr>
                <w:rFonts w:ascii="Arial Narrow" w:hAnsi="Arial Narrow"/>
                <w:b/>
                <w:sz w:val="20"/>
                <w:szCs w:val="20"/>
              </w:rPr>
              <w:lastRenderedPageBreak/>
              <w:t xml:space="preserve">Restriction Summary edit 13717 / Treatment of Concept: edit 13616 </w:t>
            </w:r>
          </w:p>
        </w:tc>
      </w:tr>
      <w:tr w:rsidR="00147ACC" w:rsidRPr="0098660A" w14:paraId="5C28C088"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hideMark/>
          </w:tcPr>
          <w:p w14:paraId="547308E3" w14:textId="77777777" w:rsidR="00147ACC" w:rsidRPr="0098660A" w:rsidRDefault="00147ACC" w:rsidP="000E2127">
            <w:pPr>
              <w:keepLines/>
              <w:rPr>
                <w:rFonts w:ascii="Arial Narrow" w:hAnsi="Arial Narrow"/>
                <w:sz w:val="20"/>
                <w:szCs w:val="20"/>
              </w:rPr>
            </w:pPr>
            <w:r w:rsidRPr="0098660A">
              <w:rPr>
                <w:rFonts w:ascii="Arial Narrow" w:hAnsi="Arial Narrow" w:cs="Segoe UI"/>
                <w:b/>
                <w:bCs/>
                <w:color w:val="333333"/>
                <w:sz w:val="20"/>
                <w:szCs w:val="20"/>
                <w:lang w:eastAsia="en-US"/>
              </w:rPr>
              <w:t>Indication:</w:t>
            </w:r>
            <w:r w:rsidRPr="0098660A">
              <w:rPr>
                <w:rFonts w:ascii="Arial Narrow" w:hAnsi="Arial Narrow" w:cs="Segoe UI"/>
                <w:color w:val="333333"/>
                <w:sz w:val="20"/>
                <w:szCs w:val="20"/>
                <w:lang w:eastAsia="en-US"/>
              </w:rPr>
              <w:t xml:space="preserve"> Paroxysmal nocturnal haemoglobinuria (PNH)</w:t>
            </w:r>
          </w:p>
        </w:tc>
      </w:tr>
      <w:tr w:rsidR="00147ACC" w:rsidRPr="0098660A" w14:paraId="1A3BEB83"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hideMark/>
          </w:tcPr>
          <w:p w14:paraId="1B43FC8A" w14:textId="77777777" w:rsidR="00147ACC" w:rsidRPr="0098660A" w:rsidRDefault="00147ACC" w:rsidP="000E2127">
            <w:pPr>
              <w:rPr>
                <w:rFonts w:ascii="Arial Narrow" w:hAnsi="Arial Narrow"/>
                <w:sz w:val="20"/>
                <w:szCs w:val="20"/>
              </w:rPr>
            </w:pPr>
            <w:r w:rsidRPr="0098660A">
              <w:rPr>
                <w:rFonts w:ascii="Arial Narrow" w:hAnsi="Arial Narrow"/>
                <w:b/>
                <w:bCs/>
                <w:sz w:val="20"/>
                <w:szCs w:val="20"/>
              </w:rPr>
              <w:t>Treatment Phase:</w:t>
            </w:r>
            <w:r w:rsidRPr="0098660A">
              <w:rPr>
                <w:rFonts w:ascii="Arial Narrow" w:hAnsi="Arial Narrow"/>
                <w:sz w:val="20"/>
                <w:szCs w:val="20"/>
              </w:rPr>
              <w:t xml:space="preserve"> First continuing treatment  </w:t>
            </w:r>
          </w:p>
        </w:tc>
      </w:tr>
      <w:tr w:rsidR="00147ACC" w:rsidRPr="0098660A" w14:paraId="0FC380BB"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hideMark/>
          </w:tcPr>
          <w:p w14:paraId="7635F9F7" w14:textId="77777777" w:rsidR="00147ACC" w:rsidRPr="0098660A" w:rsidRDefault="00147ACC" w:rsidP="000E2127">
            <w:pPr>
              <w:rPr>
                <w:rFonts w:ascii="Arial Narrow" w:hAnsi="Arial Narrow"/>
                <w:sz w:val="20"/>
                <w:szCs w:val="20"/>
              </w:rPr>
            </w:pPr>
            <w:r w:rsidRPr="0098660A">
              <w:rPr>
                <w:rFonts w:ascii="Arial Narrow" w:hAnsi="Arial Narrow" w:cs="Times New Roman"/>
                <w:b/>
                <w:bCs/>
                <w:sz w:val="20"/>
                <w:szCs w:val="20"/>
              </w:rPr>
              <w:t>Clinical criteria:</w:t>
            </w:r>
          </w:p>
        </w:tc>
      </w:tr>
      <w:tr w:rsidR="00147ACC" w:rsidRPr="0098660A" w14:paraId="53C073E8"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hideMark/>
          </w:tcPr>
          <w:p w14:paraId="01BD4F40" w14:textId="77777777" w:rsidR="00147ACC" w:rsidRPr="0098660A" w:rsidRDefault="00147ACC" w:rsidP="000E2127">
            <w:pPr>
              <w:rPr>
                <w:rFonts w:ascii="Arial Narrow" w:hAnsi="Arial Narrow" w:cs="Times New Roman"/>
                <w:strike/>
                <w:sz w:val="20"/>
                <w:szCs w:val="20"/>
              </w:rPr>
            </w:pPr>
            <w:r w:rsidRPr="0098660A">
              <w:rPr>
                <w:rFonts w:ascii="Arial Narrow" w:hAnsi="Arial Narrow" w:cs="Times New Roman"/>
                <w:strike/>
                <w:sz w:val="20"/>
                <w:szCs w:val="20"/>
              </w:rPr>
              <w:t xml:space="preserve">Patient must have received PBS-subsidised treatment with this drug for this condition under the 'Initial' </w:t>
            </w:r>
            <w:r w:rsidRPr="0098660A">
              <w:rPr>
                <w:rFonts w:ascii="Arial Narrow" w:hAnsi="Arial Narrow" w:cs="Times New Roman"/>
                <w:i/>
                <w:iCs/>
                <w:strike/>
                <w:sz w:val="20"/>
                <w:szCs w:val="20"/>
              </w:rPr>
              <w:t xml:space="preserve">(complement inhibitor experienced) or 'Initial' (complement inhibitor inexperienced) </w:t>
            </w:r>
            <w:r w:rsidRPr="0098660A">
              <w:rPr>
                <w:rFonts w:ascii="Arial Narrow" w:hAnsi="Arial Narrow" w:cs="Times New Roman"/>
                <w:strike/>
                <w:sz w:val="20"/>
                <w:szCs w:val="20"/>
              </w:rPr>
              <w:t>or 'Grandfather' treatment restriction</w:t>
            </w:r>
          </w:p>
          <w:p w14:paraId="56960165" w14:textId="77777777" w:rsidR="00147ACC" w:rsidRPr="0098660A" w:rsidRDefault="00147ACC" w:rsidP="000E2127">
            <w:pPr>
              <w:rPr>
                <w:rFonts w:ascii="Arial Narrow" w:hAnsi="Arial Narrow" w:cs="Times New Roman"/>
                <w:i/>
                <w:iCs/>
                <w:sz w:val="20"/>
                <w:szCs w:val="20"/>
              </w:rPr>
            </w:pPr>
            <w:r w:rsidRPr="0098660A">
              <w:rPr>
                <w:rFonts w:ascii="Arial Narrow" w:hAnsi="Arial Narrow" w:cs="Times New Roman"/>
                <w:i/>
                <w:iCs/>
                <w:sz w:val="20"/>
                <w:szCs w:val="20"/>
              </w:rPr>
              <w:t>Patient must have received PBS-subsidised treatment with this drug for this condition under 'Initial 1'</w:t>
            </w:r>
            <w:r w:rsidRPr="0098660A">
              <w:rPr>
                <w:rFonts w:ascii="Arial Narrow" w:hAnsi="Arial Narrow" w:cs="Times New Roman"/>
                <w:sz w:val="20"/>
                <w:szCs w:val="20"/>
              </w:rPr>
              <w:t xml:space="preserve"> </w:t>
            </w:r>
            <w:r w:rsidRPr="0098660A">
              <w:rPr>
                <w:rFonts w:ascii="Arial Narrow" w:hAnsi="Arial Narrow" w:cs="Times New Roman"/>
                <w:i/>
                <w:iCs/>
                <w:sz w:val="20"/>
                <w:szCs w:val="20"/>
              </w:rPr>
              <w:t>(new untreated patient) or 'Initial 2' (</w:t>
            </w:r>
            <w:r w:rsidRPr="0098660A">
              <w:rPr>
                <w:rFonts w:ascii="Arial Narrow" w:hAnsi="Arial Narrow" w:cs="Segoe UI"/>
                <w:i/>
                <w:iCs/>
                <w:sz w:val="20"/>
                <w:szCs w:val="20"/>
                <w:lang w:eastAsia="en-US"/>
              </w:rPr>
              <w:t>switching from a Complement 5 inhibitor</w:t>
            </w:r>
            <w:r w:rsidRPr="0098660A">
              <w:rPr>
                <w:rFonts w:ascii="Arial Narrow" w:hAnsi="Arial Narrow" w:cs="Times New Roman"/>
                <w:i/>
                <w:iCs/>
                <w:sz w:val="20"/>
                <w:szCs w:val="20"/>
              </w:rPr>
              <w:t>).</w:t>
            </w:r>
          </w:p>
        </w:tc>
      </w:tr>
      <w:tr w:rsidR="00147ACC" w:rsidRPr="0098660A" w14:paraId="31587F11"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32B05277" w14:textId="77777777" w:rsidR="00147ACC" w:rsidRPr="0098660A" w:rsidRDefault="00147ACC" w:rsidP="000E2127">
            <w:pPr>
              <w:rPr>
                <w:rFonts w:ascii="Arial Narrow" w:hAnsi="Arial Narrow"/>
                <w:sz w:val="20"/>
                <w:szCs w:val="20"/>
              </w:rPr>
            </w:pPr>
            <w:r w:rsidRPr="0098660A">
              <w:rPr>
                <w:rFonts w:ascii="Arial Narrow" w:hAnsi="Arial Narrow" w:cs="Times New Roman"/>
                <w:b/>
                <w:bCs/>
                <w:sz w:val="20"/>
                <w:szCs w:val="20"/>
              </w:rPr>
              <w:t>AND</w:t>
            </w:r>
          </w:p>
        </w:tc>
      </w:tr>
      <w:tr w:rsidR="00147ACC" w:rsidRPr="0098660A" w14:paraId="152CB92D"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hideMark/>
          </w:tcPr>
          <w:p w14:paraId="0A1CFD43" w14:textId="77777777" w:rsidR="00147ACC" w:rsidRPr="0098660A" w:rsidRDefault="00147ACC" w:rsidP="000E2127">
            <w:pPr>
              <w:rPr>
                <w:rFonts w:ascii="Arial Narrow" w:hAnsi="Arial Narrow"/>
                <w:sz w:val="20"/>
                <w:szCs w:val="20"/>
              </w:rPr>
            </w:pPr>
            <w:r w:rsidRPr="0098660A">
              <w:rPr>
                <w:rFonts w:ascii="Arial Narrow" w:hAnsi="Arial Narrow" w:cs="Times New Roman"/>
                <w:b/>
                <w:bCs/>
                <w:sz w:val="20"/>
                <w:szCs w:val="20"/>
              </w:rPr>
              <w:t>Clinical criteria:</w:t>
            </w:r>
          </w:p>
        </w:tc>
      </w:tr>
      <w:tr w:rsidR="00147ACC" w:rsidRPr="0098660A" w14:paraId="137A737A"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015E2B30" w14:textId="77777777" w:rsidR="00147ACC" w:rsidRPr="0098660A" w:rsidRDefault="00147ACC" w:rsidP="000E2127">
            <w:pPr>
              <w:rPr>
                <w:rFonts w:ascii="Arial Narrow" w:hAnsi="Arial Narrow" w:cs="Times New Roman"/>
                <w:strike/>
                <w:sz w:val="20"/>
                <w:szCs w:val="20"/>
              </w:rPr>
            </w:pPr>
            <w:r w:rsidRPr="0098660A">
              <w:rPr>
                <w:rFonts w:ascii="Arial Narrow" w:hAnsi="Arial Narrow" w:cs="Times New Roman"/>
                <w:strike/>
                <w:sz w:val="20"/>
                <w:szCs w:val="20"/>
              </w:rPr>
              <w:t>The treatment must not be in combination with a Complement 5 (C5) inhibitor</w:t>
            </w:r>
          </w:p>
          <w:p w14:paraId="14AB8783" w14:textId="77777777" w:rsidR="00147ACC" w:rsidRPr="0098660A" w:rsidRDefault="00147ACC" w:rsidP="000E2127">
            <w:pPr>
              <w:rPr>
                <w:rFonts w:ascii="Arial Narrow" w:hAnsi="Arial Narrow"/>
                <w:i/>
                <w:iCs/>
                <w:sz w:val="20"/>
                <w:szCs w:val="20"/>
              </w:rPr>
            </w:pPr>
            <w:r w:rsidRPr="0098660A">
              <w:rPr>
                <w:rFonts w:ascii="Arial Narrow" w:hAnsi="Arial Narrow"/>
                <w:i/>
                <w:iCs/>
                <w:sz w:val="20"/>
                <w:szCs w:val="20"/>
              </w:rPr>
              <w:t>The treatment must be the sole PBS-subsidised therapy for this condition.</w:t>
            </w:r>
          </w:p>
        </w:tc>
      </w:tr>
      <w:tr w:rsidR="00147ACC" w:rsidRPr="0098660A" w14:paraId="420F06A1"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hideMark/>
          </w:tcPr>
          <w:p w14:paraId="0E7BE50E" w14:textId="77777777" w:rsidR="00147ACC" w:rsidRPr="0098660A" w:rsidRDefault="00147ACC" w:rsidP="000E2127">
            <w:pPr>
              <w:rPr>
                <w:rFonts w:ascii="Arial Narrow" w:hAnsi="Arial Narrow"/>
                <w:sz w:val="20"/>
                <w:szCs w:val="20"/>
              </w:rPr>
            </w:pPr>
            <w:r w:rsidRPr="0098660A">
              <w:rPr>
                <w:rFonts w:ascii="Arial Narrow" w:hAnsi="Arial Narrow" w:cs="Times New Roman"/>
                <w:b/>
                <w:bCs/>
                <w:sz w:val="20"/>
                <w:szCs w:val="20"/>
              </w:rPr>
              <w:t>AND</w:t>
            </w:r>
          </w:p>
        </w:tc>
      </w:tr>
      <w:tr w:rsidR="00147ACC" w:rsidRPr="0098660A" w14:paraId="235297F3"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hideMark/>
          </w:tcPr>
          <w:p w14:paraId="6284FFB4" w14:textId="77777777" w:rsidR="00147ACC" w:rsidRPr="0098660A" w:rsidRDefault="00147ACC" w:rsidP="000E2127">
            <w:pPr>
              <w:autoSpaceDE w:val="0"/>
              <w:autoSpaceDN w:val="0"/>
              <w:adjustRightInd w:val="0"/>
              <w:rPr>
                <w:rFonts w:ascii="Arial Narrow" w:hAnsi="Arial Narrow" w:cs="Arial Narrow"/>
                <w:sz w:val="20"/>
                <w:szCs w:val="20"/>
              </w:rPr>
            </w:pPr>
            <w:r w:rsidRPr="0098660A">
              <w:rPr>
                <w:rFonts w:ascii="Arial Narrow" w:hAnsi="Arial Narrow" w:cs="Segoe UI"/>
                <w:b/>
                <w:bCs/>
                <w:sz w:val="20"/>
                <w:szCs w:val="20"/>
              </w:rPr>
              <w:t>Treatment criteria:</w:t>
            </w:r>
          </w:p>
        </w:tc>
      </w:tr>
      <w:tr w:rsidR="00147ACC" w:rsidRPr="0098660A" w14:paraId="75ED9DFF"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27A81300" w14:textId="77777777" w:rsidR="00147ACC" w:rsidRPr="0098660A" w:rsidRDefault="00147ACC" w:rsidP="000E2127">
            <w:pPr>
              <w:autoSpaceDE w:val="0"/>
              <w:autoSpaceDN w:val="0"/>
              <w:adjustRightInd w:val="0"/>
              <w:rPr>
                <w:rFonts w:ascii="Arial Narrow" w:hAnsi="Arial Narrow" w:cs="Arial Narrow"/>
                <w:b/>
                <w:bCs/>
                <w:sz w:val="20"/>
                <w:szCs w:val="20"/>
              </w:rPr>
            </w:pPr>
            <w:r w:rsidRPr="0098660A">
              <w:rPr>
                <w:rFonts w:ascii="Arial Narrow" w:hAnsi="Arial Narrow" w:cs="Arial Narrow"/>
                <w:sz w:val="20"/>
                <w:szCs w:val="20"/>
              </w:rPr>
              <w:t>Must be treated by a haematologist; or</w:t>
            </w:r>
          </w:p>
        </w:tc>
      </w:tr>
      <w:tr w:rsidR="00147ACC" w:rsidRPr="0098660A" w14:paraId="6A142962"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hideMark/>
          </w:tcPr>
          <w:p w14:paraId="3A62599A" w14:textId="77777777" w:rsidR="00147ACC" w:rsidRPr="0098660A" w:rsidRDefault="00147ACC" w:rsidP="000E2127">
            <w:pPr>
              <w:rPr>
                <w:rFonts w:ascii="Arial Narrow" w:hAnsi="Arial Narrow"/>
                <w:sz w:val="20"/>
                <w:szCs w:val="20"/>
              </w:rPr>
            </w:pPr>
            <w:r w:rsidRPr="0098660A">
              <w:rPr>
                <w:rFonts w:ascii="Arial Narrow" w:hAnsi="Arial Narrow" w:cs="Arial Narrow"/>
                <w:sz w:val="20"/>
                <w:szCs w:val="20"/>
              </w:rPr>
              <w:t>Must be treated by a non-specialist medical physician who has consulted a haematologist on the patient's drug treatment details.</w:t>
            </w:r>
          </w:p>
        </w:tc>
      </w:tr>
      <w:tr w:rsidR="00147ACC" w:rsidRPr="0098660A" w14:paraId="565C5CC9"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4EC428C1" w14:textId="77777777" w:rsidR="00147ACC" w:rsidRPr="0098660A" w:rsidRDefault="00147ACC" w:rsidP="000E2127">
            <w:pPr>
              <w:rPr>
                <w:rFonts w:ascii="Arial Narrow" w:hAnsi="Arial Narrow"/>
                <w:sz w:val="20"/>
                <w:szCs w:val="20"/>
              </w:rPr>
            </w:pPr>
            <w:r w:rsidRPr="0098660A">
              <w:rPr>
                <w:rFonts w:ascii="Arial Narrow" w:hAnsi="Arial Narrow" w:cs="Arial Narrow"/>
                <w:b/>
                <w:bCs/>
                <w:sz w:val="20"/>
                <w:szCs w:val="20"/>
              </w:rPr>
              <w:t>Population criteria:</w:t>
            </w:r>
          </w:p>
        </w:tc>
      </w:tr>
      <w:tr w:rsidR="00147ACC" w:rsidRPr="0098660A" w14:paraId="60036983"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hideMark/>
          </w:tcPr>
          <w:p w14:paraId="015CCBCF" w14:textId="77777777" w:rsidR="00147ACC" w:rsidRPr="0098660A" w:rsidRDefault="00147ACC" w:rsidP="000E2127">
            <w:pPr>
              <w:rPr>
                <w:rFonts w:ascii="Arial Narrow" w:hAnsi="Arial Narrow"/>
                <w:sz w:val="20"/>
                <w:szCs w:val="20"/>
              </w:rPr>
            </w:pPr>
            <w:r w:rsidRPr="0098660A">
              <w:rPr>
                <w:rFonts w:ascii="Arial Narrow" w:hAnsi="Arial Narrow" w:cs="Arial Narrow"/>
                <w:sz w:val="20"/>
                <w:szCs w:val="20"/>
              </w:rPr>
              <w:t>Patient must be at least 18 years of age</w:t>
            </w:r>
          </w:p>
        </w:tc>
      </w:tr>
      <w:tr w:rsidR="00147ACC" w:rsidRPr="0098660A" w14:paraId="6B86FB5A"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0C77F55E" w14:textId="77777777" w:rsidR="00147ACC" w:rsidRPr="0098660A" w:rsidRDefault="00147ACC" w:rsidP="51A4B722">
            <w:pPr>
              <w:rPr>
                <w:rFonts w:ascii="Arial Narrow" w:hAnsi="Arial Narrow" w:cs="Times New Roman"/>
                <w:sz w:val="20"/>
                <w:szCs w:val="20"/>
              </w:rPr>
            </w:pPr>
            <w:r w:rsidRPr="0098660A">
              <w:rPr>
                <w:rFonts w:ascii="Arial Narrow" w:hAnsi="Arial Narrow" w:cs="Times New Roman"/>
                <w:b/>
                <w:bCs/>
                <w:sz w:val="20"/>
                <w:szCs w:val="20"/>
              </w:rPr>
              <w:t xml:space="preserve">Prescribing Instructions: </w:t>
            </w:r>
          </w:p>
          <w:p w14:paraId="00C7DAFB" w14:textId="77777777" w:rsidR="00147ACC" w:rsidRPr="0098660A" w:rsidRDefault="00147ACC" w:rsidP="51A4B722">
            <w:pPr>
              <w:rPr>
                <w:rFonts w:ascii="Arial Narrow" w:hAnsi="Arial Narrow" w:cs="Times New Roman"/>
                <w:strike/>
                <w:sz w:val="20"/>
                <w:szCs w:val="20"/>
              </w:rPr>
            </w:pPr>
            <w:r w:rsidRPr="0098660A">
              <w:rPr>
                <w:rFonts w:ascii="Arial Narrow" w:hAnsi="Arial Narrow" w:cs="Times New Roman"/>
                <w:strike/>
                <w:sz w:val="20"/>
                <w:szCs w:val="20"/>
              </w:rPr>
              <w:t>The authority application must be made in writing and must include:</w:t>
            </w:r>
          </w:p>
          <w:p w14:paraId="7A354D42" w14:textId="26409197" w:rsidR="00147ACC" w:rsidRPr="0098660A" w:rsidRDefault="00147ACC" w:rsidP="51A4B722">
            <w:pPr>
              <w:rPr>
                <w:rFonts w:ascii="Arial Narrow" w:hAnsi="Arial Narrow" w:cs="Times New Roman"/>
                <w:i/>
                <w:iCs/>
                <w:sz w:val="20"/>
                <w:szCs w:val="20"/>
              </w:rPr>
            </w:pPr>
            <w:r w:rsidRPr="0098660A">
              <w:rPr>
                <w:rFonts w:ascii="Arial Narrow" w:hAnsi="Arial Narrow" w:cs="Times New Roman"/>
                <w:i/>
                <w:iCs/>
                <w:sz w:val="20"/>
                <w:szCs w:val="20"/>
              </w:rPr>
              <w:t>If the application is submitted through HPOS form upload or mail, it must include:</w:t>
            </w:r>
          </w:p>
          <w:p w14:paraId="2C1F8344" w14:textId="78F93C96" w:rsidR="00147ACC" w:rsidRPr="0098660A" w:rsidRDefault="00147ACC" w:rsidP="51A4B722">
            <w:pPr>
              <w:rPr>
                <w:rFonts w:ascii="Arial Narrow" w:hAnsi="Arial Narrow" w:cs="Times New Roman"/>
                <w:sz w:val="20"/>
                <w:szCs w:val="20"/>
              </w:rPr>
            </w:pPr>
            <w:r w:rsidRPr="0098660A">
              <w:rPr>
                <w:rFonts w:ascii="Arial Narrow" w:hAnsi="Arial Narrow" w:cs="Times New Roman"/>
                <w:strike/>
                <w:sz w:val="20"/>
                <w:szCs w:val="20"/>
              </w:rPr>
              <w:t>(1)</w:t>
            </w:r>
            <w:r w:rsidRPr="0098660A">
              <w:rPr>
                <w:rFonts w:ascii="Arial Narrow" w:hAnsi="Arial Narrow" w:cs="Times New Roman"/>
                <w:sz w:val="20"/>
                <w:szCs w:val="20"/>
              </w:rPr>
              <w:t xml:space="preserve"> </w:t>
            </w:r>
            <w:r w:rsidRPr="0098660A">
              <w:rPr>
                <w:rFonts w:ascii="Arial Narrow" w:hAnsi="Arial Narrow" w:cs="Times New Roman"/>
                <w:i/>
                <w:iCs/>
                <w:sz w:val="20"/>
                <w:szCs w:val="20"/>
              </w:rPr>
              <w:t xml:space="preserve">(i) </w:t>
            </w:r>
            <w:r w:rsidRPr="0098660A">
              <w:rPr>
                <w:rFonts w:ascii="Arial Narrow" w:hAnsi="Arial Narrow" w:cs="Times New Roman"/>
                <w:strike/>
                <w:sz w:val="20"/>
                <w:szCs w:val="20"/>
              </w:rPr>
              <w:t>a completed authority prescription form;</w:t>
            </w:r>
            <w:r w:rsidRPr="0098660A">
              <w:rPr>
                <w:rFonts w:ascii="Arial Narrow" w:hAnsi="Arial Narrow" w:cs="Times New Roman"/>
                <w:sz w:val="20"/>
                <w:szCs w:val="20"/>
              </w:rPr>
              <w:t xml:space="preserve"> details of the proposed prescription; and</w:t>
            </w:r>
          </w:p>
          <w:p w14:paraId="1AD26F41" w14:textId="4AFEE069" w:rsidR="00147ACC" w:rsidRPr="0098660A" w:rsidRDefault="00147ACC" w:rsidP="51A4B722">
            <w:pPr>
              <w:rPr>
                <w:rFonts w:ascii="Arial Narrow" w:hAnsi="Arial Narrow" w:cs="Times New Roman"/>
                <w:sz w:val="20"/>
                <w:szCs w:val="20"/>
              </w:rPr>
            </w:pPr>
            <w:r w:rsidRPr="0098660A">
              <w:rPr>
                <w:rFonts w:ascii="Arial Narrow" w:hAnsi="Arial Narrow" w:cs="Times New Roman"/>
                <w:strike/>
                <w:sz w:val="20"/>
                <w:szCs w:val="20"/>
              </w:rPr>
              <w:t>(2)</w:t>
            </w:r>
            <w:r w:rsidRPr="0098660A">
              <w:rPr>
                <w:rFonts w:ascii="Arial Narrow" w:hAnsi="Arial Narrow" w:cs="Times New Roman"/>
                <w:sz w:val="20"/>
                <w:szCs w:val="20"/>
              </w:rPr>
              <w:t xml:space="preserve"> </w:t>
            </w:r>
            <w:r w:rsidRPr="0098660A">
              <w:rPr>
                <w:rFonts w:ascii="Arial Narrow" w:hAnsi="Arial Narrow" w:cs="Times New Roman"/>
                <w:i/>
                <w:iCs/>
                <w:sz w:val="20"/>
                <w:szCs w:val="20"/>
              </w:rPr>
              <w:t xml:space="preserve">(ii) </w:t>
            </w:r>
            <w:r w:rsidRPr="0098660A">
              <w:rPr>
                <w:rFonts w:ascii="Arial Narrow" w:hAnsi="Arial Narrow" w:cs="Times New Roman"/>
                <w:sz w:val="20"/>
                <w:szCs w:val="20"/>
              </w:rPr>
              <w:t>a completed authority application form relevant to the indication and treatment phase (the latest version is located on the website specified in the Administrative Advice).</w:t>
            </w:r>
          </w:p>
        </w:tc>
      </w:tr>
      <w:tr w:rsidR="00147ACC" w:rsidRPr="0098660A" w14:paraId="5259ABA0"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56D1CF15" w14:textId="77777777" w:rsidR="00147ACC" w:rsidRPr="0098660A" w:rsidRDefault="00147ACC" w:rsidP="000E2127">
            <w:pPr>
              <w:rPr>
                <w:rFonts w:ascii="Arial Narrow" w:hAnsi="Arial Narrow" w:cs="Times New Roman"/>
                <w:sz w:val="20"/>
                <w:szCs w:val="20"/>
              </w:rPr>
            </w:pPr>
            <w:r w:rsidRPr="0098660A">
              <w:rPr>
                <w:rFonts w:ascii="Arial Narrow" w:hAnsi="Arial Narrow" w:cs="Times New Roman"/>
                <w:b/>
                <w:bCs/>
                <w:sz w:val="20"/>
                <w:szCs w:val="20"/>
              </w:rPr>
              <w:t xml:space="preserve">Prescribing Instructions: </w:t>
            </w:r>
          </w:p>
          <w:p w14:paraId="4A023936" w14:textId="77777777" w:rsidR="00147ACC" w:rsidRPr="0098660A" w:rsidRDefault="00147ACC" w:rsidP="000E2127">
            <w:pPr>
              <w:rPr>
                <w:rFonts w:ascii="Arial Narrow" w:hAnsi="Arial Narrow" w:cs="Times New Roman"/>
                <w:b/>
                <w:bCs/>
                <w:sz w:val="20"/>
                <w:szCs w:val="20"/>
              </w:rPr>
            </w:pPr>
            <w:r w:rsidRPr="0098660A">
              <w:rPr>
                <w:rFonts w:ascii="Arial Narrow" w:hAnsi="Arial Narrow" w:cs="Arial Narrow"/>
                <w:sz w:val="20"/>
                <w:szCs w:val="20"/>
              </w:rPr>
              <w:t>At the time of the authority application, medical practitioners must request the appropriate number of vials for 4 weeks supply per dispensing as per the Product Information. A maximum of 5 repeats may be requested.</w:t>
            </w:r>
          </w:p>
        </w:tc>
      </w:tr>
      <w:tr w:rsidR="00147ACC" w:rsidRPr="0098660A" w14:paraId="67792AC3"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0DF981E1" w14:textId="77777777" w:rsidR="00147ACC" w:rsidRPr="0098660A" w:rsidRDefault="00147ACC" w:rsidP="000E2127">
            <w:pPr>
              <w:rPr>
                <w:rFonts w:ascii="Arial Narrow" w:hAnsi="Arial Narrow" w:cs="Times New Roman"/>
                <w:b/>
                <w:bCs/>
                <w:sz w:val="20"/>
                <w:szCs w:val="20"/>
              </w:rPr>
            </w:pPr>
            <w:r w:rsidRPr="0098660A">
              <w:rPr>
                <w:rFonts w:ascii="Arial Narrow" w:hAnsi="Arial Narrow" w:cs="Times New Roman"/>
                <w:b/>
                <w:bCs/>
                <w:sz w:val="20"/>
                <w:szCs w:val="20"/>
              </w:rPr>
              <w:t>Prescribing Instructions:</w:t>
            </w:r>
          </w:p>
          <w:p w14:paraId="37F853AE" w14:textId="77777777" w:rsidR="00147ACC" w:rsidRPr="0098660A" w:rsidRDefault="00147ACC" w:rsidP="000E2127">
            <w:pPr>
              <w:rPr>
                <w:rFonts w:ascii="Arial Narrow" w:hAnsi="Arial Narrow" w:cs="Times New Roman"/>
                <w:sz w:val="20"/>
                <w:szCs w:val="20"/>
              </w:rPr>
            </w:pPr>
            <w:r w:rsidRPr="0098660A">
              <w:rPr>
                <w:rFonts w:ascii="Arial Narrow" w:hAnsi="Arial Narrow" w:cs="Times New Roman"/>
                <w:sz w:val="20"/>
                <w:szCs w:val="20"/>
              </w:rPr>
              <w:t>At the time of the authority application, details (result and date of result) of the following monitoring requirements must be provided:</w:t>
            </w:r>
          </w:p>
          <w:p w14:paraId="4CAF03DD" w14:textId="77777777" w:rsidR="00147ACC" w:rsidRPr="0098660A" w:rsidRDefault="00147ACC" w:rsidP="000E2127">
            <w:pPr>
              <w:rPr>
                <w:rFonts w:ascii="Arial Narrow" w:hAnsi="Arial Narrow" w:cs="Times New Roman"/>
                <w:sz w:val="20"/>
                <w:szCs w:val="20"/>
              </w:rPr>
            </w:pPr>
            <w:r w:rsidRPr="0098660A">
              <w:rPr>
                <w:rFonts w:ascii="Arial Narrow" w:hAnsi="Arial Narrow" w:cs="Times New Roman"/>
                <w:sz w:val="20"/>
                <w:szCs w:val="20"/>
              </w:rPr>
              <w:t>(i) Haemoglobin (g/L)</w:t>
            </w:r>
          </w:p>
          <w:p w14:paraId="71342454" w14:textId="77777777" w:rsidR="00147ACC" w:rsidRPr="0098660A" w:rsidRDefault="00147ACC" w:rsidP="000E2127">
            <w:pPr>
              <w:rPr>
                <w:rFonts w:ascii="Arial Narrow" w:hAnsi="Arial Narrow" w:cs="Times New Roman"/>
                <w:sz w:val="20"/>
                <w:szCs w:val="20"/>
              </w:rPr>
            </w:pPr>
            <w:r w:rsidRPr="0098660A">
              <w:rPr>
                <w:rFonts w:ascii="Arial Narrow" w:hAnsi="Arial Narrow" w:cs="Times New Roman"/>
                <w:sz w:val="20"/>
                <w:szCs w:val="20"/>
              </w:rPr>
              <w:t>(ii) Platelets (x10</w:t>
            </w:r>
            <w:r w:rsidRPr="0098660A">
              <w:rPr>
                <w:rFonts w:ascii="Arial Narrow" w:hAnsi="Arial Narrow" w:cs="Times New Roman"/>
                <w:sz w:val="20"/>
                <w:szCs w:val="20"/>
                <w:vertAlign w:val="superscript"/>
              </w:rPr>
              <w:t>9</w:t>
            </w:r>
            <w:r w:rsidRPr="0098660A">
              <w:rPr>
                <w:rFonts w:ascii="Arial Narrow" w:hAnsi="Arial Narrow" w:cs="Times New Roman"/>
                <w:sz w:val="20"/>
                <w:szCs w:val="20"/>
              </w:rPr>
              <w:t>/L)</w:t>
            </w:r>
          </w:p>
          <w:p w14:paraId="78628BB2" w14:textId="77777777" w:rsidR="00147ACC" w:rsidRPr="0098660A" w:rsidRDefault="00147ACC" w:rsidP="000E2127">
            <w:pPr>
              <w:rPr>
                <w:rFonts w:ascii="Arial Narrow" w:hAnsi="Arial Narrow" w:cs="Times New Roman"/>
                <w:sz w:val="20"/>
                <w:szCs w:val="20"/>
              </w:rPr>
            </w:pPr>
            <w:r w:rsidRPr="0098660A">
              <w:rPr>
                <w:rFonts w:ascii="Arial Narrow" w:hAnsi="Arial Narrow" w:cs="Times New Roman"/>
                <w:sz w:val="20"/>
                <w:szCs w:val="20"/>
              </w:rPr>
              <w:t>(iii) White Cell Count (x10</w:t>
            </w:r>
            <w:r w:rsidRPr="0098660A">
              <w:rPr>
                <w:rFonts w:ascii="Arial Narrow" w:hAnsi="Arial Narrow" w:cs="Times New Roman"/>
                <w:sz w:val="20"/>
                <w:szCs w:val="20"/>
                <w:vertAlign w:val="superscript"/>
              </w:rPr>
              <w:t>9</w:t>
            </w:r>
            <w:r w:rsidRPr="0098660A">
              <w:rPr>
                <w:rFonts w:ascii="Arial Narrow" w:hAnsi="Arial Narrow" w:cs="Times New Roman"/>
                <w:sz w:val="20"/>
                <w:szCs w:val="20"/>
              </w:rPr>
              <w:t>/L)</w:t>
            </w:r>
          </w:p>
          <w:p w14:paraId="77961C21" w14:textId="77777777" w:rsidR="00147ACC" w:rsidRPr="0098660A" w:rsidRDefault="00147ACC" w:rsidP="000E2127">
            <w:pPr>
              <w:rPr>
                <w:rFonts w:ascii="Arial Narrow" w:hAnsi="Arial Narrow" w:cs="Times New Roman"/>
                <w:sz w:val="20"/>
                <w:szCs w:val="20"/>
              </w:rPr>
            </w:pPr>
            <w:r w:rsidRPr="0098660A">
              <w:rPr>
                <w:rFonts w:ascii="Arial Narrow" w:hAnsi="Arial Narrow" w:cs="Times New Roman"/>
                <w:sz w:val="20"/>
                <w:szCs w:val="20"/>
              </w:rPr>
              <w:t>(iv) Reticulocytes (x10</w:t>
            </w:r>
            <w:r w:rsidRPr="0098660A">
              <w:rPr>
                <w:rFonts w:ascii="Arial Narrow" w:hAnsi="Arial Narrow" w:cs="Times New Roman"/>
                <w:sz w:val="20"/>
                <w:szCs w:val="20"/>
                <w:vertAlign w:val="superscript"/>
              </w:rPr>
              <w:t>9</w:t>
            </w:r>
            <w:r w:rsidRPr="0098660A">
              <w:rPr>
                <w:rFonts w:ascii="Arial Narrow" w:hAnsi="Arial Narrow" w:cs="Times New Roman"/>
                <w:sz w:val="20"/>
                <w:szCs w:val="20"/>
              </w:rPr>
              <w:t>/L)</w:t>
            </w:r>
          </w:p>
          <w:p w14:paraId="54C2108D" w14:textId="77777777" w:rsidR="00147ACC" w:rsidRPr="0098660A" w:rsidRDefault="00147ACC" w:rsidP="000E2127">
            <w:pPr>
              <w:rPr>
                <w:rFonts w:ascii="Arial Narrow" w:hAnsi="Arial Narrow" w:cs="Times New Roman"/>
                <w:sz w:val="20"/>
                <w:szCs w:val="20"/>
              </w:rPr>
            </w:pPr>
            <w:r w:rsidRPr="0098660A">
              <w:rPr>
                <w:rFonts w:ascii="Arial Narrow" w:hAnsi="Arial Narrow" w:cs="Times New Roman"/>
                <w:sz w:val="20"/>
                <w:szCs w:val="20"/>
              </w:rPr>
              <w:t>(v) Neutrophils (x10</w:t>
            </w:r>
            <w:r w:rsidRPr="0098660A">
              <w:rPr>
                <w:rFonts w:ascii="Arial Narrow" w:hAnsi="Arial Narrow" w:cs="Times New Roman"/>
                <w:sz w:val="20"/>
                <w:szCs w:val="20"/>
                <w:vertAlign w:val="superscript"/>
              </w:rPr>
              <w:t>9</w:t>
            </w:r>
            <w:r w:rsidRPr="0098660A">
              <w:rPr>
                <w:rFonts w:ascii="Arial Narrow" w:hAnsi="Arial Narrow" w:cs="Times New Roman"/>
                <w:sz w:val="20"/>
                <w:szCs w:val="20"/>
              </w:rPr>
              <w:t>/L)</w:t>
            </w:r>
          </w:p>
          <w:p w14:paraId="3401E716" w14:textId="77777777" w:rsidR="00147ACC" w:rsidRPr="0098660A" w:rsidRDefault="00147ACC" w:rsidP="000E2127">
            <w:pPr>
              <w:rPr>
                <w:rFonts w:ascii="Arial Narrow" w:hAnsi="Arial Narrow" w:cs="Times New Roman"/>
                <w:sz w:val="20"/>
                <w:szCs w:val="20"/>
              </w:rPr>
            </w:pPr>
            <w:r w:rsidRPr="0098660A">
              <w:rPr>
                <w:rFonts w:ascii="Arial Narrow" w:hAnsi="Arial Narrow" w:cs="Times New Roman"/>
                <w:sz w:val="20"/>
                <w:szCs w:val="20"/>
              </w:rPr>
              <w:t>(vi) Granulocyte clone size (%)</w:t>
            </w:r>
          </w:p>
          <w:p w14:paraId="480B061E" w14:textId="77777777" w:rsidR="00147ACC" w:rsidRPr="0098660A" w:rsidRDefault="00147ACC" w:rsidP="000E2127">
            <w:pPr>
              <w:rPr>
                <w:rFonts w:ascii="Arial Narrow" w:hAnsi="Arial Narrow" w:cs="Times New Roman"/>
                <w:sz w:val="20"/>
                <w:szCs w:val="20"/>
              </w:rPr>
            </w:pPr>
            <w:r w:rsidRPr="0098660A">
              <w:rPr>
                <w:rFonts w:ascii="Arial Narrow" w:hAnsi="Arial Narrow" w:cs="Times New Roman"/>
                <w:sz w:val="20"/>
                <w:szCs w:val="20"/>
              </w:rPr>
              <w:t>(vii) Lactate Dehydrogenase (LDH)</w:t>
            </w:r>
          </w:p>
          <w:p w14:paraId="69F67F8B" w14:textId="77777777" w:rsidR="00147ACC" w:rsidRPr="0098660A" w:rsidRDefault="00147ACC" w:rsidP="000E2127">
            <w:pPr>
              <w:rPr>
                <w:rFonts w:ascii="Arial Narrow" w:hAnsi="Arial Narrow" w:cs="Times New Roman"/>
                <w:sz w:val="20"/>
                <w:szCs w:val="20"/>
              </w:rPr>
            </w:pPr>
            <w:r w:rsidRPr="0098660A">
              <w:rPr>
                <w:rFonts w:ascii="Arial Narrow" w:hAnsi="Arial Narrow" w:cs="Times New Roman"/>
                <w:sz w:val="20"/>
                <w:szCs w:val="20"/>
              </w:rPr>
              <w:t>(viii) the upper limit of normal (ULN) for LDH as quoted by the reporting laboratory</w:t>
            </w:r>
          </w:p>
          <w:p w14:paraId="3087DEC0" w14:textId="77777777" w:rsidR="00147ACC" w:rsidRPr="0098660A" w:rsidRDefault="00147ACC" w:rsidP="000E2127">
            <w:pPr>
              <w:rPr>
                <w:rFonts w:ascii="Arial Narrow" w:hAnsi="Arial Narrow"/>
                <w:b/>
                <w:bCs/>
                <w:sz w:val="20"/>
                <w:szCs w:val="20"/>
              </w:rPr>
            </w:pPr>
            <w:r w:rsidRPr="0098660A">
              <w:rPr>
                <w:rFonts w:ascii="Arial Narrow" w:hAnsi="Arial Narrow" w:cs="Times New Roman"/>
                <w:sz w:val="20"/>
                <w:szCs w:val="20"/>
              </w:rPr>
              <w:t>(ix) the LDH:ULN ratio (in figures, rounded to one decimal place)</w:t>
            </w:r>
          </w:p>
        </w:tc>
      </w:tr>
      <w:tr w:rsidR="00147ACC" w:rsidRPr="0098660A" w14:paraId="2BA6AC91"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shd w:val="clear" w:color="auto" w:fill="A6A6A6" w:themeFill="background1" w:themeFillShade="A6"/>
            <w:vAlign w:val="center"/>
          </w:tcPr>
          <w:p w14:paraId="1C5CB55F" w14:textId="332B589D" w:rsidR="00147ACC" w:rsidRPr="0098660A" w:rsidRDefault="00147ACC" w:rsidP="000E2127">
            <w:pPr>
              <w:rPr>
                <w:rFonts w:ascii="Arial Narrow" w:hAnsi="Arial Narrow" w:cs="Times New Roman"/>
                <w:b/>
                <w:bCs/>
                <w:sz w:val="20"/>
                <w:szCs w:val="20"/>
              </w:rPr>
            </w:pPr>
            <w:r w:rsidRPr="0098660A">
              <w:rPr>
                <w:rFonts w:ascii="Arial Narrow" w:hAnsi="Arial Narrow"/>
                <w:b/>
                <w:sz w:val="20"/>
                <w:szCs w:val="20"/>
              </w:rPr>
              <w:t>Restriction Summary edit 13742 / Treatment of Concept: edit 13743</w:t>
            </w:r>
          </w:p>
        </w:tc>
      </w:tr>
      <w:tr w:rsidR="00147ACC" w:rsidRPr="0098660A" w14:paraId="64A4DC94"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3FE8E4F8" w14:textId="77777777" w:rsidR="00147ACC" w:rsidRPr="0098660A" w:rsidRDefault="00147ACC" w:rsidP="000E2127">
            <w:pPr>
              <w:rPr>
                <w:rFonts w:ascii="Arial Narrow" w:hAnsi="Arial Narrow" w:cs="Times New Roman"/>
                <w:b/>
                <w:bCs/>
                <w:sz w:val="20"/>
                <w:szCs w:val="20"/>
              </w:rPr>
            </w:pPr>
            <w:r w:rsidRPr="0098660A">
              <w:rPr>
                <w:rFonts w:ascii="Arial Narrow" w:hAnsi="Arial Narrow" w:cs="Segoe UI"/>
                <w:b/>
                <w:bCs/>
                <w:color w:val="333333"/>
                <w:sz w:val="20"/>
                <w:szCs w:val="20"/>
                <w:lang w:eastAsia="en-US"/>
              </w:rPr>
              <w:t>Indication:</w:t>
            </w:r>
            <w:r w:rsidRPr="0098660A">
              <w:rPr>
                <w:rFonts w:ascii="Arial Narrow" w:hAnsi="Arial Narrow" w:cs="Segoe UI"/>
                <w:color w:val="333333"/>
                <w:sz w:val="20"/>
                <w:szCs w:val="20"/>
                <w:lang w:eastAsia="en-US"/>
              </w:rPr>
              <w:t xml:space="preserve"> Paroxysmal nocturnal haemoglobinuria (PNH)</w:t>
            </w:r>
          </w:p>
        </w:tc>
      </w:tr>
      <w:tr w:rsidR="00147ACC" w:rsidRPr="0098660A" w14:paraId="109097D8"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0A0C2FC0" w14:textId="77777777" w:rsidR="00147ACC" w:rsidRPr="0098660A" w:rsidRDefault="00147ACC" w:rsidP="000E2127">
            <w:pPr>
              <w:rPr>
                <w:rFonts w:ascii="Arial Narrow" w:hAnsi="Arial Narrow" w:cs="Times New Roman"/>
                <w:b/>
                <w:bCs/>
                <w:sz w:val="20"/>
                <w:szCs w:val="20"/>
              </w:rPr>
            </w:pPr>
            <w:r w:rsidRPr="0098660A">
              <w:rPr>
                <w:rFonts w:ascii="Arial Narrow" w:hAnsi="Arial Narrow"/>
                <w:b/>
                <w:bCs/>
                <w:sz w:val="20"/>
                <w:szCs w:val="20"/>
              </w:rPr>
              <w:t>Treatment Phase:</w:t>
            </w:r>
            <w:r w:rsidRPr="0098660A">
              <w:rPr>
                <w:rFonts w:ascii="Arial Narrow" w:hAnsi="Arial Narrow"/>
                <w:sz w:val="20"/>
                <w:szCs w:val="20"/>
              </w:rPr>
              <w:t xml:space="preserve"> Subsequent continuing treatment  </w:t>
            </w:r>
          </w:p>
        </w:tc>
      </w:tr>
      <w:tr w:rsidR="00147ACC" w:rsidRPr="0098660A" w14:paraId="618FD829"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14C19578" w14:textId="77777777" w:rsidR="00147ACC" w:rsidRPr="0098660A" w:rsidRDefault="00147ACC" w:rsidP="000E2127">
            <w:pPr>
              <w:rPr>
                <w:rFonts w:ascii="Arial Narrow" w:hAnsi="Arial Narrow" w:cs="Times New Roman"/>
                <w:b/>
                <w:bCs/>
                <w:sz w:val="20"/>
                <w:szCs w:val="20"/>
              </w:rPr>
            </w:pPr>
            <w:r w:rsidRPr="0098660A">
              <w:rPr>
                <w:rFonts w:ascii="Arial Narrow" w:hAnsi="Arial Narrow" w:cs="Times New Roman"/>
                <w:b/>
                <w:bCs/>
                <w:sz w:val="20"/>
                <w:szCs w:val="20"/>
              </w:rPr>
              <w:lastRenderedPageBreak/>
              <w:t>Clinical criteria:</w:t>
            </w:r>
          </w:p>
        </w:tc>
      </w:tr>
      <w:tr w:rsidR="00147ACC" w:rsidRPr="0098660A" w14:paraId="539231D9"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397EE133" w14:textId="77777777" w:rsidR="00147ACC" w:rsidRPr="0098660A" w:rsidRDefault="00147ACC" w:rsidP="000E2127">
            <w:pPr>
              <w:rPr>
                <w:rFonts w:ascii="Arial Narrow" w:hAnsi="Arial Narrow" w:cs="Times New Roman"/>
                <w:sz w:val="20"/>
                <w:szCs w:val="20"/>
              </w:rPr>
            </w:pPr>
            <w:r w:rsidRPr="0098660A">
              <w:rPr>
                <w:rFonts w:ascii="Arial Narrow" w:hAnsi="Arial Narrow" w:cs="Times New Roman"/>
                <w:sz w:val="20"/>
                <w:szCs w:val="20"/>
              </w:rPr>
              <w:t xml:space="preserve">Patient must have previously received PBS-subsidised treatment with this drug for this condition under the 'First Continuing Treatment' </w:t>
            </w:r>
            <w:r w:rsidRPr="0098660A">
              <w:rPr>
                <w:rFonts w:ascii="Arial Narrow" w:hAnsi="Arial Narrow" w:cs="Times New Roman"/>
                <w:strike/>
                <w:sz w:val="20"/>
                <w:szCs w:val="20"/>
              </w:rPr>
              <w:t>or</w:t>
            </w:r>
            <w:r w:rsidRPr="0098660A">
              <w:rPr>
                <w:rFonts w:ascii="Arial Narrow" w:hAnsi="Arial Narrow" w:cs="Times New Roman"/>
                <w:i/>
                <w:iCs/>
                <w:sz w:val="20"/>
                <w:szCs w:val="20"/>
              </w:rPr>
              <w:t>,</w:t>
            </w:r>
            <w:r w:rsidRPr="0098660A">
              <w:rPr>
                <w:rFonts w:ascii="Arial Narrow" w:hAnsi="Arial Narrow" w:cs="Times New Roman"/>
                <w:sz w:val="20"/>
                <w:szCs w:val="20"/>
              </w:rPr>
              <w:t xml:space="preserve"> 'Return' </w:t>
            </w:r>
            <w:r w:rsidRPr="0098660A">
              <w:rPr>
                <w:rFonts w:ascii="Arial Narrow" w:hAnsi="Arial Narrow" w:cs="Times New Roman"/>
                <w:strike/>
                <w:sz w:val="20"/>
                <w:szCs w:val="20"/>
              </w:rPr>
              <w:t>criteria</w:t>
            </w:r>
            <w:r w:rsidRPr="0098660A">
              <w:rPr>
                <w:rFonts w:ascii="Arial Narrow" w:hAnsi="Arial Narrow" w:cs="Times New Roman"/>
                <w:sz w:val="20"/>
                <w:szCs w:val="20"/>
              </w:rPr>
              <w:t xml:space="preserve">, </w:t>
            </w:r>
            <w:r w:rsidRPr="0098660A">
              <w:rPr>
                <w:rFonts w:ascii="Arial Narrow" w:hAnsi="Arial Narrow" w:cs="Times New Roman"/>
                <w:i/>
                <w:sz w:val="20"/>
                <w:szCs w:val="20"/>
              </w:rPr>
              <w:t xml:space="preserve">or </w:t>
            </w:r>
            <w:r w:rsidRPr="0098660A">
              <w:rPr>
                <w:rFonts w:ascii="Arial Narrow" w:hAnsi="Arial Narrow" w:cs="Times New Roman"/>
                <w:i/>
                <w:iCs/>
                <w:sz w:val="20"/>
                <w:szCs w:val="20"/>
              </w:rPr>
              <w:t>‘Grandfather’ treatment restrictions</w:t>
            </w:r>
          </w:p>
        </w:tc>
      </w:tr>
      <w:tr w:rsidR="00147ACC" w:rsidRPr="0098660A" w14:paraId="6A080AAF"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55AD0790" w14:textId="77777777" w:rsidR="00147ACC" w:rsidRPr="0098660A" w:rsidRDefault="00147ACC" w:rsidP="000E2127">
            <w:pPr>
              <w:rPr>
                <w:rFonts w:ascii="Arial Narrow" w:hAnsi="Arial Narrow" w:cs="Times New Roman"/>
                <w:b/>
                <w:bCs/>
                <w:sz w:val="20"/>
                <w:szCs w:val="20"/>
              </w:rPr>
            </w:pPr>
            <w:r w:rsidRPr="0098660A">
              <w:rPr>
                <w:rFonts w:ascii="Arial Narrow" w:hAnsi="Arial Narrow" w:cs="Times New Roman"/>
                <w:b/>
                <w:bCs/>
                <w:sz w:val="20"/>
                <w:szCs w:val="20"/>
              </w:rPr>
              <w:t>AND</w:t>
            </w:r>
          </w:p>
        </w:tc>
      </w:tr>
      <w:tr w:rsidR="00147ACC" w:rsidRPr="0098660A" w14:paraId="55E1E0CF"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6C7EC1E8" w14:textId="77777777" w:rsidR="00147ACC" w:rsidRPr="0098660A" w:rsidRDefault="00147ACC" w:rsidP="000E2127">
            <w:pPr>
              <w:rPr>
                <w:rFonts w:ascii="Arial Narrow" w:hAnsi="Arial Narrow" w:cs="Times New Roman"/>
                <w:b/>
                <w:bCs/>
                <w:sz w:val="20"/>
                <w:szCs w:val="20"/>
              </w:rPr>
            </w:pPr>
            <w:r w:rsidRPr="0098660A">
              <w:rPr>
                <w:rFonts w:ascii="Arial Narrow" w:hAnsi="Arial Narrow" w:cs="Times New Roman"/>
                <w:b/>
                <w:bCs/>
                <w:sz w:val="20"/>
                <w:szCs w:val="20"/>
              </w:rPr>
              <w:t>Clinical criteria:</w:t>
            </w:r>
          </w:p>
        </w:tc>
      </w:tr>
      <w:tr w:rsidR="00147ACC" w:rsidRPr="0098660A" w14:paraId="63D184FA"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4EB729F5" w14:textId="77777777" w:rsidR="00147ACC" w:rsidRPr="0098660A" w:rsidRDefault="00147ACC" w:rsidP="000E2127">
            <w:pPr>
              <w:rPr>
                <w:rFonts w:ascii="Arial Narrow" w:hAnsi="Arial Narrow" w:cs="Times New Roman"/>
                <w:sz w:val="20"/>
                <w:szCs w:val="20"/>
              </w:rPr>
            </w:pPr>
            <w:r w:rsidRPr="0098660A">
              <w:rPr>
                <w:rFonts w:ascii="Arial Narrow" w:hAnsi="Arial Narrow" w:cs="Times New Roman"/>
                <w:sz w:val="20"/>
                <w:szCs w:val="20"/>
              </w:rPr>
              <w:t>Patient must have experienced clinical improvement as a result of treatment with this drug; or</w:t>
            </w:r>
          </w:p>
        </w:tc>
      </w:tr>
      <w:tr w:rsidR="00147ACC" w:rsidRPr="0098660A" w14:paraId="489491DA"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01021963" w14:textId="77777777" w:rsidR="00147ACC" w:rsidRPr="0098660A" w:rsidRDefault="00147ACC" w:rsidP="000E2127">
            <w:pPr>
              <w:rPr>
                <w:rFonts w:ascii="Arial Narrow" w:hAnsi="Arial Narrow" w:cs="Times New Roman"/>
                <w:sz w:val="20"/>
                <w:szCs w:val="20"/>
              </w:rPr>
            </w:pPr>
            <w:r w:rsidRPr="0098660A">
              <w:rPr>
                <w:rFonts w:ascii="Arial Narrow" w:hAnsi="Arial Narrow" w:cs="Times New Roman"/>
                <w:sz w:val="20"/>
                <w:szCs w:val="20"/>
              </w:rPr>
              <w:t>Patient must have experienced a stabilisation of the condition as a result of treatment with this drug</w:t>
            </w:r>
          </w:p>
        </w:tc>
      </w:tr>
      <w:tr w:rsidR="00147ACC" w:rsidRPr="0098660A" w14:paraId="17A2C5F5"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1897EE6F" w14:textId="77777777" w:rsidR="00147ACC" w:rsidRPr="0098660A" w:rsidRDefault="00147ACC" w:rsidP="000E2127">
            <w:pPr>
              <w:rPr>
                <w:rFonts w:ascii="Arial Narrow" w:hAnsi="Arial Narrow" w:cs="Times New Roman"/>
                <w:b/>
                <w:bCs/>
                <w:i/>
                <w:iCs/>
                <w:sz w:val="20"/>
                <w:szCs w:val="20"/>
              </w:rPr>
            </w:pPr>
            <w:r w:rsidRPr="0098660A">
              <w:rPr>
                <w:rFonts w:ascii="Arial Narrow" w:hAnsi="Arial Narrow" w:cs="Times New Roman"/>
                <w:b/>
                <w:bCs/>
                <w:sz w:val="20"/>
                <w:szCs w:val="20"/>
              </w:rPr>
              <w:t>AND</w:t>
            </w:r>
          </w:p>
        </w:tc>
      </w:tr>
      <w:tr w:rsidR="00147ACC" w:rsidRPr="0098660A" w14:paraId="1049EECB"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0A9BA65D" w14:textId="77777777" w:rsidR="00147ACC" w:rsidRPr="0098660A" w:rsidRDefault="00147ACC" w:rsidP="000E2127">
            <w:pPr>
              <w:rPr>
                <w:rFonts w:ascii="Arial Narrow" w:hAnsi="Arial Narrow" w:cs="Times New Roman"/>
                <w:b/>
                <w:bCs/>
                <w:sz w:val="20"/>
                <w:szCs w:val="20"/>
              </w:rPr>
            </w:pPr>
            <w:r w:rsidRPr="0098660A">
              <w:rPr>
                <w:rFonts w:ascii="Arial Narrow" w:hAnsi="Arial Narrow" w:cs="Times New Roman"/>
                <w:b/>
                <w:bCs/>
                <w:sz w:val="20"/>
                <w:szCs w:val="20"/>
              </w:rPr>
              <w:t>Clinical criteria:</w:t>
            </w:r>
          </w:p>
        </w:tc>
      </w:tr>
      <w:tr w:rsidR="00147ACC" w:rsidRPr="0098660A" w14:paraId="63E87838"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4FEACB16" w14:textId="77777777" w:rsidR="00147ACC" w:rsidRPr="0098660A" w:rsidRDefault="00147ACC" w:rsidP="000E2127">
            <w:pPr>
              <w:rPr>
                <w:rFonts w:ascii="Arial Narrow" w:hAnsi="Arial Narrow" w:cs="Times New Roman"/>
                <w:strike/>
                <w:sz w:val="20"/>
                <w:szCs w:val="20"/>
              </w:rPr>
            </w:pPr>
            <w:r w:rsidRPr="0098660A">
              <w:rPr>
                <w:rFonts w:ascii="Arial Narrow" w:hAnsi="Arial Narrow" w:cs="Times New Roman"/>
                <w:strike/>
                <w:sz w:val="20"/>
                <w:szCs w:val="20"/>
              </w:rPr>
              <w:t>The treatment must not be in combination with a Complement 5 (C5) inhibitor</w:t>
            </w:r>
          </w:p>
          <w:p w14:paraId="7D7DF337" w14:textId="77777777" w:rsidR="00147ACC" w:rsidRPr="0098660A" w:rsidRDefault="00147ACC" w:rsidP="000E2127">
            <w:pPr>
              <w:rPr>
                <w:rFonts w:ascii="Arial Narrow" w:hAnsi="Arial Narrow" w:cs="Times New Roman"/>
                <w:b/>
                <w:bCs/>
                <w:sz w:val="20"/>
                <w:szCs w:val="20"/>
              </w:rPr>
            </w:pPr>
            <w:r w:rsidRPr="0098660A">
              <w:rPr>
                <w:rFonts w:ascii="Arial Narrow" w:hAnsi="Arial Narrow"/>
                <w:i/>
                <w:iCs/>
                <w:sz w:val="20"/>
                <w:szCs w:val="20"/>
              </w:rPr>
              <w:t>The treatment must be the sole PBS-subsidised therapy for this condition.</w:t>
            </w:r>
          </w:p>
        </w:tc>
      </w:tr>
      <w:tr w:rsidR="00147ACC" w:rsidRPr="0098660A" w14:paraId="0D7C2E39"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353A026F" w14:textId="77777777" w:rsidR="00147ACC" w:rsidRPr="0098660A" w:rsidRDefault="00147ACC" w:rsidP="000E2127">
            <w:pPr>
              <w:rPr>
                <w:rFonts w:ascii="Arial Narrow" w:hAnsi="Arial Narrow" w:cs="Times New Roman"/>
                <w:b/>
                <w:bCs/>
                <w:sz w:val="20"/>
                <w:szCs w:val="20"/>
              </w:rPr>
            </w:pPr>
            <w:r w:rsidRPr="0098660A">
              <w:rPr>
                <w:rFonts w:ascii="Arial Narrow" w:hAnsi="Arial Narrow" w:cs="Segoe UI"/>
                <w:b/>
                <w:bCs/>
                <w:sz w:val="20"/>
                <w:szCs w:val="20"/>
              </w:rPr>
              <w:t>Treatment criteria:</w:t>
            </w:r>
          </w:p>
        </w:tc>
      </w:tr>
      <w:tr w:rsidR="00147ACC" w:rsidRPr="0098660A" w14:paraId="62EFE500"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32863D71" w14:textId="77777777" w:rsidR="00147ACC" w:rsidRPr="0098660A" w:rsidRDefault="00147ACC" w:rsidP="000E2127">
            <w:pPr>
              <w:rPr>
                <w:rFonts w:ascii="Arial Narrow" w:hAnsi="Arial Narrow" w:cs="Times New Roman"/>
                <w:b/>
                <w:bCs/>
                <w:sz w:val="20"/>
                <w:szCs w:val="20"/>
              </w:rPr>
            </w:pPr>
            <w:r w:rsidRPr="0098660A">
              <w:rPr>
                <w:rFonts w:ascii="Arial Narrow" w:hAnsi="Arial Narrow" w:cs="Arial Narrow"/>
                <w:sz w:val="20"/>
                <w:szCs w:val="20"/>
              </w:rPr>
              <w:t>Must be treated by a haematologist; or</w:t>
            </w:r>
          </w:p>
        </w:tc>
      </w:tr>
      <w:tr w:rsidR="00147ACC" w:rsidRPr="0098660A" w14:paraId="117D322E"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7F9BA7B1" w14:textId="77777777" w:rsidR="00147ACC" w:rsidRPr="0098660A" w:rsidRDefault="00147ACC" w:rsidP="000E2127">
            <w:pPr>
              <w:rPr>
                <w:rFonts w:ascii="Arial Narrow" w:hAnsi="Arial Narrow" w:cs="Times New Roman"/>
                <w:b/>
                <w:bCs/>
                <w:sz w:val="20"/>
                <w:szCs w:val="20"/>
              </w:rPr>
            </w:pPr>
            <w:r w:rsidRPr="0098660A">
              <w:rPr>
                <w:rFonts w:ascii="Arial Narrow" w:hAnsi="Arial Narrow" w:cs="Arial Narrow"/>
                <w:sz w:val="20"/>
                <w:szCs w:val="20"/>
              </w:rPr>
              <w:t>Must be treated by a non-specialist medical physician who has consulted a haematologist on the patient's drug treatment details.</w:t>
            </w:r>
          </w:p>
        </w:tc>
      </w:tr>
      <w:tr w:rsidR="00147ACC" w:rsidRPr="0098660A" w14:paraId="734DCCF1"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5365612D" w14:textId="77777777" w:rsidR="00147ACC" w:rsidRPr="0098660A" w:rsidRDefault="00147ACC" w:rsidP="000E2127">
            <w:pPr>
              <w:rPr>
                <w:rFonts w:ascii="Arial Narrow" w:hAnsi="Arial Narrow" w:cs="Times New Roman"/>
                <w:b/>
                <w:bCs/>
                <w:sz w:val="20"/>
                <w:szCs w:val="20"/>
              </w:rPr>
            </w:pPr>
            <w:r w:rsidRPr="0098660A">
              <w:rPr>
                <w:rFonts w:ascii="Arial Narrow" w:hAnsi="Arial Narrow" w:cs="Arial Narrow"/>
                <w:b/>
                <w:bCs/>
                <w:sz w:val="20"/>
                <w:szCs w:val="20"/>
              </w:rPr>
              <w:t>Population criteria:</w:t>
            </w:r>
          </w:p>
        </w:tc>
      </w:tr>
      <w:tr w:rsidR="00147ACC" w:rsidRPr="0098660A" w14:paraId="71056F3B"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70E3DF96" w14:textId="77777777" w:rsidR="00147ACC" w:rsidRPr="0098660A" w:rsidRDefault="00147ACC" w:rsidP="000E2127">
            <w:pPr>
              <w:rPr>
                <w:rFonts w:ascii="Arial Narrow" w:hAnsi="Arial Narrow" w:cs="Times New Roman"/>
                <w:b/>
                <w:bCs/>
                <w:sz w:val="20"/>
                <w:szCs w:val="20"/>
              </w:rPr>
            </w:pPr>
            <w:r w:rsidRPr="0098660A">
              <w:rPr>
                <w:rFonts w:ascii="Arial Narrow" w:hAnsi="Arial Narrow" w:cs="Arial Narrow"/>
                <w:sz w:val="20"/>
                <w:szCs w:val="20"/>
              </w:rPr>
              <w:t>Patient must be at least 18 years of age</w:t>
            </w:r>
          </w:p>
        </w:tc>
      </w:tr>
      <w:tr w:rsidR="00147ACC" w:rsidRPr="0098660A" w14:paraId="5CBD7582"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3719849C" w14:textId="77777777" w:rsidR="00147ACC" w:rsidRPr="0098660A" w:rsidRDefault="00147ACC" w:rsidP="51A4B722">
            <w:pPr>
              <w:rPr>
                <w:rFonts w:ascii="Arial Narrow" w:hAnsi="Arial Narrow" w:cs="Times New Roman"/>
                <w:sz w:val="20"/>
                <w:szCs w:val="20"/>
              </w:rPr>
            </w:pPr>
            <w:r w:rsidRPr="0098660A">
              <w:rPr>
                <w:rFonts w:ascii="Arial Narrow" w:hAnsi="Arial Narrow" w:cs="Times New Roman"/>
                <w:b/>
                <w:bCs/>
                <w:sz w:val="20"/>
                <w:szCs w:val="20"/>
              </w:rPr>
              <w:t xml:space="preserve">Prescribing Instructions: </w:t>
            </w:r>
          </w:p>
          <w:p w14:paraId="78F44971" w14:textId="77777777" w:rsidR="00147ACC" w:rsidRPr="0098660A" w:rsidRDefault="00147ACC" w:rsidP="51A4B722">
            <w:pPr>
              <w:rPr>
                <w:rFonts w:ascii="Arial Narrow" w:hAnsi="Arial Narrow" w:cs="Times New Roman"/>
                <w:strike/>
                <w:sz w:val="20"/>
                <w:szCs w:val="20"/>
              </w:rPr>
            </w:pPr>
            <w:r w:rsidRPr="0098660A">
              <w:rPr>
                <w:rFonts w:ascii="Arial Narrow" w:hAnsi="Arial Narrow" w:cs="Times New Roman"/>
                <w:strike/>
                <w:sz w:val="20"/>
                <w:szCs w:val="20"/>
              </w:rPr>
              <w:t>The authority application must be made in writing and must include:</w:t>
            </w:r>
          </w:p>
          <w:p w14:paraId="53833632" w14:textId="26409197" w:rsidR="00147ACC" w:rsidRPr="0098660A" w:rsidRDefault="00147ACC" w:rsidP="51A4B722">
            <w:pPr>
              <w:rPr>
                <w:rFonts w:ascii="Arial Narrow" w:hAnsi="Arial Narrow" w:cs="Times New Roman"/>
                <w:i/>
                <w:iCs/>
                <w:sz w:val="20"/>
                <w:szCs w:val="20"/>
              </w:rPr>
            </w:pPr>
            <w:r w:rsidRPr="0098660A">
              <w:rPr>
                <w:rFonts w:ascii="Arial Narrow" w:hAnsi="Arial Narrow" w:cs="Times New Roman"/>
                <w:i/>
                <w:iCs/>
                <w:sz w:val="20"/>
                <w:szCs w:val="20"/>
              </w:rPr>
              <w:t>If the application is submitted through HPOS form upload or mail, it must include:</w:t>
            </w:r>
          </w:p>
          <w:p w14:paraId="0D1C58AF" w14:textId="78F93C96" w:rsidR="00147ACC" w:rsidRPr="0098660A" w:rsidRDefault="00147ACC" w:rsidP="51A4B722">
            <w:pPr>
              <w:rPr>
                <w:rFonts w:ascii="Arial Narrow" w:hAnsi="Arial Narrow" w:cs="Times New Roman"/>
                <w:sz w:val="20"/>
                <w:szCs w:val="20"/>
              </w:rPr>
            </w:pPr>
            <w:r w:rsidRPr="0098660A">
              <w:rPr>
                <w:rFonts w:ascii="Arial Narrow" w:hAnsi="Arial Narrow" w:cs="Times New Roman"/>
                <w:strike/>
                <w:sz w:val="20"/>
                <w:szCs w:val="20"/>
              </w:rPr>
              <w:t>(1)</w:t>
            </w:r>
            <w:r w:rsidRPr="0098660A">
              <w:rPr>
                <w:rFonts w:ascii="Arial Narrow" w:hAnsi="Arial Narrow" w:cs="Times New Roman"/>
                <w:sz w:val="20"/>
                <w:szCs w:val="20"/>
              </w:rPr>
              <w:t xml:space="preserve"> </w:t>
            </w:r>
            <w:r w:rsidRPr="0098660A">
              <w:rPr>
                <w:rFonts w:ascii="Arial Narrow" w:hAnsi="Arial Narrow" w:cs="Times New Roman"/>
                <w:i/>
                <w:iCs/>
                <w:sz w:val="20"/>
                <w:szCs w:val="20"/>
              </w:rPr>
              <w:t xml:space="preserve">(i) </w:t>
            </w:r>
            <w:r w:rsidRPr="0098660A">
              <w:rPr>
                <w:rFonts w:ascii="Arial Narrow" w:hAnsi="Arial Narrow" w:cs="Times New Roman"/>
                <w:strike/>
                <w:sz w:val="20"/>
                <w:szCs w:val="20"/>
              </w:rPr>
              <w:t>a completed authority prescription form;</w:t>
            </w:r>
            <w:r w:rsidRPr="0098660A">
              <w:rPr>
                <w:rFonts w:ascii="Arial Narrow" w:hAnsi="Arial Narrow" w:cs="Times New Roman"/>
                <w:sz w:val="20"/>
                <w:szCs w:val="20"/>
              </w:rPr>
              <w:t xml:space="preserve"> details of the proposed prescription; and</w:t>
            </w:r>
          </w:p>
          <w:p w14:paraId="62114EBF" w14:textId="4AFEE069" w:rsidR="00147ACC" w:rsidRPr="0098660A" w:rsidRDefault="00147ACC" w:rsidP="51A4B722">
            <w:pPr>
              <w:rPr>
                <w:rFonts w:ascii="Arial Narrow" w:hAnsi="Arial Narrow" w:cs="Times New Roman"/>
                <w:sz w:val="20"/>
                <w:szCs w:val="20"/>
              </w:rPr>
            </w:pPr>
            <w:r w:rsidRPr="0098660A">
              <w:rPr>
                <w:rFonts w:ascii="Arial Narrow" w:hAnsi="Arial Narrow" w:cs="Times New Roman"/>
                <w:strike/>
                <w:sz w:val="20"/>
                <w:szCs w:val="20"/>
              </w:rPr>
              <w:t>(2)</w:t>
            </w:r>
            <w:r w:rsidRPr="0098660A">
              <w:rPr>
                <w:rFonts w:ascii="Arial Narrow" w:hAnsi="Arial Narrow" w:cs="Times New Roman"/>
                <w:sz w:val="20"/>
                <w:szCs w:val="20"/>
              </w:rPr>
              <w:t xml:space="preserve"> </w:t>
            </w:r>
            <w:r w:rsidRPr="0098660A">
              <w:rPr>
                <w:rFonts w:ascii="Arial Narrow" w:hAnsi="Arial Narrow" w:cs="Times New Roman"/>
                <w:i/>
                <w:iCs/>
                <w:sz w:val="20"/>
                <w:szCs w:val="20"/>
              </w:rPr>
              <w:t xml:space="preserve">(ii) </w:t>
            </w:r>
            <w:r w:rsidRPr="0098660A">
              <w:rPr>
                <w:rFonts w:ascii="Arial Narrow" w:hAnsi="Arial Narrow" w:cs="Times New Roman"/>
                <w:sz w:val="20"/>
                <w:szCs w:val="20"/>
              </w:rPr>
              <w:t>a completed authority application form relevant to the indication and treatment phase (the latest version is located on the website specified in the Administrative Advice).</w:t>
            </w:r>
          </w:p>
        </w:tc>
      </w:tr>
      <w:tr w:rsidR="00147ACC" w:rsidRPr="0098660A" w14:paraId="083E9506"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137DD852" w14:textId="77777777" w:rsidR="00147ACC" w:rsidRPr="0098660A" w:rsidRDefault="00147ACC" w:rsidP="000E2127">
            <w:pPr>
              <w:rPr>
                <w:rFonts w:ascii="Arial Narrow" w:hAnsi="Arial Narrow" w:cs="Times New Roman"/>
                <w:sz w:val="20"/>
                <w:szCs w:val="20"/>
              </w:rPr>
            </w:pPr>
            <w:r w:rsidRPr="0098660A">
              <w:rPr>
                <w:rFonts w:ascii="Arial Narrow" w:hAnsi="Arial Narrow" w:cs="Times New Roman"/>
                <w:b/>
                <w:bCs/>
                <w:sz w:val="20"/>
                <w:szCs w:val="20"/>
              </w:rPr>
              <w:t xml:space="preserve">Prescribing Instructions: </w:t>
            </w:r>
          </w:p>
          <w:p w14:paraId="5DE07D95" w14:textId="77777777" w:rsidR="00147ACC" w:rsidRPr="0098660A" w:rsidRDefault="00147ACC" w:rsidP="000E2127">
            <w:pPr>
              <w:rPr>
                <w:rFonts w:ascii="Arial Narrow" w:hAnsi="Arial Narrow" w:cs="Arial Narrow"/>
                <w:sz w:val="20"/>
                <w:szCs w:val="20"/>
              </w:rPr>
            </w:pPr>
            <w:r w:rsidRPr="0098660A">
              <w:rPr>
                <w:rFonts w:ascii="Arial Narrow" w:hAnsi="Arial Narrow" w:cs="Arial Narrow"/>
                <w:sz w:val="20"/>
                <w:szCs w:val="20"/>
              </w:rPr>
              <w:t>At the time of the authority application, medical practitioners must request the appropriate number of vials for 4 weeks supply per dispensing as per the Product Information. A maximum of 5 repeats may be requested.</w:t>
            </w:r>
          </w:p>
        </w:tc>
      </w:tr>
      <w:tr w:rsidR="007718A0" w:rsidRPr="0098660A" w14:paraId="1DFFC92D"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63E7BD20" w14:textId="77777777" w:rsidR="007718A0" w:rsidRPr="0098660A" w:rsidRDefault="007718A0" w:rsidP="000E2127">
            <w:pPr>
              <w:jc w:val="center"/>
              <w:rPr>
                <w:rFonts w:ascii="Arial Narrow" w:hAnsi="Arial Narrow"/>
                <w:sz w:val="20"/>
                <w:szCs w:val="20"/>
              </w:rPr>
            </w:pPr>
          </w:p>
          <w:p w14:paraId="4C4F6C6F" w14:textId="77777777" w:rsidR="007718A0" w:rsidRPr="0098660A" w:rsidRDefault="007718A0" w:rsidP="000E2127">
            <w:pPr>
              <w:rPr>
                <w:rFonts w:ascii="Arial Narrow" w:hAnsi="Arial Narrow" w:cs="Times New Roman"/>
                <w:b/>
                <w:bCs/>
                <w:sz w:val="20"/>
                <w:szCs w:val="20"/>
              </w:rPr>
            </w:pPr>
          </w:p>
        </w:tc>
      </w:tr>
      <w:tr w:rsidR="00147ACC" w:rsidRPr="0098660A" w14:paraId="6355C272"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shd w:val="clear" w:color="auto" w:fill="A6A6A6" w:themeFill="background1" w:themeFillShade="A6"/>
            <w:vAlign w:val="center"/>
          </w:tcPr>
          <w:p w14:paraId="30590D08" w14:textId="77777777" w:rsidR="00147ACC" w:rsidRPr="0098660A" w:rsidRDefault="00147ACC" w:rsidP="000E2127">
            <w:pPr>
              <w:rPr>
                <w:rFonts w:ascii="Arial Narrow" w:hAnsi="Arial Narrow" w:cs="Times New Roman"/>
                <w:b/>
                <w:bCs/>
                <w:sz w:val="20"/>
                <w:szCs w:val="20"/>
              </w:rPr>
            </w:pPr>
            <w:r w:rsidRPr="0098660A">
              <w:rPr>
                <w:rFonts w:ascii="Arial Narrow" w:hAnsi="Arial Narrow"/>
                <w:b/>
                <w:sz w:val="20"/>
                <w:szCs w:val="20"/>
              </w:rPr>
              <w:t xml:space="preserve">Restriction Summary [new2] / Treatment of Concept: [new2A] </w:t>
            </w:r>
          </w:p>
        </w:tc>
      </w:tr>
      <w:tr w:rsidR="00147ACC" w:rsidRPr="0098660A" w14:paraId="28A6877C"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77919FA5" w14:textId="77777777" w:rsidR="00147ACC" w:rsidRPr="0098660A" w:rsidRDefault="00147ACC" w:rsidP="000E2127">
            <w:pPr>
              <w:rPr>
                <w:rFonts w:ascii="Arial Narrow" w:hAnsi="Arial Narrow" w:cs="Times New Roman"/>
                <w:b/>
                <w:bCs/>
                <w:sz w:val="20"/>
                <w:szCs w:val="20"/>
              </w:rPr>
            </w:pPr>
            <w:r w:rsidRPr="0098660A">
              <w:rPr>
                <w:rFonts w:ascii="Arial Narrow" w:hAnsi="Arial Narrow" w:cs="Segoe UI"/>
                <w:b/>
                <w:bCs/>
                <w:color w:val="333333"/>
                <w:sz w:val="20"/>
                <w:szCs w:val="20"/>
                <w:lang w:eastAsia="en-US"/>
              </w:rPr>
              <w:t>Indication:</w:t>
            </w:r>
            <w:r w:rsidRPr="0098660A">
              <w:rPr>
                <w:rFonts w:ascii="Arial Narrow" w:hAnsi="Arial Narrow" w:cs="Segoe UI"/>
                <w:color w:val="333333"/>
                <w:sz w:val="20"/>
                <w:szCs w:val="20"/>
                <w:lang w:eastAsia="en-US"/>
              </w:rPr>
              <w:t xml:space="preserve"> Paroxysmal nocturnal haemoglobinuria (PNH)</w:t>
            </w:r>
          </w:p>
        </w:tc>
      </w:tr>
      <w:tr w:rsidR="00147ACC" w:rsidRPr="0098660A" w14:paraId="4A1B3B32"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348414B5" w14:textId="77777777" w:rsidR="00147ACC" w:rsidRPr="0098660A" w:rsidRDefault="00147ACC" w:rsidP="000E2127">
            <w:pPr>
              <w:rPr>
                <w:rFonts w:ascii="Arial Narrow" w:hAnsi="Arial Narrow" w:cs="Times New Roman"/>
                <w:b/>
                <w:bCs/>
                <w:sz w:val="20"/>
                <w:szCs w:val="20"/>
              </w:rPr>
            </w:pPr>
            <w:r w:rsidRPr="0098660A">
              <w:rPr>
                <w:rFonts w:ascii="Arial Narrow" w:hAnsi="Arial Narrow"/>
                <w:b/>
                <w:bCs/>
                <w:sz w:val="20"/>
                <w:szCs w:val="20"/>
              </w:rPr>
              <w:t>Treatment Phase:</w:t>
            </w:r>
            <w:r w:rsidRPr="0098660A">
              <w:rPr>
                <w:rFonts w:ascii="Arial Narrow" w:hAnsi="Arial Narrow"/>
                <w:sz w:val="20"/>
                <w:szCs w:val="20"/>
              </w:rPr>
              <w:t xml:space="preserve"> Transitioning from non-PBS to PBS subsidised treatment – ‘Grandfather arrangement 1’ (Complement 5 inhibitor inexperienced patients)</w:t>
            </w:r>
          </w:p>
        </w:tc>
      </w:tr>
      <w:tr w:rsidR="00147ACC" w:rsidRPr="0098660A" w14:paraId="0B922915"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454BE4B7" w14:textId="77777777" w:rsidR="00147ACC" w:rsidRPr="0098660A" w:rsidRDefault="00147ACC" w:rsidP="000E2127">
            <w:pPr>
              <w:rPr>
                <w:rFonts w:ascii="Arial Narrow" w:hAnsi="Arial Narrow" w:cs="Times New Roman"/>
                <w:b/>
                <w:bCs/>
                <w:sz w:val="20"/>
                <w:szCs w:val="20"/>
              </w:rPr>
            </w:pPr>
            <w:r w:rsidRPr="0098660A">
              <w:rPr>
                <w:rFonts w:ascii="Arial Narrow" w:hAnsi="Arial Narrow" w:cs="Segoe UI"/>
                <w:b/>
                <w:bCs/>
                <w:color w:val="333333"/>
                <w:sz w:val="20"/>
                <w:szCs w:val="20"/>
                <w:lang w:eastAsia="en-US"/>
              </w:rPr>
              <w:t>Clinical criteria:</w:t>
            </w:r>
          </w:p>
        </w:tc>
      </w:tr>
      <w:tr w:rsidR="00147ACC" w:rsidRPr="0098660A" w14:paraId="47E78726"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62573DB7" w14:textId="77777777" w:rsidR="00147ACC" w:rsidRPr="0098660A" w:rsidRDefault="00147ACC" w:rsidP="000E2127">
            <w:pPr>
              <w:rPr>
                <w:rFonts w:ascii="Arial Narrow" w:hAnsi="Arial Narrow" w:cs="Times New Roman"/>
                <w:b/>
                <w:bCs/>
                <w:sz w:val="20"/>
                <w:szCs w:val="20"/>
              </w:rPr>
            </w:pPr>
            <w:r w:rsidRPr="0098660A">
              <w:rPr>
                <w:rFonts w:ascii="Arial Narrow" w:hAnsi="Arial Narrow"/>
                <w:sz w:val="20"/>
                <w:szCs w:val="20"/>
              </w:rPr>
              <w:t>Patient must have been receiving non-PBS-subsidised treatment with this drug for this condition prior to [date of listing]</w:t>
            </w:r>
          </w:p>
        </w:tc>
      </w:tr>
      <w:tr w:rsidR="00147ACC" w:rsidRPr="0098660A" w14:paraId="65D78DFB"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44C21CCC" w14:textId="55AE3EEB" w:rsidR="00147ACC" w:rsidRPr="0098660A" w:rsidRDefault="00147ACC" w:rsidP="00C346B1">
            <w:pPr>
              <w:rPr>
                <w:rFonts w:ascii="Arial Narrow" w:hAnsi="Arial Narrow"/>
                <w:sz w:val="20"/>
                <w:szCs w:val="20"/>
              </w:rPr>
            </w:pPr>
            <w:r w:rsidRPr="0098660A">
              <w:rPr>
                <w:rFonts w:ascii="Arial Narrow" w:hAnsi="Arial Narrow" w:cs="Segoe UI"/>
                <w:b/>
                <w:color w:val="333333"/>
                <w:sz w:val="20"/>
                <w:szCs w:val="20"/>
                <w:lang w:eastAsia="en-US"/>
              </w:rPr>
              <w:t>AND</w:t>
            </w:r>
          </w:p>
        </w:tc>
      </w:tr>
      <w:tr w:rsidR="00147ACC" w:rsidRPr="0098660A" w14:paraId="7294C987"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7B973337" w14:textId="18B094AA" w:rsidR="00147ACC" w:rsidRPr="0098660A" w:rsidRDefault="00147ACC" w:rsidP="00C346B1">
            <w:pPr>
              <w:rPr>
                <w:rFonts w:ascii="Arial Narrow" w:hAnsi="Arial Narrow"/>
                <w:sz w:val="20"/>
                <w:szCs w:val="20"/>
              </w:rPr>
            </w:pPr>
            <w:r w:rsidRPr="0098660A">
              <w:rPr>
                <w:rFonts w:ascii="Arial Narrow" w:hAnsi="Arial Narrow" w:cs="Segoe UI"/>
                <w:b/>
                <w:bCs/>
                <w:color w:val="333333"/>
                <w:sz w:val="20"/>
                <w:szCs w:val="20"/>
                <w:lang w:eastAsia="en-US"/>
              </w:rPr>
              <w:t>Clinical criteria:</w:t>
            </w:r>
          </w:p>
        </w:tc>
      </w:tr>
      <w:tr w:rsidR="00147ACC" w:rsidRPr="0098660A" w14:paraId="765177FE"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3E44F400" w14:textId="3B7CB229" w:rsidR="00147ACC" w:rsidRPr="0098660A" w:rsidRDefault="00147ACC" w:rsidP="000E2127">
            <w:pPr>
              <w:rPr>
                <w:rFonts w:ascii="Arial Narrow" w:hAnsi="Arial Narrow"/>
                <w:sz w:val="20"/>
                <w:szCs w:val="20"/>
              </w:rPr>
            </w:pPr>
            <w:r w:rsidRPr="0098660A">
              <w:rPr>
                <w:rFonts w:ascii="Arial Narrow" w:hAnsi="Arial Narrow"/>
                <w:sz w:val="20"/>
                <w:szCs w:val="20"/>
              </w:rPr>
              <w:t xml:space="preserve">Patient must have not received treatment for this condition </w:t>
            </w:r>
            <w:r w:rsidRPr="0098660A">
              <w:rPr>
                <w:rFonts w:ascii="Arial Narrow" w:hAnsi="Arial Narrow" w:cs="Segoe UI"/>
                <w:color w:val="333333"/>
                <w:sz w:val="20"/>
                <w:szCs w:val="20"/>
                <w:lang w:eastAsia="en-US"/>
              </w:rPr>
              <w:t>prior to commencing non-PBS subsidised treatment with this drug</w:t>
            </w:r>
          </w:p>
        </w:tc>
      </w:tr>
      <w:tr w:rsidR="00147ACC" w:rsidRPr="0098660A" w14:paraId="262161F4"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4D17D3B3" w14:textId="77777777" w:rsidR="00147ACC" w:rsidRPr="0098660A" w:rsidRDefault="00147ACC" w:rsidP="000E2127">
            <w:pPr>
              <w:rPr>
                <w:rFonts w:ascii="Arial Narrow" w:hAnsi="Arial Narrow" w:cs="Times New Roman"/>
                <w:b/>
                <w:bCs/>
                <w:sz w:val="20"/>
                <w:szCs w:val="20"/>
              </w:rPr>
            </w:pPr>
            <w:r w:rsidRPr="0098660A">
              <w:rPr>
                <w:rFonts w:ascii="Arial Narrow" w:hAnsi="Arial Narrow" w:cs="Segoe UI"/>
                <w:b/>
                <w:color w:val="333333"/>
                <w:sz w:val="20"/>
                <w:szCs w:val="20"/>
                <w:lang w:eastAsia="en-US"/>
              </w:rPr>
              <w:t>AND</w:t>
            </w:r>
          </w:p>
        </w:tc>
      </w:tr>
      <w:tr w:rsidR="00147ACC" w:rsidRPr="0098660A" w14:paraId="125E350F" w14:textId="77777777" w:rsidTr="00027082">
        <w:tblPrEx>
          <w:tblCellMar>
            <w:top w:w="15" w:type="dxa"/>
            <w:bottom w:w="15" w:type="dxa"/>
          </w:tblCellMar>
          <w:tblLook w:val="04A0" w:firstRow="1" w:lastRow="0" w:firstColumn="1" w:lastColumn="0" w:noHBand="0" w:noVBand="1"/>
        </w:tblPrEx>
        <w:trPr>
          <w:gridAfter w:val="1"/>
          <w:wAfter w:w="15" w:type="dxa"/>
          <w:cantSplit/>
          <w:trHeight w:val="110"/>
        </w:trPr>
        <w:tc>
          <w:tcPr>
            <w:tcW w:w="9098" w:type="dxa"/>
            <w:gridSpan w:val="7"/>
            <w:vAlign w:val="center"/>
          </w:tcPr>
          <w:p w14:paraId="45420FA0" w14:textId="77777777" w:rsidR="00147ACC" w:rsidRPr="0098660A" w:rsidRDefault="00147ACC" w:rsidP="000E2127">
            <w:pPr>
              <w:rPr>
                <w:rFonts w:ascii="Arial Narrow" w:hAnsi="Arial Narrow" w:cs="Times New Roman"/>
                <w:b/>
                <w:bCs/>
                <w:sz w:val="20"/>
                <w:szCs w:val="20"/>
              </w:rPr>
            </w:pPr>
            <w:r w:rsidRPr="0098660A">
              <w:rPr>
                <w:rFonts w:ascii="Arial Narrow" w:hAnsi="Arial Narrow" w:cs="Segoe UI"/>
                <w:b/>
                <w:bCs/>
                <w:color w:val="333333"/>
                <w:sz w:val="20"/>
                <w:szCs w:val="20"/>
                <w:lang w:eastAsia="en-US"/>
              </w:rPr>
              <w:t>Clinical criteria:</w:t>
            </w:r>
          </w:p>
        </w:tc>
      </w:tr>
      <w:tr w:rsidR="00147ACC" w:rsidRPr="0098660A" w14:paraId="56CBB5F6"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2DCAC3F1" w14:textId="00947076" w:rsidR="00147ACC" w:rsidRPr="0098660A" w:rsidRDefault="00147ACC" w:rsidP="000E2127">
            <w:pPr>
              <w:rPr>
                <w:rFonts w:ascii="Arial Narrow" w:hAnsi="Arial Narrow" w:cs="Times New Roman"/>
                <w:b/>
                <w:bCs/>
                <w:sz w:val="20"/>
                <w:szCs w:val="20"/>
              </w:rPr>
            </w:pPr>
            <w:r w:rsidRPr="0098660A">
              <w:rPr>
                <w:rFonts w:ascii="Arial Narrow" w:hAnsi="Arial Narrow" w:cs="Segoe UI"/>
                <w:color w:val="333333"/>
                <w:sz w:val="20"/>
                <w:szCs w:val="20"/>
                <w:lang w:eastAsia="en-US"/>
              </w:rPr>
              <w:t xml:space="preserve">Patient must have a diagnosis of PNH established by flow cytometry prior to commencing </w:t>
            </w:r>
            <w:r w:rsidRPr="0098660A">
              <w:rPr>
                <w:rFonts w:ascii="Arial Narrow" w:hAnsi="Arial Narrow"/>
                <w:sz w:val="20"/>
                <w:szCs w:val="20"/>
              </w:rPr>
              <w:t xml:space="preserve">non-PBS subsidised </w:t>
            </w:r>
            <w:r w:rsidRPr="0098660A">
              <w:rPr>
                <w:rFonts w:ascii="Arial Narrow" w:hAnsi="Arial Narrow" w:cs="Segoe UI"/>
                <w:color w:val="333333"/>
                <w:sz w:val="20"/>
                <w:szCs w:val="20"/>
                <w:lang w:eastAsia="en-US"/>
              </w:rPr>
              <w:t>treatment with this drug</w:t>
            </w:r>
          </w:p>
        </w:tc>
      </w:tr>
      <w:tr w:rsidR="00147ACC" w:rsidRPr="0098660A" w14:paraId="5AA44173"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762A9508" w14:textId="77777777" w:rsidR="00147ACC" w:rsidRPr="0098660A" w:rsidRDefault="00147ACC" w:rsidP="000E2127">
            <w:pPr>
              <w:rPr>
                <w:rFonts w:ascii="Arial Narrow" w:hAnsi="Arial Narrow" w:cs="Times New Roman"/>
                <w:b/>
                <w:bCs/>
                <w:sz w:val="20"/>
                <w:szCs w:val="20"/>
              </w:rPr>
            </w:pPr>
            <w:r w:rsidRPr="0098660A">
              <w:rPr>
                <w:rFonts w:ascii="Arial Narrow" w:hAnsi="Arial Narrow" w:cs="Segoe UI"/>
                <w:b/>
                <w:bCs/>
                <w:color w:val="333333"/>
                <w:sz w:val="20"/>
                <w:szCs w:val="20"/>
                <w:lang w:eastAsia="en-US"/>
              </w:rPr>
              <w:t>AND</w:t>
            </w:r>
          </w:p>
        </w:tc>
      </w:tr>
      <w:tr w:rsidR="00147ACC" w:rsidRPr="0098660A" w14:paraId="477F9170"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5D6003D3" w14:textId="77777777" w:rsidR="00147ACC" w:rsidRPr="0098660A" w:rsidRDefault="00147ACC" w:rsidP="000E2127">
            <w:pPr>
              <w:rPr>
                <w:rFonts w:ascii="Arial Narrow" w:hAnsi="Arial Narrow" w:cs="Times New Roman"/>
                <w:b/>
                <w:bCs/>
                <w:sz w:val="20"/>
                <w:szCs w:val="20"/>
              </w:rPr>
            </w:pPr>
            <w:r w:rsidRPr="0098660A">
              <w:rPr>
                <w:rFonts w:ascii="Arial Narrow" w:hAnsi="Arial Narrow" w:cs="Segoe UI"/>
                <w:b/>
                <w:bCs/>
                <w:color w:val="333333"/>
                <w:sz w:val="20"/>
                <w:szCs w:val="20"/>
                <w:lang w:eastAsia="en-US"/>
              </w:rPr>
              <w:t xml:space="preserve">Clinical criteria: </w:t>
            </w:r>
          </w:p>
        </w:tc>
      </w:tr>
      <w:tr w:rsidR="00147ACC" w:rsidRPr="0098660A" w14:paraId="665F9E55"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5E14FDF6" w14:textId="060A3FAB" w:rsidR="00147ACC" w:rsidRPr="0098660A" w:rsidRDefault="00147ACC" w:rsidP="000E2127">
            <w:pPr>
              <w:rPr>
                <w:rFonts w:ascii="Arial Narrow" w:hAnsi="Arial Narrow" w:cs="Times New Roman"/>
                <w:b/>
                <w:bCs/>
                <w:sz w:val="20"/>
                <w:szCs w:val="20"/>
              </w:rPr>
            </w:pPr>
            <w:r w:rsidRPr="0098660A">
              <w:rPr>
                <w:rFonts w:ascii="Arial Narrow" w:hAnsi="Arial Narrow"/>
                <w:sz w:val="20"/>
                <w:szCs w:val="20"/>
              </w:rPr>
              <w:t xml:space="preserve">Patient must have a PNH granulocyte clone size equal to or greater than 10% prior to commencing non-PBS subsidised treatment with this drug </w:t>
            </w:r>
          </w:p>
        </w:tc>
      </w:tr>
      <w:tr w:rsidR="00147ACC" w:rsidRPr="0098660A" w14:paraId="406FEF91"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1BDB2039" w14:textId="77777777" w:rsidR="00147ACC" w:rsidRPr="0098660A" w:rsidRDefault="00147ACC" w:rsidP="000E2127">
            <w:pPr>
              <w:rPr>
                <w:rFonts w:ascii="Arial Narrow" w:hAnsi="Arial Narrow" w:cs="Times New Roman"/>
                <w:b/>
                <w:bCs/>
                <w:sz w:val="20"/>
                <w:szCs w:val="20"/>
              </w:rPr>
            </w:pPr>
            <w:r w:rsidRPr="0098660A">
              <w:rPr>
                <w:rFonts w:ascii="Arial Narrow" w:hAnsi="Arial Narrow" w:cs="Segoe UI"/>
                <w:b/>
                <w:bCs/>
                <w:color w:val="333333"/>
                <w:sz w:val="20"/>
                <w:szCs w:val="20"/>
                <w:lang w:eastAsia="en-US"/>
              </w:rPr>
              <w:t>AND</w:t>
            </w:r>
          </w:p>
        </w:tc>
      </w:tr>
      <w:tr w:rsidR="00147ACC" w:rsidRPr="0098660A" w14:paraId="4FD6F98F"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2493A969" w14:textId="77777777" w:rsidR="00147ACC" w:rsidRPr="0098660A" w:rsidRDefault="00147ACC" w:rsidP="000E2127">
            <w:pPr>
              <w:rPr>
                <w:rFonts w:ascii="Arial Narrow" w:hAnsi="Arial Narrow" w:cs="Times New Roman"/>
                <w:b/>
                <w:bCs/>
                <w:sz w:val="20"/>
                <w:szCs w:val="20"/>
              </w:rPr>
            </w:pPr>
            <w:r w:rsidRPr="0098660A">
              <w:rPr>
                <w:rFonts w:ascii="Arial Narrow" w:hAnsi="Arial Narrow" w:cs="Segoe UI"/>
                <w:b/>
                <w:bCs/>
                <w:color w:val="333333"/>
                <w:sz w:val="20"/>
                <w:szCs w:val="20"/>
                <w:lang w:eastAsia="en-US"/>
              </w:rPr>
              <w:t xml:space="preserve">Clinical criteria: </w:t>
            </w:r>
          </w:p>
        </w:tc>
      </w:tr>
      <w:tr w:rsidR="00147ACC" w:rsidRPr="0098660A" w14:paraId="487F0EAB"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3BB5CCD0" w14:textId="4361546E" w:rsidR="00147ACC" w:rsidRPr="0098660A" w:rsidRDefault="00147ACC" w:rsidP="000E2127">
            <w:pPr>
              <w:rPr>
                <w:rFonts w:ascii="Arial Narrow" w:hAnsi="Arial Narrow" w:cs="Times New Roman"/>
                <w:b/>
                <w:bCs/>
                <w:sz w:val="20"/>
                <w:szCs w:val="20"/>
              </w:rPr>
            </w:pPr>
            <w:r w:rsidRPr="0098660A">
              <w:rPr>
                <w:rFonts w:ascii="Arial Narrow" w:hAnsi="Arial Narrow"/>
                <w:sz w:val="20"/>
                <w:szCs w:val="20"/>
              </w:rPr>
              <w:lastRenderedPageBreak/>
              <w:t>Patient must have a raised lactate dehydrogenase value at least 1.5 times the upper limit of normal prior to commencing non-PBS subsidised treatment with this drug</w:t>
            </w:r>
          </w:p>
        </w:tc>
      </w:tr>
      <w:tr w:rsidR="00147ACC" w:rsidRPr="0098660A" w14:paraId="362007EC"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5B646914" w14:textId="77777777" w:rsidR="00147ACC" w:rsidRPr="0098660A" w:rsidRDefault="00147ACC" w:rsidP="000E2127">
            <w:pPr>
              <w:rPr>
                <w:rFonts w:ascii="Arial Narrow" w:hAnsi="Arial Narrow" w:cs="Times New Roman"/>
                <w:b/>
                <w:bCs/>
                <w:sz w:val="20"/>
                <w:szCs w:val="20"/>
              </w:rPr>
            </w:pPr>
            <w:r w:rsidRPr="0098660A">
              <w:rPr>
                <w:rFonts w:ascii="Arial Narrow" w:hAnsi="Arial Narrow" w:cs="Segoe UI"/>
                <w:b/>
                <w:bCs/>
                <w:color w:val="333333"/>
                <w:sz w:val="20"/>
                <w:szCs w:val="20"/>
                <w:lang w:eastAsia="en-US"/>
              </w:rPr>
              <w:t>AND</w:t>
            </w:r>
          </w:p>
        </w:tc>
      </w:tr>
      <w:tr w:rsidR="00147ACC" w:rsidRPr="0098660A" w14:paraId="47A054B1"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7EBA2EBF" w14:textId="77777777" w:rsidR="00147ACC" w:rsidRPr="0098660A" w:rsidRDefault="00147ACC" w:rsidP="000E2127">
            <w:pPr>
              <w:rPr>
                <w:rFonts w:ascii="Arial Narrow" w:hAnsi="Arial Narrow" w:cs="Times New Roman"/>
                <w:b/>
                <w:bCs/>
                <w:sz w:val="20"/>
                <w:szCs w:val="20"/>
              </w:rPr>
            </w:pPr>
            <w:r w:rsidRPr="0098660A">
              <w:rPr>
                <w:rFonts w:ascii="Arial Narrow" w:hAnsi="Arial Narrow" w:cs="Segoe UI"/>
                <w:b/>
                <w:bCs/>
                <w:color w:val="333333"/>
                <w:sz w:val="20"/>
                <w:szCs w:val="20"/>
                <w:lang w:eastAsia="en-US"/>
              </w:rPr>
              <w:t xml:space="preserve">Clinical criteria: </w:t>
            </w:r>
          </w:p>
        </w:tc>
      </w:tr>
      <w:tr w:rsidR="00147ACC" w:rsidRPr="0098660A" w14:paraId="65548728"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1547249E" w14:textId="115F3703" w:rsidR="00147ACC" w:rsidRPr="0098660A" w:rsidRDefault="00147ACC" w:rsidP="000E2127">
            <w:pPr>
              <w:rPr>
                <w:rFonts w:ascii="Arial Narrow" w:hAnsi="Arial Narrow" w:cs="Times New Roman"/>
                <w:b/>
                <w:bCs/>
                <w:sz w:val="20"/>
                <w:szCs w:val="20"/>
              </w:rPr>
            </w:pPr>
            <w:r w:rsidRPr="0098660A">
              <w:rPr>
                <w:rFonts w:ascii="Arial Narrow" w:hAnsi="Arial Narrow"/>
                <w:sz w:val="20"/>
                <w:szCs w:val="20"/>
              </w:rPr>
              <w:t xml:space="preserve">Patient must have experienced a thrombotic/embolic event which required anticoagulant therapy prior to commencing </w:t>
            </w:r>
            <w:r w:rsidRPr="0098660A">
              <w:rPr>
                <w:rFonts w:ascii="Arial Narrow" w:hAnsi="Arial Narrow" w:cs="Segoe UI"/>
                <w:color w:val="333333"/>
                <w:sz w:val="20"/>
                <w:szCs w:val="20"/>
                <w:lang w:eastAsia="en-US"/>
              </w:rPr>
              <w:t xml:space="preserve">non-PBS subsidised </w:t>
            </w:r>
            <w:r w:rsidRPr="0098660A">
              <w:rPr>
                <w:rFonts w:ascii="Arial Narrow" w:hAnsi="Arial Narrow"/>
                <w:sz w:val="20"/>
                <w:szCs w:val="20"/>
              </w:rPr>
              <w:t>treatment with this drug; or</w:t>
            </w:r>
          </w:p>
        </w:tc>
      </w:tr>
      <w:tr w:rsidR="00147ACC" w:rsidRPr="0098660A" w14:paraId="457EF586"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6DAA9E11" w14:textId="30152920" w:rsidR="00147ACC" w:rsidRPr="0098660A" w:rsidRDefault="00147ACC" w:rsidP="000E2127">
            <w:pPr>
              <w:rPr>
                <w:rFonts w:ascii="Arial Narrow" w:hAnsi="Arial Narrow" w:cs="Times New Roman"/>
                <w:b/>
                <w:bCs/>
                <w:sz w:val="20"/>
                <w:szCs w:val="20"/>
              </w:rPr>
            </w:pPr>
            <w:r w:rsidRPr="0098660A">
              <w:rPr>
                <w:rFonts w:ascii="Arial Narrow" w:hAnsi="Arial Narrow"/>
                <w:sz w:val="20"/>
                <w:szCs w:val="20"/>
              </w:rPr>
              <w:t xml:space="preserve">Patient must have been transfused with at least 4 units of red blood cells in the last 12 months prior to commencing </w:t>
            </w:r>
            <w:r w:rsidRPr="0098660A">
              <w:rPr>
                <w:rFonts w:ascii="Arial Narrow" w:hAnsi="Arial Narrow" w:cs="Segoe UI"/>
                <w:color w:val="333333"/>
                <w:sz w:val="20"/>
                <w:szCs w:val="20"/>
                <w:lang w:eastAsia="en-US"/>
              </w:rPr>
              <w:t xml:space="preserve">non-PBS subsidised </w:t>
            </w:r>
            <w:r w:rsidRPr="0098660A">
              <w:rPr>
                <w:rFonts w:ascii="Arial Narrow" w:hAnsi="Arial Narrow"/>
                <w:sz w:val="20"/>
                <w:szCs w:val="20"/>
              </w:rPr>
              <w:t>treatment with this drug; or</w:t>
            </w:r>
          </w:p>
        </w:tc>
      </w:tr>
      <w:tr w:rsidR="00147ACC" w:rsidRPr="0098660A" w14:paraId="29C251E7"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7261B74F" w14:textId="2EE574B9" w:rsidR="00147ACC" w:rsidRPr="0098660A" w:rsidRDefault="00147ACC" w:rsidP="000E2127">
            <w:pPr>
              <w:rPr>
                <w:rFonts w:ascii="Arial Narrow" w:hAnsi="Arial Narrow" w:cs="Times New Roman"/>
                <w:b/>
                <w:bCs/>
                <w:sz w:val="20"/>
                <w:szCs w:val="20"/>
              </w:rPr>
            </w:pPr>
            <w:r w:rsidRPr="0098660A">
              <w:rPr>
                <w:rFonts w:ascii="Arial Narrow" w:hAnsi="Arial Narrow"/>
                <w:sz w:val="20"/>
                <w:szCs w:val="20"/>
              </w:rPr>
              <w:t xml:space="preserve">Patient must have chronic/recurrent anaemia, where causes other than haemolysis have been excluded, together with multiple haemoglobin measurements not exceeding 70 g/L in the absence of anaemia symptoms prior to commencing </w:t>
            </w:r>
            <w:r w:rsidRPr="0098660A">
              <w:rPr>
                <w:rFonts w:ascii="Arial Narrow" w:hAnsi="Arial Narrow" w:cs="Segoe UI"/>
                <w:color w:val="333333"/>
                <w:sz w:val="20"/>
                <w:szCs w:val="20"/>
                <w:lang w:eastAsia="en-US"/>
              </w:rPr>
              <w:t xml:space="preserve">non-PBS subsidised </w:t>
            </w:r>
            <w:r w:rsidRPr="0098660A">
              <w:rPr>
                <w:rFonts w:ascii="Arial Narrow" w:hAnsi="Arial Narrow"/>
                <w:sz w:val="20"/>
                <w:szCs w:val="20"/>
              </w:rPr>
              <w:t>treatment with this drug; or</w:t>
            </w:r>
          </w:p>
        </w:tc>
      </w:tr>
      <w:tr w:rsidR="00147ACC" w:rsidRPr="0098660A" w14:paraId="3AA0B701"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343A461E" w14:textId="33BBAD62" w:rsidR="00147ACC" w:rsidRPr="0098660A" w:rsidRDefault="00147ACC" w:rsidP="000E2127">
            <w:pPr>
              <w:rPr>
                <w:rFonts w:ascii="Arial Narrow" w:hAnsi="Arial Narrow"/>
                <w:sz w:val="20"/>
                <w:szCs w:val="20"/>
              </w:rPr>
            </w:pPr>
            <w:r w:rsidRPr="0098660A">
              <w:rPr>
                <w:rFonts w:ascii="Arial Narrow" w:hAnsi="Arial Narrow"/>
                <w:sz w:val="20"/>
                <w:szCs w:val="20"/>
              </w:rPr>
              <w:t xml:space="preserve">Patient must have chronic/recurrent anaemia, where causes other than haemolysis have been excluded, together with multiple haemoglobin measurements not exceeding 100 g/L in addition to having anaemia symptoms prior to commencing </w:t>
            </w:r>
            <w:r w:rsidRPr="0098660A">
              <w:rPr>
                <w:rFonts w:ascii="Arial Narrow" w:hAnsi="Arial Narrow" w:cs="Segoe UI"/>
                <w:color w:val="333333"/>
                <w:sz w:val="20"/>
                <w:szCs w:val="20"/>
                <w:lang w:eastAsia="en-US"/>
              </w:rPr>
              <w:t xml:space="preserve">non-PBS subsidised </w:t>
            </w:r>
            <w:r w:rsidRPr="0098660A">
              <w:rPr>
                <w:rFonts w:ascii="Arial Narrow" w:hAnsi="Arial Narrow"/>
                <w:sz w:val="20"/>
                <w:szCs w:val="20"/>
              </w:rPr>
              <w:t>treatment with this drug; or</w:t>
            </w:r>
          </w:p>
        </w:tc>
      </w:tr>
      <w:tr w:rsidR="00147ACC" w:rsidRPr="0098660A" w14:paraId="0BC1FAB7"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130A433B" w14:textId="41F749B7" w:rsidR="00147ACC" w:rsidRPr="0098660A" w:rsidRDefault="00147ACC" w:rsidP="000E2127">
            <w:pPr>
              <w:rPr>
                <w:rFonts w:ascii="Arial Narrow" w:hAnsi="Arial Narrow"/>
                <w:sz w:val="20"/>
                <w:szCs w:val="20"/>
              </w:rPr>
            </w:pPr>
            <w:r w:rsidRPr="0098660A">
              <w:rPr>
                <w:rFonts w:ascii="Arial Narrow" w:eastAsiaTheme="minorEastAsia" w:hAnsi="Arial Narrow"/>
                <w:sz w:val="20"/>
                <w:szCs w:val="20"/>
              </w:rPr>
              <w:t xml:space="preserve">Patient must have debilitating shortness of breath/chest pain resulting in limitation of normal activity (New York Heart Association Class III) and/or established diagnosis of pulmonary arterial hypertension, where causes other than PNH have been excluded </w:t>
            </w:r>
            <w:r w:rsidRPr="0098660A">
              <w:rPr>
                <w:rFonts w:ascii="Arial Narrow" w:hAnsi="Arial Narrow"/>
                <w:sz w:val="20"/>
                <w:szCs w:val="20"/>
              </w:rPr>
              <w:t xml:space="preserve">prior to commencing </w:t>
            </w:r>
            <w:r w:rsidRPr="0098660A">
              <w:rPr>
                <w:rFonts w:ascii="Arial Narrow" w:hAnsi="Arial Narrow" w:cs="Segoe UI"/>
                <w:color w:val="333333"/>
                <w:sz w:val="20"/>
                <w:szCs w:val="20"/>
                <w:lang w:eastAsia="en-US"/>
              </w:rPr>
              <w:t xml:space="preserve">non-PBS subsidised </w:t>
            </w:r>
            <w:r w:rsidRPr="0098660A">
              <w:rPr>
                <w:rFonts w:ascii="Arial Narrow" w:hAnsi="Arial Narrow"/>
                <w:sz w:val="20"/>
                <w:szCs w:val="20"/>
              </w:rPr>
              <w:t>treatment with this drug</w:t>
            </w:r>
            <w:r w:rsidRPr="0098660A">
              <w:rPr>
                <w:rFonts w:ascii="Arial Narrow" w:eastAsiaTheme="minorEastAsia" w:hAnsi="Arial Narrow"/>
                <w:sz w:val="20"/>
                <w:szCs w:val="20"/>
              </w:rPr>
              <w:t>; or</w:t>
            </w:r>
          </w:p>
        </w:tc>
      </w:tr>
      <w:tr w:rsidR="00147ACC" w:rsidRPr="0098660A" w14:paraId="6C2B6044"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63B9DB9F" w14:textId="2637CC36" w:rsidR="00147ACC" w:rsidRPr="0098660A" w:rsidRDefault="00147ACC" w:rsidP="000E2127">
            <w:pPr>
              <w:rPr>
                <w:rFonts w:ascii="Arial Narrow" w:hAnsi="Arial Narrow"/>
                <w:sz w:val="20"/>
                <w:szCs w:val="20"/>
              </w:rPr>
            </w:pPr>
            <w:r w:rsidRPr="0098660A">
              <w:rPr>
                <w:rFonts w:ascii="Arial Narrow" w:eastAsiaTheme="minorEastAsia" w:hAnsi="Arial Narrow"/>
                <w:sz w:val="20"/>
                <w:szCs w:val="20"/>
              </w:rPr>
              <w:t>Patient must have a history of renal insufficiency, demonstrated by an eGFR less than or equal to 60 mL/min/1.73m</w:t>
            </w:r>
            <w:r w:rsidRPr="0098660A">
              <w:rPr>
                <w:rFonts w:ascii="Arial Narrow" w:eastAsiaTheme="minorEastAsia" w:hAnsi="Arial Narrow"/>
                <w:sz w:val="20"/>
                <w:szCs w:val="20"/>
                <w:vertAlign w:val="superscript"/>
              </w:rPr>
              <w:t>2</w:t>
            </w:r>
            <w:r w:rsidRPr="0098660A">
              <w:rPr>
                <w:rFonts w:ascii="Arial Narrow" w:eastAsiaTheme="minorEastAsia" w:hAnsi="Arial Narrow"/>
                <w:sz w:val="20"/>
                <w:szCs w:val="20"/>
              </w:rPr>
              <w:t xml:space="preserve">, where causes other than PNH have been excluded </w:t>
            </w:r>
            <w:r w:rsidRPr="0098660A">
              <w:rPr>
                <w:rFonts w:ascii="Arial Narrow" w:hAnsi="Arial Narrow"/>
                <w:sz w:val="20"/>
                <w:szCs w:val="20"/>
              </w:rPr>
              <w:t>prior to commencing</w:t>
            </w:r>
            <w:r w:rsidRPr="0098660A">
              <w:rPr>
                <w:rFonts w:ascii="Arial Narrow" w:hAnsi="Arial Narrow" w:cs="Segoe UI"/>
                <w:color w:val="333333"/>
                <w:sz w:val="20"/>
                <w:szCs w:val="20"/>
                <w:lang w:eastAsia="en-US"/>
              </w:rPr>
              <w:t xml:space="preserve"> non-PBS subsidised</w:t>
            </w:r>
            <w:r w:rsidRPr="0098660A">
              <w:rPr>
                <w:rFonts w:ascii="Arial Narrow" w:hAnsi="Arial Narrow"/>
                <w:sz w:val="20"/>
                <w:szCs w:val="20"/>
              </w:rPr>
              <w:t xml:space="preserve"> treatment with this drug</w:t>
            </w:r>
            <w:r w:rsidRPr="0098660A">
              <w:rPr>
                <w:rFonts w:ascii="Arial Narrow" w:eastAsiaTheme="minorEastAsia" w:hAnsi="Arial Narrow"/>
                <w:sz w:val="20"/>
                <w:szCs w:val="20"/>
              </w:rPr>
              <w:t>; or</w:t>
            </w:r>
          </w:p>
        </w:tc>
      </w:tr>
      <w:tr w:rsidR="00147ACC" w:rsidRPr="0098660A" w14:paraId="07369ADF"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7357B7E4" w14:textId="7FBA0745" w:rsidR="00147ACC" w:rsidRPr="0098660A" w:rsidRDefault="00147ACC" w:rsidP="000E2127">
            <w:pPr>
              <w:rPr>
                <w:rFonts w:ascii="Arial Narrow" w:hAnsi="Arial Narrow"/>
                <w:sz w:val="20"/>
                <w:szCs w:val="20"/>
              </w:rPr>
            </w:pPr>
            <w:r w:rsidRPr="0098660A">
              <w:rPr>
                <w:rFonts w:ascii="Arial Narrow" w:eastAsiaTheme="minorEastAsia" w:hAnsi="Arial Narrow"/>
                <w:sz w:val="20"/>
                <w:szCs w:val="20"/>
              </w:rPr>
              <w:t xml:space="preserve">Patient must have recurrent episodes of severe pain requiring hospitalisation and/or narcotic analgesia, where causes other than PNH have been excluded </w:t>
            </w:r>
            <w:r w:rsidRPr="0098660A">
              <w:rPr>
                <w:rFonts w:ascii="Arial Narrow" w:hAnsi="Arial Narrow"/>
                <w:sz w:val="20"/>
                <w:szCs w:val="20"/>
              </w:rPr>
              <w:t xml:space="preserve">prior to commencing </w:t>
            </w:r>
            <w:r w:rsidRPr="0098660A">
              <w:rPr>
                <w:rFonts w:ascii="Arial Narrow" w:hAnsi="Arial Narrow" w:cs="Segoe UI"/>
                <w:color w:val="333333"/>
                <w:sz w:val="20"/>
                <w:szCs w:val="20"/>
                <w:lang w:eastAsia="en-US"/>
              </w:rPr>
              <w:t xml:space="preserve">non-PBS subsidised </w:t>
            </w:r>
            <w:r w:rsidRPr="0098660A">
              <w:rPr>
                <w:rFonts w:ascii="Arial Narrow" w:hAnsi="Arial Narrow"/>
                <w:sz w:val="20"/>
                <w:szCs w:val="20"/>
              </w:rPr>
              <w:t>treatment with this drug</w:t>
            </w:r>
            <w:r w:rsidRPr="0098660A">
              <w:rPr>
                <w:rFonts w:ascii="Arial Narrow" w:eastAsiaTheme="minorEastAsia" w:hAnsi="Arial Narrow"/>
                <w:sz w:val="20"/>
                <w:szCs w:val="20"/>
              </w:rPr>
              <w:t>.</w:t>
            </w:r>
          </w:p>
        </w:tc>
      </w:tr>
      <w:tr w:rsidR="00147ACC" w:rsidRPr="0098660A" w14:paraId="55AEDF53"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3152EF30" w14:textId="77777777" w:rsidR="00147ACC" w:rsidRPr="0098660A" w:rsidRDefault="00147ACC" w:rsidP="000E2127">
            <w:pPr>
              <w:rPr>
                <w:rFonts w:ascii="Arial Narrow" w:hAnsi="Arial Narrow"/>
                <w:sz w:val="20"/>
                <w:szCs w:val="20"/>
              </w:rPr>
            </w:pPr>
            <w:r w:rsidRPr="0098660A">
              <w:rPr>
                <w:rFonts w:ascii="Arial Narrow" w:hAnsi="Arial Narrow" w:cs="Segoe UI"/>
                <w:b/>
                <w:bCs/>
                <w:color w:val="333333"/>
                <w:sz w:val="20"/>
                <w:szCs w:val="20"/>
                <w:lang w:eastAsia="en-US"/>
              </w:rPr>
              <w:t>AND</w:t>
            </w:r>
          </w:p>
        </w:tc>
      </w:tr>
      <w:tr w:rsidR="00147ACC" w:rsidRPr="0098660A" w14:paraId="56F06DD3"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780E4816" w14:textId="77777777" w:rsidR="00147ACC" w:rsidRPr="0098660A" w:rsidRDefault="00147ACC" w:rsidP="000E2127">
            <w:pPr>
              <w:rPr>
                <w:rFonts w:ascii="Arial Narrow" w:hAnsi="Arial Narrow"/>
                <w:sz w:val="20"/>
                <w:szCs w:val="20"/>
              </w:rPr>
            </w:pPr>
            <w:r w:rsidRPr="0098660A">
              <w:rPr>
                <w:rFonts w:ascii="Arial Narrow" w:hAnsi="Arial Narrow" w:cs="Segoe UI"/>
                <w:b/>
                <w:bCs/>
                <w:color w:val="333333"/>
                <w:sz w:val="20"/>
                <w:szCs w:val="20"/>
                <w:lang w:eastAsia="en-US"/>
              </w:rPr>
              <w:t xml:space="preserve">Clinical criteria: </w:t>
            </w:r>
          </w:p>
        </w:tc>
      </w:tr>
      <w:tr w:rsidR="00147ACC" w:rsidRPr="0098660A" w14:paraId="4512C31F"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2C5B492B" w14:textId="77777777" w:rsidR="00147ACC" w:rsidRPr="0098660A" w:rsidRDefault="00147ACC" w:rsidP="000E2127">
            <w:pPr>
              <w:rPr>
                <w:rFonts w:ascii="Arial Narrow" w:hAnsi="Arial Narrow"/>
                <w:sz w:val="20"/>
                <w:szCs w:val="20"/>
              </w:rPr>
            </w:pPr>
            <w:r w:rsidRPr="0098660A">
              <w:rPr>
                <w:rFonts w:ascii="Arial Narrow" w:hAnsi="Arial Narrow"/>
                <w:sz w:val="20"/>
                <w:szCs w:val="20"/>
              </w:rPr>
              <w:t>The treatment must be the sole PBS-subsidised therapy for this condition.</w:t>
            </w:r>
          </w:p>
        </w:tc>
      </w:tr>
      <w:tr w:rsidR="00147ACC" w:rsidRPr="0098660A" w14:paraId="7099B9E2"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1E95B6FD" w14:textId="77777777" w:rsidR="00147ACC" w:rsidRPr="0098660A" w:rsidRDefault="00147ACC" w:rsidP="000E2127">
            <w:pPr>
              <w:rPr>
                <w:rFonts w:ascii="Arial Narrow" w:hAnsi="Arial Narrow"/>
                <w:sz w:val="20"/>
                <w:szCs w:val="20"/>
              </w:rPr>
            </w:pPr>
            <w:r w:rsidRPr="0098660A">
              <w:rPr>
                <w:rFonts w:ascii="Arial Narrow" w:hAnsi="Arial Narrow" w:cs="Segoe UI"/>
                <w:b/>
                <w:bCs/>
                <w:sz w:val="20"/>
                <w:szCs w:val="20"/>
              </w:rPr>
              <w:t>Treatment criteria:</w:t>
            </w:r>
          </w:p>
        </w:tc>
      </w:tr>
      <w:tr w:rsidR="00147ACC" w:rsidRPr="0098660A" w14:paraId="783BB837"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5E3D7EF0" w14:textId="77777777" w:rsidR="00147ACC" w:rsidRPr="0098660A" w:rsidRDefault="00147ACC" w:rsidP="000E2127">
            <w:pPr>
              <w:rPr>
                <w:rFonts w:ascii="Arial Narrow" w:hAnsi="Arial Narrow"/>
                <w:sz w:val="20"/>
                <w:szCs w:val="20"/>
              </w:rPr>
            </w:pPr>
            <w:r w:rsidRPr="0098660A">
              <w:rPr>
                <w:rFonts w:ascii="Arial Narrow" w:hAnsi="Arial Narrow" w:cs="Arial Narrow"/>
                <w:sz w:val="20"/>
                <w:szCs w:val="20"/>
              </w:rPr>
              <w:t>Must be treated by a haematologist; or</w:t>
            </w:r>
          </w:p>
        </w:tc>
      </w:tr>
      <w:tr w:rsidR="00147ACC" w:rsidRPr="0098660A" w14:paraId="412B506F"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60308A02" w14:textId="77777777" w:rsidR="00147ACC" w:rsidRPr="0098660A" w:rsidRDefault="00147ACC" w:rsidP="000E2127">
            <w:pPr>
              <w:rPr>
                <w:rFonts w:ascii="Arial Narrow" w:hAnsi="Arial Narrow"/>
                <w:sz w:val="20"/>
                <w:szCs w:val="20"/>
              </w:rPr>
            </w:pPr>
            <w:r w:rsidRPr="0098660A">
              <w:rPr>
                <w:rFonts w:ascii="Arial Narrow" w:hAnsi="Arial Narrow" w:cs="Arial Narrow"/>
                <w:sz w:val="20"/>
                <w:szCs w:val="20"/>
              </w:rPr>
              <w:t>Must be treated by a non-specialist medical physician who has consulted a haematologist on the patient's drug treatment details.</w:t>
            </w:r>
          </w:p>
        </w:tc>
      </w:tr>
      <w:tr w:rsidR="00147ACC" w:rsidRPr="0098660A" w14:paraId="58CFCD3A"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4E373130" w14:textId="77777777" w:rsidR="00147ACC" w:rsidRPr="0098660A" w:rsidRDefault="00147ACC" w:rsidP="51A4B722">
            <w:pPr>
              <w:rPr>
                <w:rFonts w:ascii="Arial Narrow" w:hAnsi="Arial Narrow" w:cs="Times New Roman"/>
                <w:sz w:val="20"/>
                <w:szCs w:val="20"/>
              </w:rPr>
            </w:pPr>
            <w:r w:rsidRPr="0098660A">
              <w:rPr>
                <w:rFonts w:ascii="Arial Narrow" w:hAnsi="Arial Narrow" w:cs="Times New Roman"/>
                <w:b/>
                <w:bCs/>
                <w:sz w:val="20"/>
                <w:szCs w:val="20"/>
              </w:rPr>
              <w:t xml:space="preserve">Prescribing Instructions: </w:t>
            </w:r>
          </w:p>
          <w:p w14:paraId="311ACCDD" w14:textId="45EB28D8" w:rsidR="00147ACC" w:rsidRPr="0098660A" w:rsidRDefault="00147ACC" w:rsidP="51A4B722">
            <w:pPr>
              <w:rPr>
                <w:rFonts w:ascii="Arial Narrow" w:hAnsi="Arial Narrow" w:cs="Times New Roman"/>
                <w:sz w:val="20"/>
                <w:szCs w:val="20"/>
              </w:rPr>
            </w:pPr>
            <w:r w:rsidRPr="0098660A">
              <w:rPr>
                <w:rFonts w:ascii="Arial Narrow" w:hAnsi="Arial Narrow" w:cs="Times New Roman"/>
                <w:sz w:val="20"/>
                <w:szCs w:val="20"/>
              </w:rPr>
              <w:t>If the application is submitted through HPOS form upload or mail, it must include:</w:t>
            </w:r>
          </w:p>
          <w:p w14:paraId="4A1AAE78" w14:textId="6753B8C5" w:rsidR="00147ACC" w:rsidRPr="0098660A" w:rsidRDefault="00147ACC" w:rsidP="51A4B722">
            <w:pPr>
              <w:rPr>
                <w:rFonts w:ascii="Arial Narrow" w:hAnsi="Arial Narrow" w:cs="Times New Roman"/>
                <w:sz w:val="20"/>
                <w:szCs w:val="20"/>
              </w:rPr>
            </w:pPr>
            <w:r w:rsidRPr="0098660A">
              <w:rPr>
                <w:rFonts w:ascii="Arial Narrow" w:hAnsi="Arial Narrow" w:cs="Times New Roman"/>
                <w:sz w:val="20"/>
                <w:szCs w:val="20"/>
              </w:rPr>
              <w:t>(i) details of the proposed prescription; and</w:t>
            </w:r>
          </w:p>
          <w:p w14:paraId="6F5F75F2" w14:textId="7539EDE2" w:rsidR="00147ACC" w:rsidRPr="0098660A" w:rsidRDefault="00147ACC" w:rsidP="51A4B722">
            <w:pPr>
              <w:rPr>
                <w:rFonts w:ascii="Arial Narrow" w:hAnsi="Arial Narrow" w:cs="Times New Roman"/>
                <w:sz w:val="20"/>
                <w:szCs w:val="20"/>
              </w:rPr>
            </w:pPr>
            <w:r w:rsidRPr="0098660A">
              <w:rPr>
                <w:rFonts w:ascii="Arial Narrow" w:hAnsi="Arial Narrow" w:cs="Times New Roman"/>
                <w:sz w:val="20"/>
                <w:szCs w:val="20"/>
              </w:rPr>
              <w:t>(ii) a completed authority application form relevant to the indication and treatment phase (the latest version is located on the website specified in the Administrative Advice).</w:t>
            </w:r>
          </w:p>
        </w:tc>
      </w:tr>
      <w:tr w:rsidR="00147ACC" w:rsidRPr="0098660A" w14:paraId="60258456"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6CB39CD8" w14:textId="77777777" w:rsidR="00147ACC" w:rsidRPr="0098660A" w:rsidRDefault="00147ACC" w:rsidP="000E2127">
            <w:pPr>
              <w:rPr>
                <w:rFonts w:ascii="Arial Narrow" w:hAnsi="Arial Narrow" w:cs="Times New Roman"/>
                <w:b/>
                <w:bCs/>
                <w:sz w:val="20"/>
                <w:szCs w:val="20"/>
              </w:rPr>
            </w:pPr>
            <w:r w:rsidRPr="0098660A">
              <w:rPr>
                <w:rFonts w:ascii="Arial Narrow" w:hAnsi="Arial Narrow" w:cs="Times New Roman"/>
                <w:b/>
                <w:bCs/>
                <w:sz w:val="20"/>
                <w:szCs w:val="20"/>
              </w:rPr>
              <w:t>Prescribing Instructions:</w:t>
            </w:r>
          </w:p>
          <w:p w14:paraId="4194EDD3" w14:textId="77777777" w:rsidR="00147ACC" w:rsidRPr="0098660A" w:rsidRDefault="00147ACC" w:rsidP="000E2127">
            <w:pPr>
              <w:rPr>
                <w:rFonts w:ascii="Arial Narrow" w:hAnsi="Arial Narrow" w:cs="Times New Roman"/>
                <w:sz w:val="20"/>
                <w:szCs w:val="20"/>
              </w:rPr>
            </w:pPr>
            <w:r w:rsidRPr="0098660A">
              <w:rPr>
                <w:rFonts w:ascii="Arial Narrow" w:hAnsi="Arial Narrow" w:cs="Times New Roman"/>
                <w:sz w:val="20"/>
                <w:szCs w:val="20"/>
              </w:rPr>
              <w:t>At the time of the authority application, details (result and date of result) of the following monitoring requirements must be provided:</w:t>
            </w:r>
          </w:p>
          <w:p w14:paraId="09748C1A" w14:textId="77777777" w:rsidR="00147ACC" w:rsidRPr="0098660A" w:rsidRDefault="00147ACC" w:rsidP="000E2127">
            <w:pPr>
              <w:rPr>
                <w:rFonts w:ascii="Arial Narrow" w:hAnsi="Arial Narrow" w:cs="Times New Roman"/>
                <w:sz w:val="20"/>
                <w:szCs w:val="20"/>
              </w:rPr>
            </w:pPr>
            <w:r w:rsidRPr="0098660A">
              <w:rPr>
                <w:rFonts w:ascii="Arial Narrow" w:hAnsi="Arial Narrow" w:cs="Times New Roman"/>
                <w:sz w:val="20"/>
                <w:szCs w:val="20"/>
              </w:rPr>
              <w:t>(i) Haemoglobin (g/L)</w:t>
            </w:r>
          </w:p>
          <w:p w14:paraId="572F69C1" w14:textId="77777777" w:rsidR="00147ACC" w:rsidRPr="0098660A" w:rsidRDefault="00147ACC" w:rsidP="000E2127">
            <w:pPr>
              <w:rPr>
                <w:rFonts w:ascii="Arial Narrow" w:hAnsi="Arial Narrow" w:cs="Times New Roman"/>
                <w:sz w:val="20"/>
                <w:szCs w:val="20"/>
              </w:rPr>
            </w:pPr>
            <w:r w:rsidRPr="0098660A">
              <w:rPr>
                <w:rFonts w:ascii="Arial Narrow" w:hAnsi="Arial Narrow" w:cs="Times New Roman"/>
                <w:sz w:val="20"/>
                <w:szCs w:val="20"/>
              </w:rPr>
              <w:t>(ii) Platelets (x10</w:t>
            </w:r>
            <w:r w:rsidRPr="0098660A">
              <w:rPr>
                <w:rFonts w:ascii="Arial Narrow" w:hAnsi="Arial Narrow" w:cs="Times New Roman"/>
                <w:sz w:val="20"/>
                <w:szCs w:val="20"/>
                <w:vertAlign w:val="superscript"/>
              </w:rPr>
              <w:t>9</w:t>
            </w:r>
            <w:r w:rsidRPr="0098660A">
              <w:rPr>
                <w:rFonts w:ascii="Arial Narrow" w:hAnsi="Arial Narrow" w:cs="Times New Roman"/>
                <w:sz w:val="20"/>
                <w:szCs w:val="20"/>
              </w:rPr>
              <w:t>/L)</w:t>
            </w:r>
          </w:p>
          <w:p w14:paraId="50F906AD" w14:textId="77777777" w:rsidR="00147ACC" w:rsidRPr="0098660A" w:rsidRDefault="00147ACC" w:rsidP="000E2127">
            <w:pPr>
              <w:rPr>
                <w:rFonts w:ascii="Arial Narrow" w:hAnsi="Arial Narrow" w:cs="Times New Roman"/>
                <w:sz w:val="20"/>
                <w:szCs w:val="20"/>
              </w:rPr>
            </w:pPr>
            <w:r w:rsidRPr="0098660A">
              <w:rPr>
                <w:rFonts w:ascii="Arial Narrow" w:hAnsi="Arial Narrow" w:cs="Times New Roman"/>
                <w:sz w:val="20"/>
                <w:szCs w:val="20"/>
              </w:rPr>
              <w:t>(iii) White Cell Count (x10</w:t>
            </w:r>
            <w:r w:rsidRPr="0098660A">
              <w:rPr>
                <w:rFonts w:ascii="Arial Narrow" w:hAnsi="Arial Narrow" w:cs="Times New Roman"/>
                <w:sz w:val="20"/>
                <w:szCs w:val="20"/>
                <w:vertAlign w:val="superscript"/>
              </w:rPr>
              <w:t>9</w:t>
            </w:r>
            <w:r w:rsidRPr="0098660A">
              <w:rPr>
                <w:rFonts w:ascii="Arial Narrow" w:hAnsi="Arial Narrow" w:cs="Times New Roman"/>
                <w:sz w:val="20"/>
                <w:szCs w:val="20"/>
              </w:rPr>
              <w:t>/L)</w:t>
            </w:r>
          </w:p>
          <w:p w14:paraId="7C81F475" w14:textId="77777777" w:rsidR="00147ACC" w:rsidRPr="0098660A" w:rsidRDefault="00147ACC" w:rsidP="000E2127">
            <w:pPr>
              <w:rPr>
                <w:rFonts w:ascii="Arial Narrow" w:hAnsi="Arial Narrow" w:cs="Times New Roman"/>
                <w:sz w:val="20"/>
                <w:szCs w:val="20"/>
              </w:rPr>
            </w:pPr>
            <w:r w:rsidRPr="0098660A">
              <w:rPr>
                <w:rFonts w:ascii="Arial Narrow" w:hAnsi="Arial Narrow" w:cs="Times New Roman"/>
                <w:sz w:val="20"/>
                <w:szCs w:val="20"/>
              </w:rPr>
              <w:t>(iv) Reticulocytes (x10</w:t>
            </w:r>
            <w:r w:rsidRPr="0098660A">
              <w:rPr>
                <w:rFonts w:ascii="Arial Narrow" w:hAnsi="Arial Narrow" w:cs="Times New Roman"/>
                <w:sz w:val="20"/>
                <w:szCs w:val="20"/>
                <w:vertAlign w:val="superscript"/>
              </w:rPr>
              <w:t>9</w:t>
            </w:r>
            <w:r w:rsidRPr="0098660A">
              <w:rPr>
                <w:rFonts w:ascii="Arial Narrow" w:hAnsi="Arial Narrow" w:cs="Times New Roman"/>
                <w:sz w:val="20"/>
                <w:szCs w:val="20"/>
              </w:rPr>
              <w:t>/L)</w:t>
            </w:r>
          </w:p>
          <w:p w14:paraId="208C3600" w14:textId="77777777" w:rsidR="00147ACC" w:rsidRPr="0098660A" w:rsidRDefault="00147ACC" w:rsidP="000E2127">
            <w:pPr>
              <w:rPr>
                <w:rFonts w:ascii="Arial Narrow" w:hAnsi="Arial Narrow" w:cs="Times New Roman"/>
                <w:sz w:val="20"/>
                <w:szCs w:val="20"/>
              </w:rPr>
            </w:pPr>
            <w:r w:rsidRPr="0098660A">
              <w:rPr>
                <w:rFonts w:ascii="Arial Narrow" w:hAnsi="Arial Narrow" w:cs="Times New Roman"/>
                <w:sz w:val="20"/>
                <w:szCs w:val="20"/>
              </w:rPr>
              <w:t>(v) Neutrophils (x10</w:t>
            </w:r>
            <w:r w:rsidRPr="0098660A">
              <w:rPr>
                <w:rFonts w:ascii="Arial Narrow" w:hAnsi="Arial Narrow" w:cs="Times New Roman"/>
                <w:sz w:val="20"/>
                <w:szCs w:val="20"/>
                <w:vertAlign w:val="superscript"/>
              </w:rPr>
              <w:t>9</w:t>
            </w:r>
            <w:r w:rsidRPr="0098660A">
              <w:rPr>
                <w:rFonts w:ascii="Arial Narrow" w:hAnsi="Arial Narrow" w:cs="Times New Roman"/>
                <w:sz w:val="20"/>
                <w:szCs w:val="20"/>
              </w:rPr>
              <w:t>/L)</w:t>
            </w:r>
          </w:p>
          <w:p w14:paraId="3E005D77" w14:textId="77777777" w:rsidR="00147ACC" w:rsidRPr="0098660A" w:rsidRDefault="00147ACC" w:rsidP="000E2127">
            <w:pPr>
              <w:rPr>
                <w:rFonts w:ascii="Arial Narrow" w:hAnsi="Arial Narrow" w:cs="Times New Roman"/>
                <w:sz w:val="20"/>
                <w:szCs w:val="20"/>
              </w:rPr>
            </w:pPr>
            <w:r w:rsidRPr="0098660A">
              <w:rPr>
                <w:rFonts w:ascii="Arial Narrow" w:hAnsi="Arial Narrow" w:cs="Times New Roman"/>
                <w:sz w:val="20"/>
                <w:szCs w:val="20"/>
              </w:rPr>
              <w:t>(vi) Granulocyte clone size (%)</w:t>
            </w:r>
          </w:p>
          <w:p w14:paraId="2F0E724D" w14:textId="77777777" w:rsidR="00147ACC" w:rsidRPr="0098660A" w:rsidRDefault="00147ACC" w:rsidP="000E2127">
            <w:pPr>
              <w:rPr>
                <w:rFonts w:ascii="Arial Narrow" w:hAnsi="Arial Narrow" w:cs="Times New Roman"/>
                <w:sz w:val="20"/>
                <w:szCs w:val="20"/>
              </w:rPr>
            </w:pPr>
            <w:r w:rsidRPr="0098660A">
              <w:rPr>
                <w:rFonts w:ascii="Arial Narrow" w:hAnsi="Arial Narrow" w:cs="Times New Roman"/>
                <w:sz w:val="20"/>
                <w:szCs w:val="20"/>
              </w:rPr>
              <w:t>(vii) Lactate Dehydrogenase (LDH)</w:t>
            </w:r>
          </w:p>
          <w:p w14:paraId="5843C62B" w14:textId="77777777" w:rsidR="00147ACC" w:rsidRPr="0098660A" w:rsidRDefault="00147ACC" w:rsidP="000E2127">
            <w:pPr>
              <w:rPr>
                <w:rFonts w:ascii="Arial Narrow" w:hAnsi="Arial Narrow" w:cs="Times New Roman"/>
                <w:sz w:val="20"/>
                <w:szCs w:val="20"/>
              </w:rPr>
            </w:pPr>
            <w:r w:rsidRPr="0098660A">
              <w:rPr>
                <w:rFonts w:ascii="Arial Narrow" w:hAnsi="Arial Narrow" w:cs="Times New Roman"/>
                <w:sz w:val="20"/>
                <w:szCs w:val="20"/>
              </w:rPr>
              <w:t>(viii) the upper limit of normal (ULN) for LDH as quoted by the reporting laboratory</w:t>
            </w:r>
          </w:p>
          <w:p w14:paraId="3B16436D" w14:textId="77777777" w:rsidR="00147ACC" w:rsidRPr="0098660A" w:rsidRDefault="00147ACC" w:rsidP="000E2127">
            <w:pPr>
              <w:rPr>
                <w:rFonts w:ascii="Arial Narrow" w:hAnsi="Arial Narrow"/>
                <w:sz w:val="20"/>
                <w:szCs w:val="20"/>
              </w:rPr>
            </w:pPr>
            <w:r w:rsidRPr="0098660A">
              <w:rPr>
                <w:rFonts w:ascii="Arial Narrow" w:hAnsi="Arial Narrow" w:cs="Times New Roman"/>
                <w:sz w:val="20"/>
                <w:szCs w:val="20"/>
              </w:rPr>
              <w:t>(ix) the LDH:ULN ratio (in figures, rounded to one decimal place)</w:t>
            </w:r>
          </w:p>
        </w:tc>
      </w:tr>
      <w:tr w:rsidR="00147ACC" w:rsidRPr="0098660A" w14:paraId="53C45950"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39E7961C" w14:textId="77777777" w:rsidR="00147ACC" w:rsidRPr="0098660A" w:rsidRDefault="00147ACC" w:rsidP="000E2127">
            <w:pPr>
              <w:rPr>
                <w:rFonts w:ascii="Arial Narrow" w:hAnsi="Arial Narrow" w:cs="Times New Roman"/>
                <w:sz w:val="20"/>
                <w:szCs w:val="20"/>
              </w:rPr>
            </w:pPr>
            <w:r w:rsidRPr="0098660A">
              <w:rPr>
                <w:rFonts w:ascii="Arial Narrow" w:hAnsi="Arial Narrow" w:cs="Times New Roman"/>
                <w:b/>
                <w:bCs/>
                <w:sz w:val="20"/>
                <w:szCs w:val="20"/>
              </w:rPr>
              <w:t xml:space="preserve">Prescribing Instructions: </w:t>
            </w:r>
          </w:p>
          <w:p w14:paraId="047691CF" w14:textId="77777777" w:rsidR="00147ACC" w:rsidRPr="0098660A" w:rsidRDefault="00147ACC" w:rsidP="000E2127">
            <w:pPr>
              <w:rPr>
                <w:rFonts w:ascii="Arial Narrow" w:hAnsi="Arial Narrow" w:cs="Times New Roman"/>
                <w:b/>
                <w:bCs/>
                <w:sz w:val="20"/>
                <w:szCs w:val="20"/>
              </w:rPr>
            </w:pPr>
            <w:r w:rsidRPr="0098660A">
              <w:rPr>
                <w:rFonts w:ascii="Arial Narrow" w:hAnsi="Arial Narrow" w:cs="Arial Narrow"/>
                <w:sz w:val="20"/>
                <w:szCs w:val="20"/>
              </w:rPr>
              <w:t>At the time of the authority application, medical practitioners must request the appropriate number of vials for 4 weeks supply per dispensing as per the Product Information. A maximum of 5 repeats may be requested.</w:t>
            </w:r>
          </w:p>
        </w:tc>
      </w:tr>
      <w:tr w:rsidR="00147ACC" w:rsidRPr="0098660A" w14:paraId="07091C0E"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43C9DABF" w14:textId="77777777" w:rsidR="00147ACC" w:rsidRPr="0098660A" w:rsidRDefault="00147ACC" w:rsidP="000E2127">
            <w:pPr>
              <w:rPr>
                <w:rFonts w:ascii="Arial Narrow" w:hAnsi="Arial Narrow" w:cs="Times New Roman"/>
                <w:sz w:val="20"/>
                <w:szCs w:val="20"/>
              </w:rPr>
            </w:pPr>
            <w:r w:rsidRPr="0098660A">
              <w:rPr>
                <w:rFonts w:ascii="Arial Narrow" w:hAnsi="Arial Narrow" w:cs="Times New Roman"/>
                <w:b/>
                <w:bCs/>
                <w:sz w:val="20"/>
                <w:szCs w:val="20"/>
              </w:rPr>
              <w:t xml:space="preserve">Prescribing Instructions: </w:t>
            </w:r>
          </w:p>
          <w:p w14:paraId="31D9AE86" w14:textId="77777777" w:rsidR="00147ACC" w:rsidRPr="0098660A" w:rsidRDefault="00147ACC" w:rsidP="000E2127">
            <w:pPr>
              <w:rPr>
                <w:rFonts w:ascii="Arial Narrow" w:hAnsi="Arial Narrow"/>
                <w:sz w:val="20"/>
                <w:szCs w:val="20"/>
              </w:rPr>
            </w:pPr>
            <w:r w:rsidRPr="0098660A">
              <w:rPr>
                <w:rFonts w:ascii="Arial Narrow" w:hAnsi="Arial Narrow"/>
                <w:sz w:val="20"/>
                <w:szCs w:val="20"/>
              </w:rPr>
              <w:t>A patient may qualify for PBS-subsidised treatment under this restriction once only. For continuing PBS-subsidised treatment, a grandfathered patient must qualify under the Subsequent continuing treatment criteria.</w:t>
            </w:r>
          </w:p>
        </w:tc>
      </w:tr>
      <w:tr w:rsidR="00147ACC" w:rsidRPr="0098660A" w14:paraId="6A9D9195"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471EACA8" w14:textId="77777777" w:rsidR="00147ACC" w:rsidRPr="0098660A" w:rsidRDefault="00147ACC" w:rsidP="000E2127">
            <w:pPr>
              <w:rPr>
                <w:rFonts w:ascii="Arial Narrow" w:eastAsia="Calibri" w:hAnsi="Arial Narrow"/>
                <w:sz w:val="20"/>
                <w:szCs w:val="20"/>
              </w:rPr>
            </w:pPr>
            <w:r w:rsidRPr="0098660A">
              <w:rPr>
                <w:rFonts w:ascii="Arial Narrow" w:hAnsi="Arial Narrow"/>
                <w:b/>
                <w:bCs/>
                <w:color w:val="333333"/>
                <w:sz w:val="20"/>
                <w:szCs w:val="20"/>
              </w:rPr>
              <w:lastRenderedPageBreak/>
              <w:t>Prescribing Instructions:</w:t>
            </w:r>
          </w:p>
          <w:p w14:paraId="7ED27348" w14:textId="7DB2A97D" w:rsidR="00147ACC" w:rsidRPr="0098660A" w:rsidRDefault="00147ACC" w:rsidP="000E2127">
            <w:pPr>
              <w:rPr>
                <w:rFonts w:ascii="Arial Narrow" w:hAnsi="Arial Narrow"/>
                <w:sz w:val="20"/>
                <w:szCs w:val="20"/>
              </w:rPr>
            </w:pPr>
            <w:r w:rsidRPr="0098660A">
              <w:rPr>
                <w:rFonts w:ascii="Arial Narrow" w:eastAsia="Calibri" w:hAnsi="Arial Narrow"/>
                <w:sz w:val="20"/>
                <w:szCs w:val="20"/>
              </w:rPr>
              <w:t>This grandfather restriction will cease to operate from 12 months after the date specified in the clinical criteria.</w:t>
            </w:r>
          </w:p>
        </w:tc>
      </w:tr>
      <w:tr w:rsidR="007718A0" w:rsidRPr="0098660A" w14:paraId="0A16B6CA"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9098" w:type="dxa"/>
            <w:gridSpan w:val="7"/>
            <w:vAlign w:val="center"/>
          </w:tcPr>
          <w:p w14:paraId="39E6E7DB" w14:textId="77777777" w:rsidR="007718A0" w:rsidRPr="0098660A" w:rsidRDefault="007718A0" w:rsidP="000E2127">
            <w:pPr>
              <w:jc w:val="center"/>
              <w:rPr>
                <w:rFonts w:ascii="Arial Narrow" w:hAnsi="Arial Narrow"/>
                <w:sz w:val="20"/>
                <w:szCs w:val="20"/>
              </w:rPr>
            </w:pPr>
          </w:p>
          <w:p w14:paraId="6A599785" w14:textId="77777777" w:rsidR="007718A0" w:rsidRPr="0098660A" w:rsidRDefault="007718A0" w:rsidP="000E2127">
            <w:pPr>
              <w:rPr>
                <w:rFonts w:ascii="Arial Narrow" w:hAnsi="Arial Narrow"/>
                <w:sz w:val="20"/>
                <w:szCs w:val="20"/>
              </w:rPr>
            </w:pPr>
          </w:p>
        </w:tc>
      </w:tr>
      <w:tr w:rsidR="007718A0" w:rsidRPr="0098660A" w14:paraId="7227C081" w14:textId="77777777" w:rsidTr="00027082">
        <w:tblPrEx>
          <w:tblCellMar>
            <w:top w:w="15" w:type="dxa"/>
            <w:bottom w:w="15" w:type="dxa"/>
          </w:tblCellMar>
          <w:tblLook w:val="04A0" w:firstRow="1" w:lastRow="0" w:firstColumn="1" w:lastColumn="0" w:noHBand="0" w:noVBand="1"/>
        </w:tblPrEx>
        <w:trPr>
          <w:gridAfter w:val="1"/>
          <w:wAfter w:w="15" w:type="dxa"/>
          <w:cantSplit/>
          <w:trHeight w:val="20"/>
        </w:trPr>
        <w:tc>
          <w:tcPr>
            <w:tcW w:w="1419" w:type="dxa"/>
            <w:shd w:val="clear" w:color="auto" w:fill="A6A6A6" w:themeFill="background1" w:themeFillShade="A6"/>
            <w:vAlign w:val="center"/>
          </w:tcPr>
          <w:p w14:paraId="246F2552" w14:textId="77777777" w:rsidR="007718A0" w:rsidRPr="0098660A" w:rsidRDefault="007718A0" w:rsidP="000E2127">
            <w:pPr>
              <w:jc w:val="center"/>
              <w:rPr>
                <w:rFonts w:ascii="Arial Narrow" w:hAnsi="Arial Narrow"/>
                <w:sz w:val="20"/>
                <w:szCs w:val="20"/>
              </w:rPr>
            </w:pPr>
          </w:p>
        </w:tc>
        <w:tc>
          <w:tcPr>
            <w:tcW w:w="7679" w:type="dxa"/>
            <w:gridSpan w:val="6"/>
            <w:shd w:val="clear" w:color="auto" w:fill="A6A6A6" w:themeFill="background1" w:themeFillShade="A6"/>
            <w:vAlign w:val="center"/>
          </w:tcPr>
          <w:p w14:paraId="56F78EA2" w14:textId="77777777" w:rsidR="007718A0" w:rsidRPr="0098660A" w:rsidRDefault="007718A0" w:rsidP="000E2127">
            <w:pPr>
              <w:rPr>
                <w:rFonts w:ascii="Arial Narrow" w:hAnsi="Arial Narrow"/>
                <w:sz w:val="20"/>
                <w:szCs w:val="20"/>
              </w:rPr>
            </w:pPr>
            <w:r w:rsidRPr="0098660A">
              <w:rPr>
                <w:rFonts w:ascii="Arial Narrow" w:hAnsi="Arial Narrow"/>
                <w:b/>
                <w:sz w:val="20"/>
                <w:szCs w:val="20"/>
              </w:rPr>
              <w:t xml:space="preserve">Restriction Summary [new3] / Treatment of Concept: [new3A] </w:t>
            </w:r>
          </w:p>
        </w:tc>
      </w:tr>
      <w:tr w:rsidR="00D02E20" w:rsidRPr="0098660A" w14:paraId="27A0FF91" w14:textId="77777777" w:rsidTr="00027082">
        <w:tblPrEx>
          <w:tblCellMar>
            <w:top w:w="15" w:type="dxa"/>
            <w:bottom w:w="15" w:type="dxa"/>
          </w:tblCellMar>
          <w:tblLook w:val="04A0" w:firstRow="1" w:lastRow="0" w:firstColumn="1" w:lastColumn="0" w:noHBand="0" w:noVBand="1"/>
        </w:tblPrEx>
        <w:trPr>
          <w:cantSplit/>
          <w:trHeight w:val="20"/>
        </w:trPr>
        <w:tc>
          <w:tcPr>
            <w:tcW w:w="9113" w:type="dxa"/>
            <w:gridSpan w:val="8"/>
            <w:vAlign w:val="center"/>
          </w:tcPr>
          <w:p w14:paraId="79FADA98" w14:textId="77777777" w:rsidR="00D02E20" w:rsidRPr="0098660A" w:rsidRDefault="00D02E20" w:rsidP="000E2127">
            <w:pPr>
              <w:rPr>
                <w:rFonts w:ascii="Arial Narrow" w:hAnsi="Arial Narrow"/>
                <w:sz w:val="20"/>
                <w:szCs w:val="20"/>
              </w:rPr>
            </w:pPr>
            <w:r w:rsidRPr="0098660A">
              <w:rPr>
                <w:rFonts w:ascii="Arial Narrow" w:hAnsi="Arial Narrow" w:cs="Segoe UI"/>
                <w:b/>
                <w:bCs/>
                <w:color w:val="333333"/>
                <w:sz w:val="20"/>
                <w:szCs w:val="20"/>
                <w:lang w:eastAsia="en-US"/>
              </w:rPr>
              <w:t>Indication:</w:t>
            </w:r>
            <w:r w:rsidRPr="0098660A">
              <w:rPr>
                <w:rFonts w:ascii="Arial Narrow" w:hAnsi="Arial Narrow" w:cs="Segoe UI"/>
                <w:color w:val="333333"/>
                <w:sz w:val="20"/>
                <w:szCs w:val="20"/>
                <w:lang w:eastAsia="en-US"/>
              </w:rPr>
              <w:t xml:space="preserve"> Paroxysmal nocturnal haemoglobinuria (PNH)</w:t>
            </w:r>
          </w:p>
        </w:tc>
      </w:tr>
      <w:tr w:rsidR="00D02E20" w:rsidRPr="0098660A" w14:paraId="7FEA9539" w14:textId="77777777" w:rsidTr="00027082">
        <w:tblPrEx>
          <w:tblCellMar>
            <w:top w:w="15" w:type="dxa"/>
            <w:bottom w:w="15" w:type="dxa"/>
          </w:tblCellMar>
          <w:tblLook w:val="04A0" w:firstRow="1" w:lastRow="0" w:firstColumn="1" w:lastColumn="0" w:noHBand="0" w:noVBand="1"/>
        </w:tblPrEx>
        <w:trPr>
          <w:cantSplit/>
          <w:trHeight w:val="20"/>
        </w:trPr>
        <w:tc>
          <w:tcPr>
            <w:tcW w:w="9113" w:type="dxa"/>
            <w:gridSpan w:val="8"/>
            <w:vAlign w:val="center"/>
          </w:tcPr>
          <w:p w14:paraId="5181E993" w14:textId="77777777" w:rsidR="00D02E20" w:rsidRPr="0098660A" w:rsidRDefault="00D02E20" w:rsidP="000E2127">
            <w:pPr>
              <w:rPr>
                <w:rFonts w:ascii="Arial Narrow" w:hAnsi="Arial Narrow"/>
                <w:sz w:val="20"/>
                <w:szCs w:val="20"/>
              </w:rPr>
            </w:pPr>
            <w:r w:rsidRPr="0098660A">
              <w:rPr>
                <w:rFonts w:ascii="Arial Narrow" w:hAnsi="Arial Narrow"/>
                <w:b/>
                <w:bCs/>
                <w:sz w:val="20"/>
                <w:szCs w:val="20"/>
              </w:rPr>
              <w:t>Treatment Phase:</w:t>
            </w:r>
            <w:r w:rsidRPr="0098660A">
              <w:rPr>
                <w:rFonts w:ascii="Arial Narrow" w:hAnsi="Arial Narrow"/>
                <w:sz w:val="20"/>
                <w:szCs w:val="20"/>
              </w:rPr>
              <w:t xml:space="preserve"> Transitioning from non-PBS to PBS subsidised treatment – ‘Grandfather arrangement 2’ (Complement 5 inhibitor experienced patients)  </w:t>
            </w:r>
          </w:p>
        </w:tc>
      </w:tr>
      <w:tr w:rsidR="00D02E20" w:rsidRPr="0098660A" w14:paraId="2F60B31B" w14:textId="77777777" w:rsidTr="00027082">
        <w:tblPrEx>
          <w:tblCellMar>
            <w:top w:w="15" w:type="dxa"/>
            <w:bottom w:w="15" w:type="dxa"/>
          </w:tblCellMar>
          <w:tblLook w:val="04A0" w:firstRow="1" w:lastRow="0" w:firstColumn="1" w:lastColumn="0" w:noHBand="0" w:noVBand="1"/>
        </w:tblPrEx>
        <w:trPr>
          <w:cantSplit/>
          <w:trHeight w:val="20"/>
        </w:trPr>
        <w:tc>
          <w:tcPr>
            <w:tcW w:w="9113" w:type="dxa"/>
            <w:gridSpan w:val="8"/>
            <w:vAlign w:val="center"/>
          </w:tcPr>
          <w:p w14:paraId="6F5873D5" w14:textId="77777777" w:rsidR="00D02E20" w:rsidRPr="0098660A" w:rsidRDefault="00D02E20" w:rsidP="000E2127">
            <w:pPr>
              <w:rPr>
                <w:rFonts w:ascii="Arial Narrow" w:hAnsi="Arial Narrow"/>
                <w:b/>
                <w:bCs/>
                <w:sz w:val="20"/>
                <w:szCs w:val="20"/>
              </w:rPr>
            </w:pPr>
            <w:r w:rsidRPr="0098660A">
              <w:rPr>
                <w:rFonts w:ascii="Arial Narrow" w:hAnsi="Arial Narrow" w:cs="Segoe UI"/>
                <w:b/>
                <w:bCs/>
                <w:color w:val="333333"/>
                <w:sz w:val="20"/>
                <w:szCs w:val="20"/>
                <w:lang w:eastAsia="en-US"/>
              </w:rPr>
              <w:t>Clinical criteria:</w:t>
            </w:r>
          </w:p>
        </w:tc>
      </w:tr>
      <w:tr w:rsidR="00D02E20" w:rsidRPr="0098660A" w14:paraId="6F0725B5" w14:textId="77777777" w:rsidTr="00027082">
        <w:tblPrEx>
          <w:tblCellMar>
            <w:top w:w="15" w:type="dxa"/>
            <w:bottom w:w="15" w:type="dxa"/>
          </w:tblCellMar>
          <w:tblLook w:val="04A0" w:firstRow="1" w:lastRow="0" w:firstColumn="1" w:lastColumn="0" w:noHBand="0" w:noVBand="1"/>
        </w:tblPrEx>
        <w:trPr>
          <w:cantSplit/>
          <w:trHeight w:val="20"/>
        </w:trPr>
        <w:tc>
          <w:tcPr>
            <w:tcW w:w="9113" w:type="dxa"/>
            <w:gridSpan w:val="8"/>
            <w:vAlign w:val="center"/>
          </w:tcPr>
          <w:p w14:paraId="16B669D7" w14:textId="77777777" w:rsidR="00D02E20" w:rsidRPr="0098660A" w:rsidRDefault="00D02E20" w:rsidP="000E2127">
            <w:pPr>
              <w:rPr>
                <w:rFonts w:ascii="Arial Narrow" w:hAnsi="Arial Narrow"/>
                <w:b/>
                <w:bCs/>
                <w:sz w:val="20"/>
                <w:szCs w:val="20"/>
              </w:rPr>
            </w:pPr>
            <w:r w:rsidRPr="0098660A">
              <w:rPr>
                <w:rFonts w:ascii="Arial Narrow" w:hAnsi="Arial Narrow"/>
                <w:sz w:val="20"/>
                <w:szCs w:val="20"/>
              </w:rPr>
              <w:t>Patient must have been receiving non-PBS-subsidised treatment with this drug for this condition prior to [date of listing]</w:t>
            </w:r>
          </w:p>
        </w:tc>
      </w:tr>
      <w:tr w:rsidR="00D02E20" w:rsidRPr="0098660A" w14:paraId="4F244FB1" w14:textId="77777777" w:rsidTr="00027082">
        <w:tblPrEx>
          <w:tblCellMar>
            <w:top w:w="15" w:type="dxa"/>
            <w:bottom w:w="15" w:type="dxa"/>
          </w:tblCellMar>
          <w:tblLook w:val="04A0" w:firstRow="1" w:lastRow="0" w:firstColumn="1" w:lastColumn="0" w:noHBand="0" w:noVBand="1"/>
        </w:tblPrEx>
        <w:trPr>
          <w:cantSplit/>
          <w:trHeight w:val="20"/>
        </w:trPr>
        <w:tc>
          <w:tcPr>
            <w:tcW w:w="9113" w:type="dxa"/>
            <w:gridSpan w:val="8"/>
            <w:vAlign w:val="center"/>
          </w:tcPr>
          <w:p w14:paraId="7B5A3807" w14:textId="77777777" w:rsidR="00D02E20" w:rsidRPr="0098660A" w:rsidRDefault="00D02E20" w:rsidP="000E2127">
            <w:pPr>
              <w:rPr>
                <w:rFonts w:ascii="Arial Narrow" w:hAnsi="Arial Narrow"/>
                <w:b/>
                <w:bCs/>
                <w:sz w:val="20"/>
                <w:szCs w:val="20"/>
              </w:rPr>
            </w:pPr>
            <w:r w:rsidRPr="0098660A">
              <w:rPr>
                <w:rFonts w:ascii="Arial Narrow" w:hAnsi="Arial Narrow" w:cs="Segoe UI"/>
                <w:b/>
                <w:bCs/>
                <w:color w:val="333333"/>
                <w:sz w:val="20"/>
                <w:szCs w:val="20"/>
                <w:lang w:eastAsia="en-US"/>
              </w:rPr>
              <w:t>AND</w:t>
            </w:r>
          </w:p>
        </w:tc>
      </w:tr>
      <w:tr w:rsidR="00D02E20" w:rsidRPr="0098660A" w14:paraId="6410CD5C" w14:textId="77777777" w:rsidTr="00027082">
        <w:tblPrEx>
          <w:tblCellMar>
            <w:top w:w="15" w:type="dxa"/>
            <w:bottom w:w="15" w:type="dxa"/>
          </w:tblCellMar>
          <w:tblLook w:val="04A0" w:firstRow="1" w:lastRow="0" w:firstColumn="1" w:lastColumn="0" w:noHBand="0" w:noVBand="1"/>
        </w:tblPrEx>
        <w:trPr>
          <w:cantSplit/>
          <w:trHeight w:val="20"/>
        </w:trPr>
        <w:tc>
          <w:tcPr>
            <w:tcW w:w="9113" w:type="dxa"/>
            <w:gridSpan w:val="8"/>
            <w:vAlign w:val="center"/>
          </w:tcPr>
          <w:p w14:paraId="342755BC" w14:textId="77777777" w:rsidR="00D02E20" w:rsidRPr="0098660A" w:rsidRDefault="00D02E20" w:rsidP="000E2127">
            <w:pPr>
              <w:rPr>
                <w:rFonts w:ascii="Arial Narrow" w:hAnsi="Arial Narrow"/>
                <w:b/>
                <w:bCs/>
                <w:sz w:val="20"/>
                <w:szCs w:val="20"/>
              </w:rPr>
            </w:pPr>
            <w:r w:rsidRPr="0098660A">
              <w:rPr>
                <w:rFonts w:ascii="Arial Narrow" w:hAnsi="Arial Narrow" w:cs="Segoe UI"/>
                <w:b/>
                <w:bCs/>
                <w:color w:val="333333"/>
                <w:sz w:val="20"/>
                <w:szCs w:val="20"/>
                <w:lang w:eastAsia="en-US"/>
              </w:rPr>
              <w:t xml:space="preserve">Clinical criteria: </w:t>
            </w:r>
          </w:p>
        </w:tc>
      </w:tr>
      <w:tr w:rsidR="00D02E20" w:rsidRPr="0098660A" w14:paraId="3662519C" w14:textId="77777777" w:rsidTr="00027082">
        <w:tblPrEx>
          <w:tblCellMar>
            <w:top w:w="15" w:type="dxa"/>
            <w:bottom w:w="15" w:type="dxa"/>
          </w:tblCellMar>
          <w:tblLook w:val="04A0" w:firstRow="1" w:lastRow="0" w:firstColumn="1" w:lastColumn="0" w:noHBand="0" w:noVBand="1"/>
        </w:tblPrEx>
        <w:trPr>
          <w:cantSplit/>
          <w:trHeight w:val="20"/>
        </w:trPr>
        <w:tc>
          <w:tcPr>
            <w:tcW w:w="9113" w:type="dxa"/>
            <w:gridSpan w:val="8"/>
            <w:vAlign w:val="center"/>
          </w:tcPr>
          <w:p w14:paraId="553D93F7" w14:textId="0CE8D787" w:rsidR="00D02E20" w:rsidRPr="0098660A" w:rsidRDefault="00D02E20" w:rsidP="000E2127">
            <w:pPr>
              <w:rPr>
                <w:rFonts w:ascii="Arial Narrow" w:hAnsi="Arial Narrow"/>
                <w:b/>
                <w:bCs/>
                <w:sz w:val="20"/>
                <w:szCs w:val="20"/>
              </w:rPr>
            </w:pPr>
            <w:r w:rsidRPr="0098660A">
              <w:rPr>
                <w:rFonts w:ascii="Arial Narrow" w:hAnsi="Arial Narrow"/>
                <w:sz w:val="20"/>
                <w:szCs w:val="20"/>
              </w:rPr>
              <w:t xml:space="preserve">Patient must have a PNH granulocyte clone size equal to or greater than 10% within the last 3 months prior to commencing non-PBS-subsidised treatment with this drug </w:t>
            </w:r>
          </w:p>
        </w:tc>
      </w:tr>
      <w:tr w:rsidR="00D02E20" w:rsidRPr="0098660A" w14:paraId="45DF25CF" w14:textId="77777777" w:rsidTr="00027082">
        <w:tblPrEx>
          <w:tblCellMar>
            <w:top w:w="15" w:type="dxa"/>
            <w:bottom w:w="15" w:type="dxa"/>
          </w:tblCellMar>
          <w:tblLook w:val="04A0" w:firstRow="1" w:lastRow="0" w:firstColumn="1" w:lastColumn="0" w:noHBand="0" w:noVBand="1"/>
        </w:tblPrEx>
        <w:trPr>
          <w:cantSplit/>
          <w:trHeight w:val="20"/>
        </w:trPr>
        <w:tc>
          <w:tcPr>
            <w:tcW w:w="9113" w:type="dxa"/>
            <w:gridSpan w:val="8"/>
            <w:vAlign w:val="center"/>
          </w:tcPr>
          <w:p w14:paraId="0C66267C" w14:textId="77777777" w:rsidR="00D02E20" w:rsidRPr="0098660A" w:rsidRDefault="00D02E20" w:rsidP="000E2127">
            <w:pPr>
              <w:rPr>
                <w:rFonts w:ascii="Arial Narrow" w:hAnsi="Arial Narrow"/>
                <w:b/>
                <w:bCs/>
                <w:sz w:val="20"/>
                <w:szCs w:val="20"/>
              </w:rPr>
            </w:pPr>
            <w:r w:rsidRPr="0098660A">
              <w:rPr>
                <w:rFonts w:ascii="Arial Narrow" w:hAnsi="Arial Narrow" w:cs="Segoe UI"/>
                <w:b/>
                <w:bCs/>
                <w:color w:val="333333"/>
                <w:sz w:val="20"/>
                <w:szCs w:val="20"/>
                <w:lang w:eastAsia="en-US"/>
              </w:rPr>
              <w:t>AND</w:t>
            </w:r>
            <w:r w:rsidRPr="0098660A">
              <w:rPr>
                <w:rFonts w:ascii="Arial Narrow" w:hAnsi="Arial Narrow" w:cs="Segoe UI"/>
                <w:color w:val="333333"/>
                <w:sz w:val="20"/>
                <w:szCs w:val="20"/>
                <w:lang w:eastAsia="en-US"/>
              </w:rPr>
              <w:t> </w:t>
            </w:r>
          </w:p>
        </w:tc>
      </w:tr>
      <w:tr w:rsidR="00D02E20" w:rsidRPr="0098660A" w14:paraId="76634594" w14:textId="77777777" w:rsidTr="00027082">
        <w:tblPrEx>
          <w:tblCellMar>
            <w:top w:w="15" w:type="dxa"/>
            <w:bottom w:w="15" w:type="dxa"/>
          </w:tblCellMar>
          <w:tblLook w:val="04A0" w:firstRow="1" w:lastRow="0" w:firstColumn="1" w:lastColumn="0" w:noHBand="0" w:noVBand="1"/>
        </w:tblPrEx>
        <w:trPr>
          <w:cantSplit/>
          <w:trHeight w:val="20"/>
        </w:trPr>
        <w:tc>
          <w:tcPr>
            <w:tcW w:w="9113" w:type="dxa"/>
            <w:gridSpan w:val="8"/>
            <w:vAlign w:val="center"/>
          </w:tcPr>
          <w:p w14:paraId="31B48BC8" w14:textId="77777777" w:rsidR="00D02E20" w:rsidRPr="0098660A" w:rsidRDefault="00D02E20" w:rsidP="000E2127">
            <w:pPr>
              <w:rPr>
                <w:rFonts w:ascii="Arial Narrow" w:hAnsi="Arial Narrow"/>
                <w:b/>
                <w:bCs/>
                <w:sz w:val="20"/>
                <w:szCs w:val="20"/>
              </w:rPr>
            </w:pPr>
            <w:r w:rsidRPr="0098660A">
              <w:rPr>
                <w:rFonts w:ascii="Arial Narrow" w:hAnsi="Arial Narrow" w:cs="Segoe UI"/>
                <w:b/>
                <w:bCs/>
                <w:color w:val="333333"/>
                <w:sz w:val="20"/>
                <w:szCs w:val="20"/>
                <w:lang w:eastAsia="en-US"/>
              </w:rPr>
              <w:t>Clinical criteria:</w:t>
            </w:r>
            <w:r w:rsidRPr="0098660A">
              <w:rPr>
                <w:rFonts w:ascii="Arial Narrow" w:hAnsi="Arial Narrow" w:cs="Segoe UI"/>
                <w:color w:val="333333"/>
                <w:sz w:val="20"/>
                <w:szCs w:val="20"/>
                <w:lang w:eastAsia="en-US"/>
              </w:rPr>
              <w:t> </w:t>
            </w:r>
          </w:p>
        </w:tc>
      </w:tr>
      <w:tr w:rsidR="00D02E20" w:rsidRPr="0098660A" w14:paraId="51131AB6" w14:textId="77777777" w:rsidTr="00027082">
        <w:tblPrEx>
          <w:tblCellMar>
            <w:top w:w="15" w:type="dxa"/>
            <w:bottom w:w="15" w:type="dxa"/>
          </w:tblCellMar>
          <w:tblLook w:val="04A0" w:firstRow="1" w:lastRow="0" w:firstColumn="1" w:lastColumn="0" w:noHBand="0" w:noVBand="1"/>
        </w:tblPrEx>
        <w:trPr>
          <w:cantSplit/>
          <w:trHeight w:val="20"/>
        </w:trPr>
        <w:tc>
          <w:tcPr>
            <w:tcW w:w="9113" w:type="dxa"/>
            <w:gridSpan w:val="8"/>
            <w:vAlign w:val="center"/>
          </w:tcPr>
          <w:p w14:paraId="67FF880C" w14:textId="77777777" w:rsidR="00D02E20" w:rsidRPr="0098660A" w:rsidRDefault="00D02E20" w:rsidP="000E2127">
            <w:pPr>
              <w:rPr>
                <w:rFonts w:ascii="Arial Narrow" w:hAnsi="Arial Narrow"/>
                <w:b/>
                <w:bCs/>
                <w:sz w:val="20"/>
                <w:szCs w:val="20"/>
              </w:rPr>
            </w:pPr>
            <w:r w:rsidRPr="0098660A">
              <w:rPr>
                <w:rFonts w:ascii="Arial Narrow" w:hAnsi="Arial Narrow"/>
                <w:sz w:val="20"/>
                <w:szCs w:val="20"/>
              </w:rPr>
              <w:t>Patient must have received treatment with at least one C5 inhibitor for at least 3 months before initiating non-PBS-subsidised treatment with this drug unless intolerance of severity necessitating permanent treatment withdrawal had occurred</w:t>
            </w:r>
          </w:p>
        </w:tc>
      </w:tr>
      <w:tr w:rsidR="00D02E20" w:rsidRPr="0098660A" w14:paraId="0D75AC76" w14:textId="77777777" w:rsidTr="00027082">
        <w:tblPrEx>
          <w:tblCellMar>
            <w:top w:w="15" w:type="dxa"/>
            <w:bottom w:w="15" w:type="dxa"/>
          </w:tblCellMar>
          <w:tblLook w:val="04A0" w:firstRow="1" w:lastRow="0" w:firstColumn="1" w:lastColumn="0" w:noHBand="0" w:noVBand="1"/>
        </w:tblPrEx>
        <w:trPr>
          <w:cantSplit/>
          <w:trHeight w:val="20"/>
        </w:trPr>
        <w:tc>
          <w:tcPr>
            <w:tcW w:w="9113" w:type="dxa"/>
            <w:gridSpan w:val="8"/>
            <w:vAlign w:val="center"/>
          </w:tcPr>
          <w:p w14:paraId="16426DA9" w14:textId="77777777" w:rsidR="00D02E20" w:rsidRPr="0098660A" w:rsidRDefault="00D02E20" w:rsidP="000E2127">
            <w:pPr>
              <w:rPr>
                <w:rFonts w:ascii="Arial Narrow" w:hAnsi="Arial Narrow"/>
                <w:b/>
                <w:bCs/>
                <w:sz w:val="20"/>
                <w:szCs w:val="20"/>
              </w:rPr>
            </w:pPr>
            <w:r w:rsidRPr="0098660A">
              <w:rPr>
                <w:rFonts w:ascii="Arial Narrow" w:hAnsi="Arial Narrow" w:cs="Segoe UI"/>
                <w:b/>
                <w:bCs/>
                <w:color w:val="333333"/>
                <w:sz w:val="20"/>
                <w:szCs w:val="20"/>
                <w:lang w:eastAsia="en-US"/>
              </w:rPr>
              <w:t>AND</w:t>
            </w:r>
            <w:r w:rsidRPr="0098660A">
              <w:rPr>
                <w:rFonts w:ascii="Arial Narrow" w:hAnsi="Arial Narrow" w:cs="Segoe UI"/>
                <w:color w:val="333333"/>
                <w:sz w:val="20"/>
                <w:szCs w:val="20"/>
                <w:lang w:eastAsia="en-US"/>
              </w:rPr>
              <w:t> </w:t>
            </w:r>
          </w:p>
        </w:tc>
      </w:tr>
      <w:tr w:rsidR="00D02E20" w:rsidRPr="0098660A" w14:paraId="61413518" w14:textId="77777777" w:rsidTr="00027082">
        <w:tblPrEx>
          <w:tblCellMar>
            <w:top w:w="15" w:type="dxa"/>
            <w:bottom w:w="15" w:type="dxa"/>
          </w:tblCellMar>
          <w:tblLook w:val="04A0" w:firstRow="1" w:lastRow="0" w:firstColumn="1" w:lastColumn="0" w:noHBand="0" w:noVBand="1"/>
        </w:tblPrEx>
        <w:trPr>
          <w:cantSplit/>
          <w:trHeight w:val="20"/>
        </w:trPr>
        <w:tc>
          <w:tcPr>
            <w:tcW w:w="9113" w:type="dxa"/>
            <w:gridSpan w:val="8"/>
            <w:vAlign w:val="center"/>
          </w:tcPr>
          <w:p w14:paraId="3ECD3398" w14:textId="77777777" w:rsidR="00D02E20" w:rsidRPr="0098660A" w:rsidRDefault="00D02E20" w:rsidP="000E2127">
            <w:pPr>
              <w:rPr>
                <w:rFonts w:ascii="Arial Narrow" w:hAnsi="Arial Narrow"/>
                <w:b/>
                <w:bCs/>
                <w:sz w:val="20"/>
                <w:szCs w:val="20"/>
              </w:rPr>
            </w:pPr>
            <w:r w:rsidRPr="0098660A">
              <w:rPr>
                <w:rFonts w:ascii="Arial Narrow" w:hAnsi="Arial Narrow" w:cs="Segoe UI"/>
                <w:b/>
                <w:bCs/>
                <w:color w:val="333333"/>
                <w:sz w:val="20"/>
                <w:szCs w:val="20"/>
                <w:lang w:eastAsia="en-US"/>
              </w:rPr>
              <w:t>Clinical criteria:</w:t>
            </w:r>
            <w:r w:rsidRPr="0098660A">
              <w:rPr>
                <w:rFonts w:ascii="Arial Narrow" w:hAnsi="Arial Narrow" w:cs="Segoe UI"/>
                <w:color w:val="333333"/>
                <w:sz w:val="20"/>
                <w:szCs w:val="20"/>
                <w:lang w:eastAsia="en-US"/>
              </w:rPr>
              <w:t> </w:t>
            </w:r>
          </w:p>
        </w:tc>
      </w:tr>
      <w:tr w:rsidR="00D02E20" w:rsidRPr="0098660A" w14:paraId="19FA3F2D" w14:textId="77777777" w:rsidTr="00027082">
        <w:tblPrEx>
          <w:tblCellMar>
            <w:top w:w="15" w:type="dxa"/>
            <w:bottom w:w="15" w:type="dxa"/>
          </w:tblCellMar>
          <w:tblLook w:val="04A0" w:firstRow="1" w:lastRow="0" w:firstColumn="1" w:lastColumn="0" w:noHBand="0" w:noVBand="1"/>
        </w:tblPrEx>
        <w:trPr>
          <w:cantSplit/>
          <w:trHeight w:val="20"/>
        </w:trPr>
        <w:tc>
          <w:tcPr>
            <w:tcW w:w="9113" w:type="dxa"/>
            <w:gridSpan w:val="8"/>
            <w:vAlign w:val="center"/>
          </w:tcPr>
          <w:p w14:paraId="6E9D0CA0" w14:textId="77777777" w:rsidR="00D02E20" w:rsidRPr="0098660A" w:rsidRDefault="00D02E20" w:rsidP="000E2127">
            <w:pPr>
              <w:rPr>
                <w:rFonts w:ascii="Arial Narrow" w:hAnsi="Arial Narrow"/>
                <w:b/>
                <w:bCs/>
                <w:sz w:val="20"/>
                <w:szCs w:val="20"/>
              </w:rPr>
            </w:pPr>
            <w:r w:rsidRPr="0098660A">
              <w:rPr>
                <w:rFonts w:ascii="Arial Narrow" w:hAnsi="Arial Narrow" w:cs="Segoe UI"/>
                <w:color w:val="333333"/>
                <w:sz w:val="20"/>
                <w:szCs w:val="20"/>
                <w:lang w:eastAsia="en-US"/>
              </w:rPr>
              <w:t>The treatment must be in combination with one PBS-subsidised C5 inhibitor for a period of 4 weeks during initiation of therapy</w:t>
            </w:r>
          </w:p>
        </w:tc>
      </w:tr>
      <w:tr w:rsidR="00D02E20" w:rsidRPr="0098660A" w:rsidDel="004B27A1" w14:paraId="642E905E" w14:textId="77777777" w:rsidTr="00027082">
        <w:tblPrEx>
          <w:tblCellMar>
            <w:top w:w="15" w:type="dxa"/>
            <w:bottom w:w="15" w:type="dxa"/>
          </w:tblCellMar>
          <w:tblLook w:val="04A0" w:firstRow="1" w:lastRow="0" w:firstColumn="1" w:lastColumn="0" w:noHBand="0" w:noVBand="1"/>
        </w:tblPrEx>
        <w:trPr>
          <w:cantSplit/>
          <w:trHeight w:val="20"/>
        </w:trPr>
        <w:tc>
          <w:tcPr>
            <w:tcW w:w="9113" w:type="dxa"/>
            <w:gridSpan w:val="8"/>
            <w:vAlign w:val="center"/>
          </w:tcPr>
          <w:p w14:paraId="7ED2485A" w14:textId="77777777" w:rsidR="00D02E20" w:rsidRPr="0098660A" w:rsidDel="004B27A1" w:rsidRDefault="00D02E20" w:rsidP="000E2127">
            <w:pPr>
              <w:rPr>
                <w:rFonts w:ascii="Arial Narrow" w:hAnsi="Arial Narrow" w:cs="Segoe UI"/>
                <w:b/>
                <w:bCs/>
                <w:color w:val="333333"/>
                <w:sz w:val="20"/>
                <w:szCs w:val="20"/>
                <w:lang w:eastAsia="en-US"/>
              </w:rPr>
            </w:pPr>
            <w:r w:rsidRPr="0098660A">
              <w:rPr>
                <w:rFonts w:ascii="Arial Narrow" w:hAnsi="Arial Narrow" w:cs="Segoe UI"/>
                <w:b/>
                <w:bCs/>
                <w:color w:val="333333"/>
                <w:sz w:val="20"/>
                <w:szCs w:val="20"/>
                <w:lang w:eastAsia="en-US"/>
              </w:rPr>
              <w:t>AND</w:t>
            </w:r>
          </w:p>
        </w:tc>
      </w:tr>
      <w:tr w:rsidR="00D02E20" w:rsidRPr="0098660A" w:rsidDel="004B27A1" w14:paraId="5414B66D" w14:textId="77777777" w:rsidTr="00027082">
        <w:tblPrEx>
          <w:tblCellMar>
            <w:top w:w="15" w:type="dxa"/>
            <w:bottom w:w="15" w:type="dxa"/>
          </w:tblCellMar>
          <w:tblLook w:val="04A0" w:firstRow="1" w:lastRow="0" w:firstColumn="1" w:lastColumn="0" w:noHBand="0" w:noVBand="1"/>
        </w:tblPrEx>
        <w:trPr>
          <w:cantSplit/>
          <w:trHeight w:val="20"/>
        </w:trPr>
        <w:tc>
          <w:tcPr>
            <w:tcW w:w="9113" w:type="dxa"/>
            <w:gridSpan w:val="8"/>
            <w:vAlign w:val="center"/>
          </w:tcPr>
          <w:p w14:paraId="6C715D49" w14:textId="77777777" w:rsidR="00D02E20" w:rsidRPr="0098660A" w:rsidDel="004B27A1" w:rsidRDefault="00D02E20" w:rsidP="000E2127">
            <w:pPr>
              <w:rPr>
                <w:rFonts w:ascii="Arial Narrow" w:hAnsi="Arial Narrow" w:cs="Segoe UI"/>
                <w:color w:val="333333"/>
                <w:sz w:val="20"/>
                <w:szCs w:val="20"/>
                <w:lang w:eastAsia="en-US"/>
              </w:rPr>
            </w:pPr>
            <w:r w:rsidRPr="0098660A">
              <w:rPr>
                <w:rFonts w:ascii="Arial Narrow" w:hAnsi="Arial Narrow" w:cs="Times New Roman"/>
                <w:b/>
                <w:bCs/>
                <w:sz w:val="20"/>
                <w:szCs w:val="20"/>
              </w:rPr>
              <w:t>Clinical criteria:</w:t>
            </w:r>
          </w:p>
        </w:tc>
      </w:tr>
      <w:tr w:rsidR="00D02E20" w:rsidRPr="0098660A" w:rsidDel="004B27A1" w14:paraId="4851052F" w14:textId="77777777" w:rsidTr="00027082">
        <w:tblPrEx>
          <w:tblCellMar>
            <w:top w:w="15" w:type="dxa"/>
            <w:bottom w:w="15" w:type="dxa"/>
          </w:tblCellMar>
          <w:tblLook w:val="04A0" w:firstRow="1" w:lastRow="0" w:firstColumn="1" w:lastColumn="0" w:noHBand="0" w:noVBand="1"/>
        </w:tblPrEx>
        <w:trPr>
          <w:cantSplit/>
          <w:trHeight w:val="20"/>
        </w:trPr>
        <w:tc>
          <w:tcPr>
            <w:tcW w:w="9113" w:type="dxa"/>
            <w:gridSpan w:val="8"/>
            <w:vAlign w:val="center"/>
          </w:tcPr>
          <w:p w14:paraId="6127A0CF" w14:textId="77777777" w:rsidR="00D02E20" w:rsidRPr="0098660A" w:rsidDel="004B27A1" w:rsidRDefault="00D02E20" w:rsidP="000E2127">
            <w:pPr>
              <w:rPr>
                <w:rFonts w:ascii="Arial Narrow" w:hAnsi="Arial Narrow" w:cs="Segoe UI"/>
                <w:color w:val="333333"/>
                <w:sz w:val="20"/>
                <w:szCs w:val="20"/>
                <w:lang w:eastAsia="en-US"/>
              </w:rPr>
            </w:pPr>
            <w:r w:rsidRPr="0098660A">
              <w:rPr>
                <w:rFonts w:ascii="Arial Narrow" w:hAnsi="Arial Narrow"/>
                <w:sz w:val="20"/>
                <w:szCs w:val="20"/>
              </w:rPr>
              <w:t>The treatment must be the sole PBS-subsidised therapy for this condition.</w:t>
            </w:r>
          </w:p>
        </w:tc>
      </w:tr>
      <w:tr w:rsidR="00D02E20" w:rsidRPr="0098660A" w14:paraId="42B1B76C" w14:textId="77777777" w:rsidTr="00027082">
        <w:tblPrEx>
          <w:tblCellMar>
            <w:top w:w="15" w:type="dxa"/>
            <w:bottom w:w="15" w:type="dxa"/>
          </w:tblCellMar>
          <w:tblLook w:val="04A0" w:firstRow="1" w:lastRow="0" w:firstColumn="1" w:lastColumn="0" w:noHBand="0" w:noVBand="1"/>
        </w:tblPrEx>
        <w:trPr>
          <w:cantSplit/>
          <w:trHeight w:val="20"/>
        </w:trPr>
        <w:tc>
          <w:tcPr>
            <w:tcW w:w="9113" w:type="dxa"/>
            <w:gridSpan w:val="8"/>
            <w:vAlign w:val="center"/>
          </w:tcPr>
          <w:p w14:paraId="36BB18C3" w14:textId="77777777" w:rsidR="00D02E20" w:rsidRPr="0098660A" w:rsidRDefault="00D02E20" w:rsidP="000E2127">
            <w:pPr>
              <w:rPr>
                <w:rFonts w:ascii="Arial Narrow" w:hAnsi="Arial Narrow"/>
                <w:b/>
                <w:bCs/>
                <w:sz w:val="20"/>
                <w:szCs w:val="20"/>
              </w:rPr>
            </w:pPr>
            <w:r w:rsidRPr="0098660A">
              <w:rPr>
                <w:rFonts w:ascii="Arial Narrow" w:hAnsi="Arial Narrow" w:cs="Segoe UI"/>
                <w:b/>
                <w:bCs/>
                <w:sz w:val="20"/>
                <w:szCs w:val="20"/>
              </w:rPr>
              <w:t>Treatment criteria:</w:t>
            </w:r>
          </w:p>
        </w:tc>
      </w:tr>
      <w:tr w:rsidR="00D02E20" w:rsidRPr="0098660A" w14:paraId="6FCB9CE3" w14:textId="77777777" w:rsidTr="00027082">
        <w:tblPrEx>
          <w:tblCellMar>
            <w:top w:w="15" w:type="dxa"/>
            <w:bottom w:w="15" w:type="dxa"/>
          </w:tblCellMar>
          <w:tblLook w:val="04A0" w:firstRow="1" w:lastRow="0" w:firstColumn="1" w:lastColumn="0" w:noHBand="0" w:noVBand="1"/>
        </w:tblPrEx>
        <w:trPr>
          <w:cantSplit/>
          <w:trHeight w:val="20"/>
        </w:trPr>
        <w:tc>
          <w:tcPr>
            <w:tcW w:w="9113" w:type="dxa"/>
            <w:gridSpan w:val="8"/>
            <w:vAlign w:val="center"/>
          </w:tcPr>
          <w:p w14:paraId="5F30D797" w14:textId="77777777" w:rsidR="00D02E20" w:rsidRPr="0098660A" w:rsidRDefault="00D02E20" w:rsidP="000E2127">
            <w:pPr>
              <w:rPr>
                <w:rFonts w:ascii="Arial Narrow" w:hAnsi="Arial Narrow"/>
                <w:b/>
                <w:bCs/>
                <w:sz w:val="20"/>
                <w:szCs w:val="20"/>
              </w:rPr>
            </w:pPr>
            <w:r w:rsidRPr="0098660A">
              <w:rPr>
                <w:rFonts w:ascii="Arial Narrow" w:hAnsi="Arial Narrow" w:cs="Arial Narrow"/>
                <w:sz w:val="20"/>
                <w:szCs w:val="20"/>
              </w:rPr>
              <w:t>Must be treated by a haematologist; or</w:t>
            </w:r>
          </w:p>
        </w:tc>
      </w:tr>
      <w:tr w:rsidR="00D02E20" w:rsidRPr="0098660A" w14:paraId="08740B5D" w14:textId="77777777" w:rsidTr="00027082">
        <w:tblPrEx>
          <w:tblCellMar>
            <w:top w:w="15" w:type="dxa"/>
            <w:bottom w:w="15" w:type="dxa"/>
          </w:tblCellMar>
          <w:tblLook w:val="04A0" w:firstRow="1" w:lastRow="0" w:firstColumn="1" w:lastColumn="0" w:noHBand="0" w:noVBand="1"/>
        </w:tblPrEx>
        <w:trPr>
          <w:cantSplit/>
          <w:trHeight w:val="20"/>
        </w:trPr>
        <w:tc>
          <w:tcPr>
            <w:tcW w:w="9113" w:type="dxa"/>
            <w:gridSpan w:val="8"/>
            <w:vAlign w:val="center"/>
          </w:tcPr>
          <w:p w14:paraId="6E673548" w14:textId="77777777" w:rsidR="00D02E20" w:rsidRPr="0098660A" w:rsidRDefault="00D02E20" w:rsidP="000E2127">
            <w:pPr>
              <w:rPr>
                <w:rFonts w:ascii="Arial Narrow" w:hAnsi="Arial Narrow"/>
                <w:b/>
                <w:bCs/>
                <w:sz w:val="20"/>
                <w:szCs w:val="20"/>
              </w:rPr>
            </w:pPr>
            <w:r w:rsidRPr="0098660A">
              <w:rPr>
                <w:rFonts w:ascii="Arial Narrow" w:hAnsi="Arial Narrow" w:cs="Arial Narrow"/>
                <w:sz w:val="20"/>
                <w:szCs w:val="20"/>
              </w:rPr>
              <w:t>Must be treated by a non-specialist medical physician who has consulted a haematologist on the patient's drug treatment details.</w:t>
            </w:r>
          </w:p>
        </w:tc>
      </w:tr>
      <w:tr w:rsidR="00D02E20" w:rsidRPr="0098660A" w14:paraId="4417D099" w14:textId="77777777" w:rsidTr="00027082">
        <w:tblPrEx>
          <w:tblCellMar>
            <w:top w:w="15" w:type="dxa"/>
            <w:bottom w:w="15" w:type="dxa"/>
          </w:tblCellMar>
          <w:tblLook w:val="04A0" w:firstRow="1" w:lastRow="0" w:firstColumn="1" w:lastColumn="0" w:noHBand="0" w:noVBand="1"/>
        </w:tblPrEx>
        <w:trPr>
          <w:cantSplit/>
          <w:trHeight w:val="20"/>
        </w:trPr>
        <w:tc>
          <w:tcPr>
            <w:tcW w:w="9113" w:type="dxa"/>
            <w:gridSpan w:val="8"/>
            <w:vAlign w:val="center"/>
          </w:tcPr>
          <w:p w14:paraId="446BBE4A" w14:textId="77777777" w:rsidR="00D02E20" w:rsidRPr="0098660A" w:rsidRDefault="00D02E20" w:rsidP="000E2127">
            <w:pPr>
              <w:rPr>
                <w:rFonts w:ascii="Arial Narrow" w:hAnsi="Arial Narrow" w:cs="Times New Roman"/>
                <w:b/>
                <w:bCs/>
                <w:sz w:val="20"/>
                <w:szCs w:val="20"/>
              </w:rPr>
            </w:pPr>
            <w:r w:rsidRPr="0098660A">
              <w:rPr>
                <w:rFonts w:ascii="Arial Narrow" w:hAnsi="Arial Narrow" w:cs="Times New Roman"/>
                <w:b/>
                <w:bCs/>
                <w:sz w:val="20"/>
                <w:szCs w:val="20"/>
              </w:rPr>
              <w:t>Prescribing Instructions:</w:t>
            </w:r>
          </w:p>
          <w:p w14:paraId="746FE915" w14:textId="77777777" w:rsidR="00D02E20" w:rsidRPr="0098660A" w:rsidRDefault="00D02E20" w:rsidP="000E2127">
            <w:pPr>
              <w:rPr>
                <w:rFonts w:ascii="Arial Narrow" w:hAnsi="Arial Narrow" w:cs="Times New Roman"/>
                <w:sz w:val="20"/>
                <w:szCs w:val="20"/>
              </w:rPr>
            </w:pPr>
            <w:r w:rsidRPr="0098660A">
              <w:rPr>
                <w:rFonts w:ascii="Arial Narrow" w:hAnsi="Arial Narrow" w:cs="Times New Roman"/>
                <w:sz w:val="20"/>
                <w:szCs w:val="20"/>
              </w:rPr>
              <w:t>At the time of the authority application, details (result and date of result) of the following monitoring requirements must be provided:</w:t>
            </w:r>
          </w:p>
          <w:p w14:paraId="044DC06C" w14:textId="77777777" w:rsidR="00D02E20" w:rsidRPr="0098660A" w:rsidRDefault="00D02E20" w:rsidP="000E2127">
            <w:pPr>
              <w:rPr>
                <w:rFonts w:ascii="Arial Narrow" w:hAnsi="Arial Narrow" w:cs="Times New Roman"/>
                <w:sz w:val="20"/>
                <w:szCs w:val="20"/>
              </w:rPr>
            </w:pPr>
            <w:r w:rsidRPr="0098660A">
              <w:rPr>
                <w:rFonts w:ascii="Arial Narrow" w:hAnsi="Arial Narrow" w:cs="Times New Roman"/>
                <w:sz w:val="20"/>
                <w:szCs w:val="20"/>
              </w:rPr>
              <w:t>(i) Haemoglobin (g/L)</w:t>
            </w:r>
          </w:p>
          <w:p w14:paraId="35DB9107" w14:textId="77777777" w:rsidR="00D02E20" w:rsidRPr="0098660A" w:rsidRDefault="00D02E20" w:rsidP="000E2127">
            <w:pPr>
              <w:rPr>
                <w:rFonts w:ascii="Arial Narrow" w:hAnsi="Arial Narrow" w:cs="Times New Roman"/>
                <w:sz w:val="20"/>
                <w:szCs w:val="20"/>
              </w:rPr>
            </w:pPr>
            <w:r w:rsidRPr="0098660A">
              <w:rPr>
                <w:rFonts w:ascii="Arial Narrow" w:hAnsi="Arial Narrow" w:cs="Times New Roman"/>
                <w:sz w:val="20"/>
                <w:szCs w:val="20"/>
              </w:rPr>
              <w:t>(ii) Platelets (x10</w:t>
            </w:r>
            <w:r w:rsidRPr="0098660A">
              <w:rPr>
                <w:rFonts w:ascii="Arial Narrow" w:hAnsi="Arial Narrow" w:cs="Times New Roman"/>
                <w:sz w:val="20"/>
                <w:szCs w:val="20"/>
                <w:vertAlign w:val="superscript"/>
              </w:rPr>
              <w:t>9</w:t>
            </w:r>
            <w:r w:rsidRPr="0098660A">
              <w:rPr>
                <w:rFonts w:ascii="Arial Narrow" w:hAnsi="Arial Narrow" w:cs="Times New Roman"/>
                <w:sz w:val="20"/>
                <w:szCs w:val="20"/>
              </w:rPr>
              <w:t>/L)</w:t>
            </w:r>
          </w:p>
          <w:p w14:paraId="4357904F" w14:textId="77777777" w:rsidR="00D02E20" w:rsidRPr="0098660A" w:rsidRDefault="00D02E20" w:rsidP="000E2127">
            <w:pPr>
              <w:rPr>
                <w:rFonts w:ascii="Arial Narrow" w:hAnsi="Arial Narrow" w:cs="Times New Roman"/>
                <w:sz w:val="20"/>
                <w:szCs w:val="20"/>
              </w:rPr>
            </w:pPr>
            <w:r w:rsidRPr="0098660A">
              <w:rPr>
                <w:rFonts w:ascii="Arial Narrow" w:hAnsi="Arial Narrow" w:cs="Times New Roman"/>
                <w:sz w:val="20"/>
                <w:szCs w:val="20"/>
              </w:rPr>
              <w:t>(iii) White Cell Count (x10</w:t>
            </w:r>
            <w:r w:rsidRPr="0098660A">
              <w:rPr>
                <w:rFonts w:ascii="Arial Narrow" w:hAnsi="Arial Narrow" w:cs="Times New Roman"/>
                <w:sz w:val="20"/>
                <w:szCs w:val="20"/>
                <w:vertAlign w:val="superscript"/>
              </w:rPr>
              <w:t>9</w:t>
            </w:r>
            <w:r w:rsidRPr="0098660A">
              <w:rPr>
                <w:rFonts w:ascii="Arial Narrow" w:hAnsi="Arial Narrow" w:cs="Times New Roman"/>
                <w:sz w:val="20"/>
                <w:szCs w:val="20"/>
              </w:rPr>
              <w:t>/L)</w:t>
            </w:r>
          </w:p>
          <w:p w14:paraId="11480D94" w14:textId="77777777" w:rsidR="00D02E20" w:rsidRPr="0098660A" w:rsidRDefault="00D02E20" w:rsidP="000E2127">
            <w:pPr>
              <w:rPr>
                <w:rFonts w:ascii="Arial Narrow" w:hAnsi="Arial Narrow" w:cs="Times New Roman"/>
                <w:sz w:val="20"/>
                <w:szCs w:val="20"/>
              </w:rPr>
            </w:pPr>
            <w:r w:rsidRPr="0098660A">
              <w:rPr>
                <w:rFonts w:ascii="Arial Narrow" w:hAnsi="Arial Narrow" w:cs="Times New Roman"/>
                <w:sz w:val="20"/>
                <w:szCs w:val="20"/>
              </w:rPr>
              <w:t>(iv) Reticulocytes (x10</w:t>
            </w:r>
            <w:r w:rsidRPr="0098660A">
              <w:rPr>
                <w:rFonts w:ascii="Arial Narrow" w:hAnsi="Arial Narrow" w:cs="Times New Roman"/>
                <w:sz w:val="20"/>
                <w:szCs w:val="20"/>
                <w:vertAlign w:val="superscript"/>
              </w:rPr>
              <w:t>9</w:t>
            </w:r>
            <w:r w:rsidRPr="0098660A">
              <w:rPr>
                <w:rFonts w:ascii="Arial Narrow" w:hAnsi="Arial Narrow" w:cs="Times New Roman"/>
                <w:sz w:val="20"/>
                <w:szCs w:val="20"/>
              </w:rPr>
              <w:t>/L)</w:t>
            </w:r>
          </w:p>
          <w:p w14:paraId="143DA94E" w14:textId="77777777" w:rsidR="00D02E20" w:rsidRPr="0098660A" w:rsidRDefault="00D02E20" w:rsidP="000E2127">
            <w:pPr>
              <w:rPr>
                <w:rFonts w:ascii="Arial Narrow" w:hAnsi="Arial Narrow" w:cs="Times New Roman"/>
                <w:sz w:val="20"/>
                <w:szCs w:val="20"/>
              </w:rPr>
            </w:pPr>
            <w:r w:rsidRPr="0098660A">
              <w:rPr>
                <w:rFonts w:ascii="Arial Narrow" w:hAnsi="Arial Narrow" w:cs="Times New Roman"/>
                <w:sz w:val="20"/>
                <w:szCs w:val="20"/>
              </w:rPr>
              <w:t>(v) Neutrophils (x10</w:t>
            </w:r>
            <w:r w:rsidRPr="0098660A">
              <w:rPr>
                <w:rFonts w:ascii="Arial Narrow" w:hAnsi="Arial Narrow" w:cs="Times New Roman"/>
                <w:sz w:val="20"/>
                <w:szCs w:val="20"/>
                <w:vertAlign w:val="superscript"/>
              </w:rPr>
              <w:t>9</w:t>
            </w:r>
            <w:r w:rsidRPr="0098660A">
              <w:rPr>
                <w:rFonts w:ascii="Arial Narrow" w:hAnsi="Arial Narrow" w:cs="Times New Roman"/>
                <w:sz w:val="20"/>
                <w:szCs w:val="20"/>
              </w:rPr>
              <w:t>/L)</w:t>
            </w:r>
          </w:p>
          <w:p w14:paraId="1C94D434" w14:textId="77777777" w:rsidR="00D02E20" w:rsidRPr="0098660A" w:rsidRDefault="00D02E20" w:rsidP="000E2127">
            <w:pPr>
              <w:rPr>
                <w:rFonts w:ascii="Arial Narrow" w:hAnsi="Arial Narrow" w:cs="Times New Roman"/>
                <w:sz w:val="20"/>
                <w:szCs w:val="20"/>
              </w:rPr>
            </w:pPr>
            <w:r w:rsidRPr="0098660A">
              <w:rPr>
                <w:rFonts w:ascii="Arial Narrow" w:hAnsi="Arial Narrow" w:cs="Times New Roman"/>
                <w:sz w:val="20"/>
                <w:szCs w:val="20"/>
              </w:rPr>
              <w:t>(vi) Granulocyte clone size (%)</w:t>
            </w:r>
          </w:p>
          <w:p w14:paraId="149D9194" w14:textId="77777777" w:rsidR="00D02E20" w:rsidRPr="0098660A" w:rsidRDefault="00D02E20" w:rsidP="000E2127">
            <w:pPr>
              <w:rPr>
                <w:rFonts w:ascii="Arial Narrow" w:hAnsi="Arial Narrow" w:cs="Times New Roman"/>
                <w:sz w:val="20"/>
                <w:szCs w:val="20"/>
              </w:rPr>
            </w:pPr>
            <w:r w:rsidRPr="0098660A">
              <w:rPr>
                <w:rFonts w:ascii="Arial Narrow" w:hAnsi="Arial Narrow" w:cs="Times New Roman"/>
                <w:sz w:val="20"/>
                <w:szCs w:val="20"/>
              </w:rPr>
              <w:t>(vii) Lactate Dehydrogenase (LDH)</w:t>
            </w:r>
          </w:p>
          <w:p w14:paraId="7BE6A790" w14:textId="77777777" w:rsidR="00D02E20" w:rsidRPr="0098660A" w:rsidRDefault="00D02E20" w:rsidP="000E2127">
            <w:pPr>
              <w:rPr>
                <w:rFonts w:ascii="Arial Narrow" w:hAnsi="Arial Narrow" w:cs="Times New Roman"/>
                <w:sz w:val="20"/>
                <w:szCs w:val="20"/>
              </w:rPr>
            </w:pPr>
            <w:r w:rsidRPr="0098660A">
              <w:rPr>
                <w:rFonts w:ascii="Arial Narrow" w:hAnsi="Arial Narrow" w:cs="Times New Roman"/>
                <w:sz w:val="20"/>
                <w:szCs w:val="20"/>
              </w:rPr>
              <w:t>(viii) the upper limit of normal (ULN) for LDH as quoted by the reporting laboratory</w:t>
            </w:r>
          </w:p>
          <w:p w14:paraId="5AB7467B" w14:textId="77777777" w:rsidR="00D02E20" w:rsidRPr="0098660A" w:rsidRDefault="00D02E20" w:rsidP="000E2127">
            <w:pPr>
              <w:rPr>
                <w:rFonts w:ascii="Arial Narrow" w:hAnsi="Arial Narrow"/>
                <w:b/>
                <w:bCs/>
                <w:sz w:val="20"/>
                <w:szCs w:val="20"/>
              </w:rPr>
            </w:pPr>
            <w:r w:rsidRPr="0098660A">
              <w:rPr>
                <w:rFonts w:ascii="Arial Narrow" w:hAnsi="Arial Narrow" w:cs="Times New Roman"/>
                <w:sz w:val="20"/>
                <w:szCs w:val="20"/>
              </w:rPr>
              <w:t>(ix) the LDH:ULN ratio (in figures, rounded to one decimal place)</w:t>
            </w:r>
          </w:p>
        </w:tc>
      </w:tr>
      <w:tr w:rsidR="00D02E20" w:rsidRPr="0098660A" w14:paraId="41F58E12" w14:textId="77777777" w:rsidTr="00027082">
        <w:tblPrEx>
          <w:tblCellMar>
            <w:top w:w="15" w:type="dxa"/>
            <w:bottom w:w="15" w:type="dxa"/>
          </w:tblCellMar>
          <w:tblLook w:val="04A0" w:firstRow="1" w:lastRow="0" w:firstColumn="1" w:lastColumn="0" w:noHBand="0" w:noVBand="1"/>
        </w:tblPrEx>
        <w:trPr>
          <w:cantSplit/>
          <w:trHeight w:val="20"/>
        </w:trPr>
        <w:tc>
          <w:tcPr>
            <w:tcW w:w="9113" w:type="dxa"/>
            <w:gridSpan w:val="8"/>
            <w:vAlign w:val="center"/>
          </w:tcPr>
          <w:p w14:paraId="1AE194A4" w14:textId="77777777" w:rsidR="00D02E20" w:rsidRPr="0098660A" w:rsidRDefault="00D02E20" w:rsidP="51A4B722">
            <w:pPr>
              <w:rPr>
                <w:rFonts w:ascii="Arial Narrow" w:hAnsi="Arial Narrow" w:cs="Times New Roman"/>
                <w:sz w:val="20"/>
                <w:szCs w:val="20"/>
              </w:rPr>
            </w:pPr>
            <w:r w:rsidRPr="0098660A">
              <w:rPr>
                <w:rFonts w:ascii="Arial Narrow" w:hAnsi="Arial Narrow" w:cs="Times New Roman"/>
                <w:b/>
                <w:bCs/>
                <w:sz w:val="20"/>
                <w:szCs w:val="20"/>
              </w:rPr>
              <w:t xml:space="preserve">Prescribing Instructions: </w:t>
            </w:r>
          </w:p>
          <w:p w14:paraId="09075C43" w14:textId="45EB28D8" w:rsidR="00D02E20" w:rsidRPr="0098660A" w:rsidRDefault="00D02E20" w:rsidP="51A4B722">
            <w:pPr>
              <w:rPr>
                <w:rFonts w:ascii="Arial Narrow" w:hAnsi="Arial Narrow" w:cs="Times New Roman"/>
                <w:sz w:val="20"/>
                <w:szCs w:val="20"/>
              </w:rPr>
            </w:pPr>
            <w:r w:rsidRPr="0098660A">
              <w:rPr>
                <w:rFonts w:ascii="Arial Narrow" w:hAnsi="Arial Narrow" w:cs="Times New Roman"/>
                <w:sz w:val="20"/>
                <w:szCs w:val="20"/>
              </w:rPr>
              <w:t>If the application is submitted through HPOS form upload or mail, it must include:</w:t>
            </w:r>
          </w:p>
          <w:p w14:paraId="2AB0F437" w14:textId="6753B8C5" w:rsidR="00D02E20" w:rsidRPr="0098660A" w:rsidRDefault="00D02E20" w:rsidP="51A4B722">
            <w:pPr>
              <w:rPr>
                <w:rFonts w:ascii="Arial Narrow" w:hAnsi="Arial Narrow" w:cs="Times New Roman"/>
                <w:sz w:val="20"/>
                <w:szCs w:val="20"/>
              </w:rPr>
            </w:pPr>
            <w:r w:rsidRPr="0098660A">
              <w:rPr>
                <w:rFonts w:ascii="Arial Narrow" w:hAnsi="Arial Narrow" w:cs="Times New Roman"/>
                <w:sz w:val="20"/>
                <w:szCs w:val="20"/>
              </w:rPr>
              <w:t>(i) details of the proposed prescription; and</w:t>
            </w:r>
          </w:p>
          <w:p w14:paraId="792DA50F" w14:textId="7539EDE2" w:rsidR="00D02E20" w:rsidRPr="0098660A" w:rsidRDefault="00D02E20" w:rsidP="51A4B722">
            <w:pPr>
              <w:rPr>
                <w:rFonts w:ascii="Arial Narrow" w:hAnsi="Arial Narrow" w:cs="Times New Roman"/>
                <w:sz w:val="20"/>
                <w:szCs w:val="20"/>
              </w:rPr>
            </w:pPr>
            <w:r w:rsidRPr="0098660A">
              <w:rPr>
                <w:rFonts w:ascii="Arial Narrow" w:hAnsi="Arial Narrow" w:cs="Times New Roman"/>
                <w:sz w:val="20"/>
                <w:szCs w:val="20"/>
              </w:rPr>
              <w:t>(ii) a completed authority application form relevant to the indication and treatment phase (the latest version is located on the website specified in the Administrative Advice).</w:t>
            </w:r>
          </w:p>
        </w:tc>
      </w:tr>
      <w:tr w:rsidR="00D02E20" w:rsidRPr="0098660A" w14:paraId="6F268808" w14:textId="77777777" w:rsidTr="00027082">
        <w:tblPrEx>
          <w:tblCellMar>
            <w:top w:w="15" w:type="dxa"/>
            <w:bottom w:w="15" w:type="dxa"/>
          </w:tblCellMar>
          <w:tblLook w:val="04A0" w:firstRow="1" w:lastRow="0" w:firstColumn="1" w:lastColumn="0" w:noHBand="0" w:noVBand="1"/>
        </w:tblPrEx>
        <w:trPr>
          <w:cantSplit/>
          <w:trHeight w:val="20"/>
        </w:trPr>
        <w:tc>
          <w:tcPr>
            <w:tcW w:w="9113" w:type="dxa"/>
            <w:gridSpan w:val="8"/>
            <w:vAlign w:val="center"/>
          </w:tcPr>
          <w:p w14:paraId="129D9437" w14:textId="77777777" w:rsidR="00D02E20" w:rsidRPr="0098660A" w:rsidRDefault="00D02E20" w:rsidP="000E2127">
            <w:pPr>
              <w:rPr>
                <w:rFonts w:ascii="Arial Narrow" w:hAnsi="Arial Narrow" w:cs="Times New Roman"/>
                <w:sz w:val="20"/>
                <w:szCs w:val="20"/>
              </w:rPr>
            </w:pPr>
            <w:r w:rsidRPr="0098660A">
              <w:rPr>
                <w:rFonts w:ascii="Arial Narrow" w:hAnsi="Arial Narrow" w:cs="Times New Roman"/>
                <w:b/>
                <w:bCs/>
                <w:sz w:val="20"/>
                <w:szCs w:val="20"/>
              </w:rPr>
              <w:t xml:space="preserve">Prescribing Instructions: </w:t>
            </w:r>
          </w:p>
          <w:p w14:paraId="424BC08C" w14:textId="77777777" w:rsidR="00D02E20" w:rsidRPr="0098660A" w:rsidRDefault="00D02E20" w:rsidP="000E2127">
            <w:pPr>
              <w:rPr>
                <w:rFonts w:ascii="Arial Narrow" w:hAnsi="Arial Narrow"/>
                <w:b/>
                <w:bCs/>
                <w:sz w:val="20"/>
                <w:szCs w:val="20"/>
              </w:rPr>
            </w:pPr>
            <w:r w:rsidRPr="0098660A">
              <w:rPr>
                <w:rFonts w:ascii="Arial Narrow" w:hAnsi="Arial Narrow" w:cs="Arial Narrow"/>
                <w:sz w:val="20"/>
                <w:szCs w:val="20"/>
              </w:rPr>
              <w:t>At the time of the authority application, medical practitioners must request the appropriate number of vials for 4 weeks supply per dispensing as per the Product Information. A maximum of 5 repeats may be requested.</w:t>
            </w:r>
          </w:p>
        </w:tc>
      </w:tr>
      <w:tr w:rsidR="00D02E20" w:rsidRPr="0098660A" w14:paraId="2A9FF65E" w14:textId="77777777" w:rsidTr="00027082">
        <w:tblPrEx>
          <w:tblCellMar>
            <w:top w:w="15" w:type="dxa"/>
            <w:bottom w:w="15" w:type="dxa"/>
          </w:tblCellMar>
          <w:tblLook w:val="04A0" w:firstRow="1" w:lastRow="0" w:firstColumn="1" w:lastColumn="0" w:noHBand="0" w:noVBand="1"/>
        </w:tblPrEx>
        <w:trPr>
          <w:cantSplit/>
          <w:trHeight w:val="20"/>
        </w:trPr>
        <w:tc>
          <w:tcPr>
            <w:tcW w:w="9113" w:type="dxa"/>
            <w:gridSpan w:val="8"/>
            <w:vAlign w:val="center"/>
          </w:tcPr>
          <w:p w14:paraId="3AF88CF8" w14:textId="77777777" w:rsidR="00D02E20" w:rsidRPr="0098660A" w:rsidRDefault="00D02E20" w:rsidP="000E2127">
            <w:pPr>
              <w:rPr>
                <w:rFonts w:ascii="Arial Narrow" w:hAnsi="Arial Narrow" w:cs="Times New Roman"/>
                <w:sz w:val="20"/>
                <w:szCs w:val="20"/>
              </w:rPr>
            </w:pPr>
            <w:r w:rsidRPr="0098660A">
              <w:rPr>
                <w:rFonts w:ascii="Arial Narrow" w:hAnsi="Arial Narrow" w:cs="Times New Roman"/>
                <w:b/>
                <w:bCs/>
                <w:sz w:val="20"/>
                <w:szCs w:val="20"/>
              </w:rPr>
              <w:lastRenderedPageBreak/>
              <w:t xml:space="preserve">Prescribing Instructions: </w:t>
            </w:r>
          </w:p>
          <w:p w14:paraId="6C44E8B2" w14:textId="77777777" w:rsidR="00D02E20" w:rsidRPr="0098660A" w:rsidRDefault="00D02E20" w:rsidP="000E2127">
            <w:pPr>
              <w:rPr>
                <w:rFonts w:ascii="Arial Narrow" w:hAnsi="Arial Narrow"/>
                <w:b/>
                <w:bCs/>
                <w:sz w:val="20"/>
                <w:szCs w:val="20"/>
              </w:rPr>
            </w:pPr>
            <w:r w:rsidRPr="0098660A">
              <w:rPr>
                <w:rFonts w:ascii="Arial Narrow" w:hAnsi="Arial Narrow"/>
                <w:sz w:val="20"/>
                <w:szCs w:val="20"/>
              </w:rPr>
              <w:t>A patient may qualify for PBS-subsidised treatment under this restriction once only. For continuing PBS-subsidised treatment, a grandfathered patient must qualify under the Subsequent continuing treatment criteria.</w:t>
            </w:r>
          </w:p>
        </w:tc>
      </w:tr>
      <w:tr w:rsidR="00D02E20" w:rsidRPr="0098660A" w14:paraId="2B0DAD86" w14:textId="77777777" w:rsidTr="00027082">
        <w:tblPrEx>
          <w:tblCellMar>
            <w:top w:w="15" w:type="dxa"/>
            <w:bottom w:w="15" w:type="dxa"/>
          </w:tblCellMar>
          <w:tblLook w:val="04A0" w:firstRow="1" w:lastRow="0" w:firstColumn="1" w:lastColumn="0" w:noHBand="0" w:noVBand="1"/>
        </w:tblPrEx>
        <w:trPr>
          <w:cantSplit/>
          <w:trHeight w:val="20"/>
        </w:trPr>
        <w:tc>
          <w:tcPr>
            <w:tcW w:w="9113" w:type="dxa"/>
            <w:gridSpan w:val="8"/>
            <w:vAlign w:val="center"/>
          </w:tcPr>
          <w:p w14:paraId="0A58DADE" w14:textId="77777777" w:rsidR="00D02E20" w:rsidRPr="0098660A" w:rsidRDefault="00D02E20" w:rsidP="000E2127">
            <w:pPr>
              <w:rPr>
                <w:rFonts w:ascii="Arial Narrow" w:eastAsia="Calibri" w:hAnsi="Arial Narrow"/>
                <w:sz w:val="20"/>
                <w:szCs w:val="20"/>
              </w:rPr>
            </w:pPr>
            <w:r w:rsidRPr="0098660A">
              <w:rPr>
                <w:rFonts w:ascii="Arial Narrow" w:hAnsi="Arial Narrow"/>
                <w:b/>
                <w:bCs/>
                <w:color w:val="333333"/>
                <w:sz w:val="20"/>
                <w:szCs w:val="20"/>
              </w:rPr>
              <w:t>Prescribing Instructions:</w:t>
            </w:r>
          </w:p>
          <w:p w14:paraId="0DD121E3" w14:textId="77777777" w:rsidR="00D02E20" w:rsidRPr="0098660A" w:rsidRDefault="00D02E20" w:rsidP="000E2127">
            <w:pPr>
              <w:rPr>
                <w:rFonts w:ascii="Arial Narrow" w:hAnsi="Arial Narrow"/>
                <w:b/>
                <w:bCs/>
                <w:sz w:val="20"/>
                <w:szCs w:val="20"/>
              </w:rPr>
            </w:pPr>
            <w:r w:rsidRPr="0098660A">
              <w:rPr>
                <w:rFonts w:ascii="Arial Narrow" w:eastAsia="Calibri" w:hAnsi="Arial Narrow"/>
                <w:sz w:val="20"/>
                <w:szCs w:val="20"/>
              </w:rPr>
              <w:t>This grandfather restriction will cease to operate from 12 months after the date specified in the clinical criteria.</w:t>
            </w:r>
          </w:p>
        </w:tc>
      </w:tr>
    </w:tbl>
    <w:p w14:paraId="5F615004" w14:textId="288D63F7" w:rsidR="007718A0" w:rsidRPr="0098660A" w:rsidRDefault="007718A0" w:rsidP="004908CF">
      <w:pPr>
        <w:pStyle w:val="3-BodyText"/>
      </w:pPr>
      <w:r w:rsidRPr="0098660A">
        <w:rPr>
          <w:bCs/>
          <w:snapToGrid w:val="0"/>
        </w:rPr>
        <w:t>Flow</w:t>
      </w:r>
      <w:r w:rsidRPr="0098660A">
        <w:t xml:space="preserve">- on changes to the eculizumab, ravulizumab PBS listings and iptacopan </w:t>
      </w:r>
      <w:r w:rsidR="00626647" w:rsidRPr="0098660A">
        <w:t xml:space="preserve">recommended </w:t>
      </w:r>
      <w:r w:rsidRPr="0098660A">
        <w:t>restrictions (to be PBS listed) for paroxysmal nocturnal haemoglobinuria (PNH):</w:t>
      </w:r>
    </w:p>
    <w:p w14:paraId="33479294" w14:textId="77777777" w:rsidR="007718A0" w:rsidRPr="004908CF" w:rsidRDefault="007718A0" w:rsidP="004908CF">
      <w:pPr>
        <w:pStyle w:val="ListParagraph"/>
        <w:ind w:left="1134"/>
      </w:pPr>
      <w:r w:rsidRPr="004908CF">
        <w:t xml:space="preserve">Amend the treatment phase wording and remove a clinical criterion from eculizumab (12840T, 12896R) and ravulizumab (12898W, 12841W, 12856P, 12901B) listings to allow switching from PBS subsidised pegcetacoplan and iptacopan. </w:t>
      </w:r>
    </w:p>
    <w:p w14:paraId="5BCF0B89" w14:textId="434B20A5" w:rsidR="007718A0" w:rsidRPr="0098660A" w:rsidRDefault="007718A0" w:rsidP="004908CF">
      <w:pPr>
        <w:pStyle w:val="5-SubsectionSubheading"/>
      </w:pPr>
      <w:r w:rsidRPr="0098660A">
        <w:t xml:space="preserve">Eculizumab </w:t>
      </w:r>
    </w:p>
    <w:tbl>
      <w:tblPr>
        <w:tblStyle w:val="TableGrid"/>
        <w:tblW w:w="8973" w:type="dxa"/>
        <w:tblInd w:w="-5" w:type="dxa"/>
        <w:tblLook w:val="04A0" w:firstRow="1" w:lastRow="0" w:firstColumn="1" w:lastColumn="0" w:noHBand="0" w:noVBand="1"/>
      </w:tblPr>
      <w:tblGrid>
        <w:gridCol w:w="2922"/>
        <w:gridCol w:w="1280"/>
        <w:gridCol w:w="841"/>
        <w:gridCol w:w="878"/>
        <w:gridCol w:w="797"/>
        <w:gridCol w:w="2255"/>
      </w:tblGrid>
      <w:tr w:rsidR="007718A0" w:rsidRPr="0098660A" w14:paraId="109DE949" w14:textId="77777777" w:rsidTr="00E66776">
        <w:trPr>
          <w:trHeight w:val="559"/>
        </w:trPr>
        <w:tc>
          <w:tcPr>
            <w:tcW w:w="2922" w:type="dxa"/>
          </w:tcPr>
          <w:p w14:paraId="10C64D6F" w14:textId="77777777" w:rsidR="007718A0" w:rsidRPr="0098660A" w:rsidRDefault="007718A0" w:rsidP="000E2127">
            <w:pPr>
              <w:jc w:val="center"/>
              <w:rPr>
                <w:rFonts w:ascii="Arial Narrow" w:hAnsi="Arial Narrow"/>
                <w:b/>
                <w:bCs/>
              </w:rPr>
            </w:pPr>
            <w:r w:rsidRPr="0098660A">
              <w:rPr>
                <w:rFonts w:ascii="Arial Narrow" w:hAnsi="Arial Narrow"/>
                <w:b/>
                <w:bCs/>
              </w:rPr>
              <w:t>MEDICINAL PRODUCT Medicinal Product pack</w:t>
            </w:r>
          </w:p>
        </w:tc>
        <w:tc>
          <w:tcPr>
            <w:tcW w:w="1280" w:type="dxa"/>
          </w:tcPr>
          <w:p w14:paraId="22954B35" w14:textId="77777777" w:rsidR="007718A0" w:rsidRPr="0098660A" w:rsidRDefault="007718A0" w:rsidP="000E2127">
            <w:pPr>
              <w:jc w:val="center"/>
              <w:rPr>
                <w:rFonts w:ascii="Arial Narrow" w:hAnsi="Arial Narrow"/>
                <w:b/>
                <w:bCs/>
              </w:rPr>
            </w:pPr>
            <w:r w:rsidRPr="0098660A">
              <w:rPr>
                <w:rFonts w:ascii="Arial Narrow" w:hAnsi="Arial Narrow"/>
                <w:b/>
                <w:bCs/>
              </w:rPr>
              <w:t>PBS item code</w:t>
            </w:r>
          </w:p>
        </w:tc>
        <w:tc>
          <w:tcPr>
            <w:tcW w:w="841" w:type="dxa"/>
          </w:tcPr>
          <w:p w14:paraId="5472E65A" w14:textId="77777777" w:rsidR="007718A0" w:rsidRPr="0098660A" w:rsidRDefault="007718A0" w:rsidP="000E2127">
            <w:pPr>
              <w:jc w:val="center"/>
              <w:rPr>
                <w:rFonts w:ascii="Arial Narrow" w:hAnsi="Arial Narrow"/>
                <w:b/>
                <w:bCs/>
              </w:rPr>
            </w:pPr>
            <w:r w:rsidRPr="0098660A">
              <w:rPr>
                <w:rFonts w:ascii="Arial Narrow" w:hAnsi="Arial Narrow"/>
                <w:b/>
                <w:bCs/>
              </w:rPr>
              <w:t>Max. qty packs</w:t>
            </w:r>
          </w:p>
        </w:tc>
        <w:tc>
          <w:tcPr>
            <w:tcW w:w="878" w:type="dxa"/>
          </w:tcPr>
          <w:p w14:paraId="56FBEA14" w14:textId="77777777" w:rsidR="007718A0" w:rsidRPr="0098660A" w:rsidRDefault="007718A0" w:rsidP="000E2127">
            <w:pPr>
              <w:jc w:val="center"/>
              <w:rPr>
                <w:rFonts w:ascii="Arial Narrow" w:hAnsi="Arial Narrow"/>
                <w:b/>
                <w:bCs/>
              </w:rPr>
            </w:pPr>
            <w:r w:rsidRPr="0098660A">
              <w:rPr>
                <w:rFonts w:ascii="Arial Narrow" w:hAnsi="Arial Narrow"/>
                <w:b/>
                <w:bCs/>
              </w:rPr>
              <w:t>Max. qty units</w:t>
            </w:r>
          </w:p>
        </w:tc>
        <w:tc>
          <w:tcPr>
            <w:tcW w:w="797" w:type="dxa"/>
          </w:tcPr>
          <w:p w14:paraId="194FE3E0" w14:textId="77777777" w:rsidR="007718A0" w:rsidRPr="0098660A" w:rsidRDefault="007718A0" w:rsidP="000E2127">
            <w:pPr>
              <w:jc w:val="center"/>
              <w:rPr>
                <w:rFonts w:ascii="Arial Narrow" w:hAnsi="Arial Narrow"/>
                <w:b/>
                <w:bCs/>
              </w:rPr>
            </w:pPr>
            <w:r w:rsidRPr="0098660A">
              <w:rPr>
                <w:rFonts w:ascii="Arial Narrow" w:hAnsi="Arial Narrow"/>
                <w:b/>
                <w:bCs/>
              </w:rPr>
              <w:t>№. of Rpts</w:t>
            </w:r>
          </w:p>
        </w:tc>
        <w:tc>
          <w:tcPr>
            <w:tcW w:w="2255" w:type="dxa"/>
          </w:tcPr>
          <w:p w14:paraId="28E5BD5A" w14:textId="77777777" w:rsidR="007718A0" w:rsidRPr="0098660A" w:rsidRDefault="007718A0" w:rsidP="000E2127">
            <w:pPr>
              <w:jc w:val="center"/>
              <w:rPr>
                <w:rFonts w:ascii="Arial Narrow" w:hAnsi="Arial Narrow"/>
                <w:b/>
                <w:bCs/>
              </w:rPr>
            </w:pPr>
            <w:r w:rsidRPr="0098660A">
              <w:rPr>
                <w:rFonts w:ascii="Arial Narrow" w:hAnsi="Arial Narrow"/>
                <w:b/>
                <w:bCs/>
              </w:rPr>
              <w:t>Available brands</w:t>
            </w:r>
          </w:p>
        </w:tc>
      </w:tr>
      <w:tr w:rsidR="007718A0" w:rsidRPr="0098660A" w14:paraId="6C107AE9" w14:textId="77777777" w:rsidTr="00E66776">
        <w:trPr>
          <w:trHeight w:val="232"/>
        </w:trPr>
        <w:tc>
          <w:tcPr>
            <w:tcW w:w="8973" w:type="dxa"/>
            <w:gridSpan w:val="6"/>
          </w:tcPr>
          <w:p w14:paraId="150B42DB" w14:textId="77777777" w:rsidR="007718A0" w:rsidRPr="0098660A" w:rsidRDefault="007718A0" w:rsidP="000E2127">
            <w:pPr>
              <w:rPr>
                <w:rFonts w:ascii="Arial Narrow" w:hAnsi="Arial Narrow"/>
                <w:sz w:val="20"/>
                <w:szCs w:val="20"/>
              </w:rPr>
            </w:pPr>
            <w:r w:rsidRPr="0098660A">
              <w:rPr>
                <w:rFonts w:ascii="Arial Narrow" w:hAnsi="Arial Narrow"/>
                <w:sz w:val="20"/>
                <w:szCs w:val="20"/>
              </w:rPr>
              <w:t>ECULIZUMAB</w:t>
            </w:r>
          </w:p>
        </w:tc>
      </w:tr>
      <w:tr w:rsidR="007718A0" w:rsidRPr="0098660A" w14:paraId="4FDAA25C" w14:textId="77777777" w:rsidTr="00E66776">
        <w:trPr>
          <w:trHeight w:val="481"/>
        </w:trPr>
        <w:tc>
          <w:tcPr>
            <w:tcW w:w="2922" w:type="dxa"/>
          </w:tcPr>
          <w:p w14:paraId="4F48350E" w14:textId="77777777" w:rsidR="007718A0" w:rsidRPr="0098660A" w:rsidRDefault="007718A0" w:rsidP="000E2127">
            <w:pPr>
              <w:rPr>
                <w:rFonts w:ascii="Arial Narrow" w:hAnsi="Arial Narrow"/>
                <w:sz w:val="20"/>
                <w:szCs w:val="20"/>
              </w:rPr>
            </w:pPr>
            <w:r w:rsidRPr="0098660A">
              <w:rPr>
                <w:rFonts w:ascii="Arial Narrow" w:hAnsi="Arial Narrow"/>
                <w:sz w:val="20"/>
                <w:szCs w:val="20"/>
              </w:rPr>
              <w:t>eculizumab 300 mg/ 30 mL injection, 30 mL vial</w:t>
            </w:r>
          </w:p>
        </w:tc>
        <w:tc>
          <w:tcPr>
            <w:tcW w:w="1280" w:type="dxa"/>
          </w:tcPr>
          <w:p w14:paraId="20283008" w14:textId="77777777" w:rsidR="007718A0" w:rsidRPr="0098660A" w:rsidRDefault="007718A0" w:rsidP="000E2127">
            <w:pPr>
              <w:jc w:val="center"/>
              <w:rPr>
                <w:rFonts w:ascii="Arial Narrow" w:hAnsi="Arial Narrow"/>
                <w:sz w:val="20"/>
                <w:szCs w:val="20"/>
              </w:rPr>
            </w:pPr>
            <w:r w:rsidRPr="0098660A">
              <w:rPr>
                <w:rFonts w:ascii="Arial Narrow" w:hAnsi="Arial Narrow"/>
                <w:sz w:val="20"/>
                <w:szCs w:val="20"/>
              </w:rPr>
              <w:t>12840T (Public)</w:t>
            </w:r>
          </w:p>
          <w:p w14:paraId="40C7637F" w14:textId="77777777" w:rsidR="007718A0" w:rsidRPr="0098660A" w:rsidRDefault="007718A0" w:rsidP="000E2127">
            <w:pPr>
              <w:jc w:val="center"/>
              <w:rPr>
                <w:rFonts w:ascii="Arial Narrow" w:hAnsi="Arial Narrow"/>
                <w:sz w:val="20"/>
                <w:szCs w:val="20"/>
              </w:rPr>
            </w:pPr>
            <w:r w:rsidRPr="0098660A">
              <w:rPr>
                <w:rFonts w:ascii="Arial Narrow" w:hAnsi="Arial Narrow"/>
                <w:sz w:val="20"/>
                <w:szCs w:val="20"/>
              </w:rPr>
              <w:t>12896R (Private)</w:t>
            </w:r>
          </w:p>
        </w:tc>
        <w:tc>
          <w:tcPr>
            <w:tcW w:w="841" w:type="dxa"/>
          </w:tcPr>
          <w:p w14:paraId="3C40C8A4" w14:textId="77777777" w:rsidR="007718A0" w:rsidRPr="0098660A" w:rsidRDefault="007718A0" w:rsidP="000E2127">
            <w:pPr>
              <w:jc w:val="center"/>
              <w:rPr>
                <w:rFonts w:ascii="Arial Narrow" w:hAnsi="Arial Narrow"/>
                <w:sz w:val="20"/>
                <w:szCs w:val="20"/>
              </w:rPr>
            </w:pPr>
            <w:r w:rsidRPr="0098660A">
              <w:rPr>
                <w:rFonts w:ascii="Arial Narrow" w:hAnsi="Arial Narrow"/>
                <w:sz w:val="20"/>
                <w:szCs w:val="20"/>
              </w:rPr>
              <w:t>8</w:t>
            </w:r>
          </w:p>
        </w:tc>
        <w:tc>
          <w:tcPr>
            <w:tcW w:w="878" w:type="dxa"/>
          </w:tcPr>
          <w:p w14:paraId="1C5E1CB0" w14:textId="77777777" w:rsidR="007718A0" w:rsidRPr="0098660A" w:rsidRDefault="007718A0" w:rsidP="000E2127">
            <w:pPr>
              <w:jc w:val="center"/>
              <w:rPr>
                <w:rFonts w:ascii="Arial Narrow" w:hAnsi="Arial Narrow"/>
                <w:sz w:val="20"/>
                <w:szCs w:val="20"/>
              </w:rPr>
            </w:pPr>
            <w:r w:rsidRPr="0098660A">
              <w:rPr>
                <w:rFonts w:ascii="Arial Narrow" w:hAnsi="Arial Narrow"/>
                <w:sz w:val="20"/>
                <w:szCs w:val="20"/>
              </w:rPr>
              <w:t>8</w:t>
            </w:r>
          </w:p>
        </w:tc>
        <w:tc>
          <w:tcPr>
            <w:tcW w:w="797" w:type="dxa"/>
          </w:tcPr>
          <w:p w14:paraId="617F4EFF" w14:textId="77777777" w:rsidR="007718A0" w:rsidRPr="0098660A" w:rsidRDefault="007718A0" w:rsidP="000E2127">
            <w:pPr>
              <w:jc w:val="center"/>
              <w:rPr>
                <w:rFonts w:ascii="Arial Narrow" w:hAnsi="Arial Narrow"/>
                <w:sz w:val="20"/>
                <w:szCs w:val="20"/>
              </w:rPr>
            </w:pPr>
            <w:r w:rsidRPr="0098660A">
              <w:rPr>
                <w:rFonts w:ascii="Arial Narrow" w:hAnsi="Arial Narrow"/>
                <w:sz w:val="20"/>
                <w:szCs w:val="20"/>
              </w:rPr>
              <w:t>0</w:t>
            </w:r>
          </w:p>
        </w:tc>
        <w:tc>
          <w:tcPr>
            <w:tcW w:w="2255" w:type="dxa"/>
          </w:tcPr>
          <w:p w14:paraId="6C067C47" w14:textId="77777777" w:rsidR="007718A0" w:rsidRPr="0098660A" w:rsidRDefault="007718A0" w:rsidP="000E2127">
            <w:pPr>
              <w:jc w:val="center"/>
              <w:rPr>
                <w:rFonts w:ascii="Arial Narrow" w:hAnsi="Arial Narrow"/>
                <w:sz w:val="20"/>
                <w:szCs w:val="20"/>
              </w:rPr>
            </w:pPr>
            <w:r w:rsidRPr="0098660A">
              <w:rPr>
                <w:rFonts w:ascii="Arial Narrow" w:hAnsi="Arial Narrow"/>
                <w:sz w:val="20"/>
                <w:szCs w:val="20"/>
              </w:rPr>
              <w:t>Soliris</w:t>
            </w:r>
          </w:p>
        </w:tc>
      </w:tr>
      <w:tr w:rsidR="007718A0" w:rsidRPr="0098660A" w14:paraId="60AC96DB" w14:textId="77777777" w:rsidTr="00E66776">
        <w:trPr>
          <w:trHeight w:val="279"/>
        </w:trPr>
        <w:tc>
          <w:tcPr>
            <w:tcW w:w="8973" w:type="dxa"/>
            <w:gridSpan w:val="6"/>
          </w:tcPr>
          <w:p w14:paraId="119372ED" w14:textId="77777777" w:rsidR="007718A0" w:rsidRPr="0098660A" w:rsidRDefault="007718A0" w:rsidP="000E2127">
            <w:pPr>
              <w:rPr>
                <w:rFonts w:ascii="Arial Narrow" w:hAnsi="Arial Narrow"/>
              </w:rPr>
            </w:pPr>
          </w:p>
        </w:tc>
      </w:tr>
      <w:tr w:rsidR="007718A0" w:rsidRPr="0098660A" w14:paraId="0300C9EE" w14:textId="77777777" w:rsidTr="00E66776">
        <w:trPr>
          <w:trHeight w:val="232"/>
        </w:trPr>
        <w:tc>
          <w:tcPr>
            <w:tcW w:w="8973" w:type="dxa"/>
            <w:gridSpan w:val="6"/>
          </w:tcPr>
          <w:p w14:paraId="58244891" w14:textId="77777777" w:rsidR="007718A0" w:rsidRPr="0098660A" w:rsidRDefault="007718A0" w:rsidP="000E2127">
            <w:pPr>
              <w:rPr>
                <w:rFonts w:ascii="Arial Narrow" w:hAnsi="Arial Narrow"/>
                <w:b/>
                <w:bCs/>
                <w:sz w:val="20"/>
                <w:szCs w:val="20"/>
              </w:rPr>
            </w:pPr>
            <w:r w:rsidRPr="0098660A">
              <w:rPr>
                <w:rFonts w:ascii="Arial Narrow" w:hAnsi="Arial Narrow"/>
                <w:b/>
                <w:bCs/>
                <w:sz w:val="20"/>
                <w:szCs w:val="20"/>
              </w:rPr>
              <w:t>Restriction Summary edit 13460 / Treatment of Concept: edit 13459</w:t>
            </w:r>
          </w:p>
        </w:tc>
      </w:tr>
      <w:tr w:rsidR="00E66776" w:rsidRPr="0098660A" w14:paraId="57A0357A" w14:textId="77777777" w:rsidTr="00E66776">
        <w:trPr>
          <w:trHeight w:val="279"/>
        </w:trPr>
        <w:tc>
          <w:tcPr>
            <w:tcW w:w="8973" w:type="dxa"/>
            <w:gridSpan w:val="6"/>
          </w:tcPr>
          <w:p w14:paraId="124E0EF3" w14:textId="77777777" w:rsidR="00E66776" w:rsidRPr="0098660A" w:rsidRDefault="00E66776" w:rsidP="000E2127">
            <w:pPr>
              <w:rPr>
                <w:rFonts w:ascii="Arial Narrow" w:hAnsi="Arial Narrow"/>
                <w:sz w:val="20"/>
                <w:szCs w:val="20"/>
              </w:rPr>
            </w:pPr>
            <w:r w:rsidRPr="0098660A">
              <w:rPr>
                <w:rFonts w:ascii="Arial Narrow" w:hAnsi="Arial Narrow"/>
                <w:b/>
                <w:bCs/>
                <w:sz w:val="20"/>
                <w:szCs w:val="20"/>
              </w:rPr>
              <w:t>Indication:</w:t>
            </w:r>
            <w:r w:rsidRPr="0098660A">
              <w:rPr>
                <w:rFonts w:ascii="Arial Narrow" w:hAnsi="Arial Narrow"/>
                <w:sz w:val="20"/>
                <w:szCs w:val="20"/>
              </w:rPr>
              <w:t xml:space="preserve"> Paroxysmal nocturnal haemoglobinuria (PNH)</w:t>
            </w:r>
          </w:p>
        </w:tc>
      </w:tr>
      <w:tr w:rsidR="00E66776" w:rsidRPr="0098660A" w14:paraId="34AB3B09" w14:textId="77777777" w:rsidTr="00E66776">
        <w:trPr>
          <w:trHeight w:val="279"/>
        </w:trPr>
        <w:tc>
          <w:tcPr>
            <w:tcW w:w="8973" w:type="dxa"/>
            <w:gridSpan w:val="6"/>
          </w:tcPr>
          <w:p w14:paraId="33252FE5" w14:textId="77777777" w:rsidR="00E66776" w:rsidRPr="0098660A" w:rsidRDefault="00E66776" w:rsidP="000E2127">
            <w:pPr>
              <w:rPr>
                <w:rFonts w:ascii="Arial Narrow" w:hAnsi="Arial Narrow"/>
                <w:sz w:val="20"/>
                <w:szCs w:val="20"/>
              </w:rPr>
            </w:pPr>
            <w:r w:rsidRPr="0098660A">
              <w:rPr>
                <w:rFonts w:ascii="Arial Narrow" w:hAnsi="Arial Narrow"/>
                <w:b/>
                <w:bCs/>
                <w:sz w:val="20"/>
                <w:szCs w:val="20"/>
              </w:rPr>
              <w:t>Treatment Phase:</w:t>
            </w:r>
            <w:r w:rsidRPr="0098660A">
              <w:rPr>
                <w:rFonts w:ascii="Arial Narrow" w:hAnsi="Arial Narrow"/>
                <w:sz w:val="20"/>
                <w:szCs w:val="20"/>
              </w:rPr>
              <w:t xml:space="preserve"> </w:t>
            </w:r>
            <w:r w:rsidRPr="0098660A">
              <w:rPr>
                <w:rFonts w:ascii="Arial Narrow" w:hAnsi="Arial Narrow"/>
                <w:i/>
                <w:iCs/>
                <w:sz w:val="20"/>
                <w:szCs w:val="20"/>
              </w:rPr>
              <w:t xml:space="preserve">Switching </w:t>
            </w:r>
            <w:r w:rsidRPr="0098660A">
              <w:rPr>
                <w:rFonts w:ascii="Arial Narrow" w:hAnsi="Arial Narrow"/>
                <w:strike/>
                <w:sz w:val="20"/>
                <w:szCs w:val="20"/>
              </w:rPr>
              <w:t xml:space="preserve">Return </w:t>
            </w:r>
            <w:r w:rsidRPr="0098660A">
              <w:rPr>
                <w:rFonts w:ascii="Arial Narrow" w:hAnsi="Arial Narrow"/>
                <w:sz w:val="20"/>
                <w:szCs w:val="20"/>
              </w:rPr>
              <w:t>from PBS subsidised pegcetacoplan or iptacopan - induction doses</w:t>
            </w:r>
          </w:p>
        </w:tc>
      </w:tr>
      <w:tr w:rsidR="00E66776" w:rsidRPr="0098660A" w14:paraId="22A729A6" w14:textId="77777777" w:rsidTr="00E66776">
        <w:trPr>
          <w:trHeight w:val="279"/>
        </w:trPr>
        <w:tc>
          <w:tcPr>
            <w:tcW w:w="8973" w:type="dxa"/>
            <w:gridSpan w:val="6"/>
          </w:tcPr>
          <w:p w14:paraId="520B9D87" w14:textId="77777777" w:rsidR="00E66776" w:rsidRPr="0098660A" w:rsidRDefault="00E66776" w:rsidP="000E2127">
            <w:pPr>
              <w:rPr>
                <w:rFonts w:ascii="Arial Narrow" w:hAnsi="Arial Narrow"/>
                <w:b/>
                <w:bCs/>
                <w:strike/>
                <w:sz w:val="20"/>
                <w:szCs w:val="20"/>
              </w:rPr>
            </w:pPr>
            <w:r w:rsidRPr="0098660A">
              <w:rPr>
                <w:rFonts w:ascii="Arial Narrow" w:hAnsi="Arial Narrow"/>
                <w:b/>
                <w:bCs/>
                <w:strike/>
                <w:sz w:val="20"/>
                <w:szCs w:val="20"/>
              </w:rPr>
              <w:t xml:space="preserve">Clinical criteria: </w:t>
            </w:r>
          </w:p>
        </w:tc>
      </w:tr>
      <w:tr w:rsidR="00E66776" w:rsidRPr="0098660A" w14:paraId="51DC90DA" w14:textId="77777777" w:rsidTr="00E66776">
        <w:trPr>
          <w:trHeight w:val="279"/>
        </w:trPr>
        <w:tc>
          <w:tcPr>
            <w:tcW w:w="8973" w:type="dxa"/>
            <w:gridSpan w:val="6"/>
          </w:tcPr>
          <w:p w14:paraId="42E7CE27" w14:textId="77777777" w:rsidR="00E66776" w:rsidRPr="0098660A" w:rsidRDefault="00E66776" w:rsidP="000E2127">
            <w:pPr>
              <w:rPr>
                <w:rFonts w:ascii="Arial Narrow" w:hAnsi="Arial Narrow"/>
                <w:strike/>
                <w:sz w:val="20"/>
                <w:szCs w:val="20"/>
              </w:rPr>
            </w:pPr>
            <w:r w:rsidRPr="0098660A">
              <w:rPr>
                <w:rFonts w:ascii="Arial Narrow" w:hAnsi="Arial Narrow"/>
                <w:strike/>
                <w:sz w:val="20"/>
                <w:szCs w:val="20"/>
              </w:rPr>
              <w:t>Patient must have received PBS-subsidised treatment with at least one Complement 5 (C5) inhibitor for this condition</w:t>
            </w:r>
          </w:p>
        </w:tc>
      </w:tr>
      <w:tr w:rsidR="00E66776" w:rsidRPr="0098660A" w14:paraId="2F016800" w14:textId="77777777" w:rsidTr="00E66776">
        <w:trPr>
          <w:trHeight w:val="279"/>
        </w:trPr>
        <w:tc>
          <w:tcPr>
            <w:tcW w:w="8973" w:type="dxa"/>
            <w:gridSpan w:val="6"/>
          </w:tcPr>
          <w:p w14:paraId="47CA17D7" w14:textId="77777777" w:rsidR="00E66776" w:rsidRPr="0098660A" w:rsidRDefault="00E66776" w:rsidP="000E2127">
            <w:pPr>
              <w:rPr>
                <w:rFonts w:ascii="Arial Narrow" w:hAnsi="Arial Narrow"/>
                <w:b/>
                <w:bCs/>
                <w:strike/>
                <w:sz w:val="20"/>
                <w:szCs w:val="20"/>
              </w:rPr>
            </w:pPr>
            <w:r w:rsidRPr="0098660A">
              <w:rPr>
                <w:rFonts w:ascii="Arial Narrow" w:hAnsi="Arial Narrow"/>
                <w:b/>
                <w:bCs/>
                <w:strike/>
                <w:sz w:val="20"/>
                <w:szCs w:val="20"/>
              </w:rPr>
              <w:t>AND</w:t>
            </w:r>
          </w:p>
        </w:tc>
      </w:tr>
      <w:tr w:rsidR="00E66776" w:rsidRPr="0098660A" w14:paraId="281ABEF2" w14:textId="77777777" w:rsidTr="00E66776">
        <w:trPr>
          <w:trHeight w:val="279"/>
        </w:trPr>
        <w:tc>
          <w:tcPr>
            <w:tcW w:w="8973" w:type="dxa"/>
            <w:gridSpan w:val="6"/>
          </w:tcPr>
          <w:p w14:paraId="5FC87419" w14:textId="77777777" w:rsidR="00E66776" w:rsidRPr="0098660A" w:rsidRDefault="00E66776" w:rsidP="000E2127">
            <w:pPr>
              <w:rPr>
                <w:rFonts w:ascii="Arial Narrow" w:hAnsi="Arial Narrow"/>
                <w:sz w:val="20"/>
                <w:szCs w:val="20"/>
              </w:rPr>
            </w:pPr>
            <w:r w:rsidRPr="0098660A">
              <w:rPr>
                <w:rFonts w:ascii="Arial Narrow" w:hAnsi="Arial Narrow"/>
                <w:b/>
                <w:bCs/>
                <w:sz w:val="20"/>
                <w:szCs w:val="20"/>
              </w:rPr>
              <w:t xml:space="preserve">Clinical criteria: </w:t>
            </w:r>
          </w:p>
        </w:tc>
      </w:tr>
      <w:tr w:rsidR="00E66776" w:rsidRPr="0098660A" w14:paraId="21DBC1B0" w14:textId="77777777" w:rsidTr="00E66776">
        <w:trPr>
          <w:trHeight w:val="279"/>
        </w:trPr>
        <w:tc>
          <w:tcPr>
            <w:tcW w:w="8973" w:type="dxa"/>
            <w:gridSpan w:val="6"/>
          </w:tcPr>
          <w:p w14:paraId="41CE4938" w14:textId="77777777" w:rsidR="00E66776" w:rsidRPr="0098660A" w:rsidRDefault="00E66776" w:rsidP="000E2127">
            <w:pPr>
              <w:rPr>
                <w:rFonts w:ascii="Arial Narrow" w:hAnsi="Arial Narrow"/>
                <w:sz w:val="20"/>
                <w:szCs w:val="20"/>
              </w:rPr>
            </w:pPr>
            <w:r w:rsidRPr="0098660A">
              <w:rPr>
                <w:rFonts w:ascii="Arial Narrow" w:hAnsi="Arial Narrow"/>
                <w:sz w:val="20"/>
                <w:szCs w:val="20"/>
              </w:rPr>
              <w:t>Patient must have received PBS-subsidised treatment with either (i) pegcetacoplan, (ii) iptacopan for this condition</w:t>
            </w:r>
          </w:p>
        </w:tc>
      </w:tr>
      <w:tr w:rsidR="00E66776" w:rsidRPr="0098660A" w14:paraId="01BB7F78" w14:textId="77777777" w:rsidTr="00E66776">
        <w:trPr>
          <w:trHeight w:val="279"/>
        </w:trPr>
        <w:tc>
          <w:tcPr>
            <w:tcW w:w="8973" w:type="dxa"/>
            <w:gridSpan w:val="6"/>
          </w:tcPr>
          <w:p w14:paraId="180B39F7" w14:textId="77777777" w:rsidR="00E66776" w:rsidRPr="0098660A" w:rsidRDefault="00E66776" w:rsidP="000E2127">
            <w:pPr>
              <w:rPr>
                <w:rFonts w:ascii="Arial Narrow" w:hAnsi="Arial Narrow"/>
                <w:sz w:val="20"/>
                <w:szCs w:val="20"/>
              </w:rPr>
            </w:pPr>
            <w:r w:rsidRPr="0098660A">
              <w:rPr>
                <w:rFonts w:ascii="Arial Narrow" w:hAnsi="Arial Narrow"/>
                <w:b/>
                <w:bCs/>
                <w:sz w:val="20"/>
                <w:szCs w:val="20"/>
              </w:rPr>
              <w:t>AND</w:t>
            </w:r>
          </w:p>
        </w:tc>
      </w:tr>
      <w:tr w:rsidR="00E66776" w:rsidRPr="0098660A" w14:paraId="46AB5BC0" w14:textId="77777777" w:rsidTr="00E66776">
        <w:trPr>
          <w:trHeight w:val="279"/>
        </w:trPr>
        <w:tc>
          <w:tcPr>
            <w:tcW w:w="8973" w:type="dxa"/>
            <w:gridSpan w:val="6"/>
          </w:tcPr>
          <w:p w14:paraId="0A1AF165" w14:textId="77777777" w:rsidR="00E66776" w:rsidRPr="0098660A" w:rsidRDefault="00E66776" w:rsidP="000E2127">
            <w:pPr>
              <w:rPr>
                <w:rFonts w:ascii="Arial Narrow" w:hAnsi="Arial Narrow"/>
                <w:sz w:val="20"/>
                <w:szCs w:val="20"/>
              </w:rPr>
            </w:pPr>
            <w:r w:rsidRPr="0098660A">
              <w:rPr>
                <w:rFonts w:ascii="Arial Narrow" w:hAnsi="Arial Narrow"/>
                <w:b/>
                <w:bCs/>
                <w:sz w:val="20"/>
                <w:szCs w:val="20"/>
              </w:rPr>
              <w:t xml:space="preserve">Clinical criteria: </w:t>
            </w:r>
          </w:p>
        </w:tc>
      </w:tr>
      <w:tr w:rsidR="00E66776" w:rsidRPr="0098660A" w14:paraId="16EDBF5E" w14:textId="77777777" w:rsidTr="00E66776">
        <w:trPr>
          <w:trHeight w:val="279"/>
        </w:trPr>
        <w:tc>
          <w:tcPr>
            <w:tcW w:w="8973" w:type="dxa"/>
            <w:gridSpan w:val="6"/>
          </w:tcPr>
          <w:p w14:paraId="09763577" w14:textId="77777777" w:rsidR="00E66776" w:rsidRPr="0098660A" w:rsidRDefault="00E66776" w:rsidP="000E2127">
            <w:pPr>
              <w:rPr>
                <w:rFonts w:ascii="Arial Narrow" w:hAnsi="Arial Narrow"/>
                <w:sz w:val="20"/>
                <w:szCs w:val="20"/>
              </w:rPr>
            </w:pPr>
            <w:r w:rsidRPr="0098660A">
              <w:rPr>
                <w:rFonts w:ascii="Arial Narrow" w:hAnsi="Arial Narrow"/>
                <w:sz w:val="20"/>
                <w:szCs w:val="20"/>
              </w:rPr>
              <w:t>Patient must have developed resistance or intolerance to either (i) pegcetacoplan, (ii) iptacopan</w:t>
            </w:r>
          </w:p>
        </w:tc>
      </w:tr>
      <w:tr w:rsidR="00E66776" w:rsidRPr="0098660A" w14:paraId="03735828" w14:textId="77777777" w:rsidTr="00E66776">
        <w:trPr>
          <w:trHeight w:val="279"/>
        </w:trPr>
        <w:tc>
          <w:tcPr>
            <w:tcW w:w="8973" w:type="dxa"/>
            <w:gridSpan w:val="6"/>
          </w:tcPr>
          <w:p w14:paraId="79887813" w14:textId="77777777" w:rsidR="00E66776" w:rsidRPr="0098660A" w:rsidRDefault="00E66776" w:rsidP="000E2127">
            <w:pPr>
              <w:rPr>
                <w:rFonts w:ascii="Arial Narrow" w:hAnsi="Arial Narrow"/>
                <w:sz w:val="20"/>
                <w:szCs w:val="20"/>
              </w:rPr>
            </w:pPr>
            <w:r w:rsidRPr="0098660A">
              <w:rPr>
                <w:rFonts w:ascii="Arial Narrow" w:hAnsi="Arial Narrow"/>
                <w:b/>
                <w:bCs/>
                <w:sz w:val="20"/>
                <w:szCs w:val="20"/>
              </w:rPr>
              <w:t>AND</w:t>
            </w:r>
          </w:p>
        </w:tc>
      </w:tr>
      <w:tr w:rsidR="00E66776" w:rsidRPr="0098660A" w14:paraId="2755098A" w14:textId="77777777" w:rsidTr="00E66776">
        <w:trPr>
          <w:trHeight w:val="279"/>
        </w:trPr>
        <w:tc>
          <w:tcPr>
            <w:tcW w:w="8973" w:type="dxa"/>
            <w:gridSpan w:val="6"/>
          </w:tcPr>
          <w:p w14:paraId="3E8C4C39" w14:textId="77777777" w:rsidR="00E66776" w:rsidRPr="0098660A" w:rsidRDefault="00E66776" w:rsidP="000E2127">
            <w:pPr>
              <w:rPr>
                <w:rFonts w:ascii="Arial Narrow" w:hAnsi="Arial Narrow"/>
                <w:sz w:val="20"/>
                <w:szCs w:val="20"/>
              </w:rPr>
            </w:pPr>
            <w:r w:rsidRPr="0098660A">
              <w:rPr>
                <w:rFonts w:ascii="Arial Narrow" w:hAnsi="Arial Narrow"/>
                <w:b/>
                <w:bCs/>
                <w:sz w:val="20"/>
                <w:szCs w:val="20"/>
              </w:rPr>
              <w:t xml:space="preserve">Clinical criteria: </w:t>
            </w:r>
          </w:p>
        </w:tc>
      </w:tr>
      <w:tr w:rsidR="00E66776" w:rsidRPr="0098660A" w14:paraId="126D36AB" w14:textId="77777777" w:rsidTr="00E66776">
        <w:trPr>
          <w:trHeight w:val="279"/>
        </w:trPr>
        <w:tc>
          <w:tcPr>
            <w:tcW w:w="8973" w:type="dxa"/>
            <w:gridSpan w:val="6"/>
          </w:tcPr>
          <w:p w14:paraId="4E6EF9AD" w14:textId="77777777" w:rsidR="00E66776" w:rsidRPr="0098660A" w:rsidRDefault="00E66776" w:rsidP="000E2127">
            <w:pPr>
              <w:rPr>
                <w:rFonts w:ascii="Arial Narrow" w:hAnsi="Arial Narrow"/>
                <w:sz w:val="20"/>
                <w:szCs w:val="20"/>
              </w:rPr>
            </w:pPr>
            <w:r w:rsidRPr="0098660A">
              <w:rPr>
                <w:rFonts w:ascii="Arial Narrow" w:hAnsi="Arial Narrow"/>
                <w:sz w:val="20"/>
                <w:szCs w:val="20"/>
              </w:rPr>
              <w:t>The treatment must be the sole PBS-subsidised therapy for this condition.</w:t>
            </w:r>
          </w:p>
        </w:tc>
      </w:tr>
      <w:tr w:rsidR="00E66776" w:rsidRPr="0098660A" w14:paraId="1E07E875" w14:textId="77777777" w:rsidTr="00E66776">
        <w:trPr>
          <w:trHeight w:val="279"/>
        </w:trPr>
        <w:tc>
          <w:tcPr>
            <w:tcW w:w="8973" w:type="dxa"/>
            <w:gridSpan w:val="6"/>
          </w:tcPr>
          <w:p w14:paraId="0E8BA364" w14:textId="77777777" w:rsidR="00E66776" w:rsidRPr="0098660A" w:rsidRDefault="00E66776" w:rsidP="000E2127">
            <w:pPr>
              <w:rPr>
                <w:rFonts w:ascii="Arial Narrow" w:hAnsi="Arial Narrow"/>
                <w:b/>
                <w:bCs/>
                <w:sz w:val="20"/>
                <w:szCs w:val="20"/>
              </w:rPr>
            </w:pPr>
            <w:r w:rsidRPr="0098660A">
              <w:rPr>
                <w:rFonts w:ascii="Arial Narrow" w:hAnsi="Arial Narrow"/>
                <w:b/>
                <w:bCs/>
                <w:sz w:val="20"/>
                <w:szCs w:val="20"/>
              </w:rPr>
              <w:t xml:space="preserve">Treatment criteria: </w:t>
            </w:r>
          </w:p>
        </w:tc>
      </w:tr>
      <w:tr w:rsidR="00E66776" w:rsidRPr="0098660A" w14:paraId="036F8E86" w14:textId="77777777" w:rsidTr="00E66776">
        <w:trPr>
          <w:trHeight w:val="279"/>
        </w:trPr>
        <w:tc>
          <w:tcPr>
            <w:tcW w:w="8973" w:type="dxa"/>
            <w:gridSpan w:val="6"/>
          </w:tcPr>
          <w:p w14:paraId="76A06C81" w14:textId="77777777" w:rsidR="00E66776" w:rsidRPr="0098660A" w:rsidRDefault="00E66776" w:rsidP="000E2127">
            <w:pPr>
              <w:rPr>
                <w:rFonts w:ascii="Arial Narrow" w:hAnsi="Arial Narrow"/>
                <w:sz w:val="20"/>
                <w:szCs w:val="20"/>
              </w:rPr>
            </w:pPr>
            <w:r w:rsidRPr="0098660A">
              <w:rPr>
                <w:rFonts w:ascii="Arial Narrow" w:hAnsi="Arial Narrow"/>
                <w:sz w:val="20"/>
                <w:szCs w:val="20"/>
              </w:rPr>
              <w:t>Must be treated by a haematologist; or</w:t>
            </w:r>
          </w:p>
        </w:tc>
      </w:tr>
      <w:tr w:rsidR="00E66776" w:rsidRPr="0098660A" w14:paraId="6BD71BED" w14:textId="77777777" w:rsidTr="00E66776">
        <w:trPr>
          <w:trHeight w:val="279"/>
        </w:trPr>
        <w:tc>
          <w:tcPr>
            <w:tcW w:w="8973" w:type="dxa"/>
            <w:gridSpan w:val="6"/>
          </w:tcPr>
          <w:p w14:paraId="51DECFCF" w14:textId="77777777" w:rsidR="00E66776" w:rsidRPr="0098660A" w:rsidRDefault="00E66776" w:rsidP="000E2127">
            <w:pPr>
              <w:rPr>
                <w:rFonts w:ascii="Arial Narrow" w:hAnsi="Arial Narrow"/>
                <w:sz w:val="20"/>
                <w:szCs w:val="20"/>
              </w:rPr>
            </w:pPr>
            <w:r w:rsidRPr="0098660A">
              <w:rPr>
                <w:rFonts w:ascii="Arial Narrow" w:hAnsi="Arial Narrow"/>
                <w:sz w:val="20"/>
                <w:szCs w:val="20"/>
              </w:rPr>
              <w:t>Must be treated by a non-specialist medical physician who has consulted a haematologist on the patient’s drug treatment details</w:t>
            </w:r>
          </w:p>
        </w:tc>
      </w:tr>
    </w:tbl>
    <w:p w14:paraId="0115804E" w14:textId="15751ECD" w:rsidR="007718A0" w:rsidRPr="0098660A" w:rsidRDefault="007718A0" w:rsidP="004908CF">
      <w:pPr>
        <w:pStyle w:val="5-SubsectionSubheading"/>
      </w:pPr>
      <w:r w:rsidRPr="0098660A">
        <w:lastRenderedPageBreak/>
        <w:t>Ravulizumab</w:t>
      </w:r>
    </w:p>
    <w:tbl>
      <w:tblPr>
        <w:tblStyle w:val="TableGrid"/>
        <w:tblW w:w="9043" w:type="dxa"/>
        <w:tblInd w:w="-5" w:type="dxa"/>
        <w:tblLook w:val="04A0" w:firstRow="1" w:lastRow="0" w:firstColumn="1" w:lastColumn="0" w:noHBand="0" w:noVBand="1"/>
      </w:tblPr>
      <w:tblGrid>
        <w:gridCol w:w="2922"/>
        <w:gridCol w:w="1280"/>
        <w:gridCol w:w="841"/>
        <w:gridCol w:w="878"/>
        <w:gridCol w:w="1167"/>
        <w:gridCol w:w="1933"/>
        <w:gridCol w:w="22"/>
      </w:tblGrid>
      <w:tr w:rsidR="007718A0" w:rsidRPr="0098660A" w14:paraId="3C370A75" w14:textId="77777777" w:rsidTr="008A048F">
        <w:trPr>
          <w:gridAfter w:val="1"/>
          <w:wAfter w:w="22" w:type="dxa"/>
          <w:trHeight w:val="559"/>
        </w:trPr>
        <w:tc>
          <w:tcPr>
            <w:tcW w:w="2922" w:type="dxa"/>
          </w:tcPr>
          <w:p w14:paraId="30E7EF5A" w14:textId="77777777" w:rsidR="007718A0" w:rsidRPr="0098660A" w:rsidRDefault="007718A0" w:rsidP="004908CF">
            <w:pPr>
              <w:keepNext/>
              <w:keepLines/>
              <w:jc w:val="center"/>
              <w:rPr>
                <w:rFonts w:ascii="Arial Narrow" w:hAnsi="Arial Narrow"/>
                <w:b/>
                <w:bCs/>
              </w:rPr>
            </w:pPr>
            <w:r w:rsidRPr="0098660A">
              <w:rPr>
                <w:rFonts w:ascii="Arial Narrow" w:hAnsi="Arial Narrow"/>
                <w:b/>
                <w:bCs/>
              </w:rPr>
              <w:t>MEDICINAL PRODUCT Medicinal Product pack</w:t>
            </w:r>
          </w:p>
        </w:tc>
        <w:tc>
          <w:tcPr>
            <w:tcW w:w="1280" w:type="dxa"/>
          </w:tcPr>
          <w:p w14:paraId="4CD62052" w14:textId="77777777" w:rsidR="007718A0" w:rsidRPr="0098660A" w:rsidRDefault="007718A0" w:rsidP="004908CF">
            <w:pPr>
              <w:keepNext/>
              <w:keepLines/>
              <w:jc w:val="center"/>
              <w:rPr>
                <w:rFonts w:ascii="Arial Narrow" w:hAnsi="Arial Narrow"/>
                <w:b/>
                <w:bCs/>
              </w:rPr>
            </w:pPr>
            <w:r w:rsidRPr="0098660A">
              <w:rPr>
                <w:rFonts w:ascii="Arial Narrow" w:hAnsi="Arial Narrow"/>
                <w:b/>
                <w:bCs/>
              </w:rPr>
              <w:t>PBS item code</w:t>
            </w:r>
          </w:p>
        </w:tc>
        <w:tc>
          <w:tcPr>
            <w:tcW w:w="841" w:type="dxa"/>
          </w:tcPr>
          <w:p w14:paraId="4DA2B9D9" w14:textId="77777777" w:rsidR="007718A0" w:rsidRPr="0098660A" w:rsidRDefault="007718A0" w:rsidP="004908CF">
            <w:pPr>
              <w:keepNext/>
              <w:keepLines/>
              <w:jc w:val="center"/>
              <w:rPr>
                <w:rFonts w:ascii="Arial Narrow" w:hAnsi="Arial Narrow"/>
                <w:b/>
                <w:bCs/>
              </w:rPr>
            </w:pPr>
            <w:r w:rsidRPr="0098660A">
              <w:rPr>
                <w:rFonts w:ascii="Arial Narrow" w:hAnsi="Arial Narrow"/>
                <w:b/>
                <w:bCs/>
              </w:rPr>
              <w:t>Max. qty packs</w:t>
            </w:r>
          </w:p>
        </w:tc>
        <w:tc>
          <w:tcPr>
            <w:tcW w:w="878" w:type="dxa"/>
          </w:tcPr>
          <w:p w14:paraId="76C0AA12" w14:textId="77777777" w:rsidR="007718A0" w:rsidRPr="0098660A" w:rsidRDefault="007718A0" w:rsidP="004908CF">
            <w:pPr>
              <w:keepNext/>
              <w:keepLines/>
              <w:jc w:val="center"/>
              <w:rPr>
                <w:rFonts w:ascii="Arial Narrow" w:hAnsi="Arial Narrow"/>
                <w:b/>
                <w:bCs/>
              </w:rPr>
            </w:pPr>
            <w:r w:rsidRPr="0098660A">
              <w:rPr>
                <w:rFonts w:ascii="Arial Narrow" w:hAnsi="Arial Narrow"/>
                <w:b/>
                <w:bCs/>
              </w:rPr>
              <w:t>Max. qty units</w:t>
            </w:r>
          </w:p>
        </w:tc>
        <w:tc>
          <w:tcPr>
            <w:tcW w:w="1167" w:type="dxa"/>
          </w:tcPr>
          <w:p w14:paraId="5849787D" w14:textId="77777777" w:rsidR="007718A0" w:rsidRPr="0098660A" w:rsidRDefault="007718A0" w:rsidP="004908CF">
            <w:pPr>
              <w:keepNext/>
              <w:keepLines/>
              <w:jc w:val="center"/>
              <w:rPr>
                <w:rFonts w:ascii="Arial Narrow" w:hAnsi="Arial Narrow"/>
                <w:b/>
                <w:bCs/>
              </w:rPr>
            </w:pPr>
            <w:r w:rsidRPr="0098660A">
              <w:rPr>
                <w:rFonts w:ascii="Arial Narrow" w:hAnsi="Arial Narrow"/>
                <w:b/>
                <w:bCs/>
              </w:rPr>
              <w:t>№. of Rpts</w:t>
            </w:r>
          </w:p>
        </w:tc>
        <w:tc>
          <w:tcPr>
            <w:tcW w:w="1933" w:type="dxa"/>
          </w:tcPr>
          <w:p w14:paraId="15A0284F" w14:textId="77777777" w:rsidR="007718A0" w:rsidRPr="0098660A" w:rsidRDefault="007718A0" w:rsidP="004908CF">
            <w:pPr>
              <w:keepNext/>
              <w:keepLines/>
              <w:jc w:val="center"/>
              <w:rPr>
                <w:rFonts w:ascii="Arial Narrow" w:hAnsi="Arial Narrow"/>
                <w:b/>
                <w:bCs/>
              </w:rPr>
            </w:pPr>
            <w:r w:rsidRPr="0098660A">
              <w:rPr>
                <w:rFonts w:ascii="Arial Narrow" w:hAnsi="Arial Narrow"/>
                <w:b/>
                <w:bCs/>
              </w:rPr>
              <w:t>Available brands</w:t>
            </w:r>
          </w:p>
        </w:tc>
      </w:tr>
      <w:tr w:rsidR="007718A0" w:rsidRPr="0098660A" w14:paraId="57BB7077" w14:textId="77777777" w:rsidTr="008A048F">
        <w:trPr>
          <w:gridAfter w:val="1"/>
          <w:wAfter w:w="22" w:type="dxa"/>
          <w:trHeight w:val="232"/>
        </w:trPr>
        <w:tc>
          <w:tcPr>
            <w:tcW w:w="9021" w:type="dxa"/>
            <w:gridSpan w:val="6"/>
          </w:tcPr>
          <w:p w14:paraId="26990758" w14:textId="77777777" w:rsidR="007718A0" w:rsidRPr="0098660A" w:rsidRDefault="007718A0" w:rsidP="004908CF">
            <w:pPr>
              <w:keepNext/>
              <w:keepLines/>
              <w:rPr>
                <w:rFonts w:ascii="Arial Narrow" w:hAnsi="Arial Narrow"/>
                <w:sz w:val="20"/>
                <w:szCs w:val="20"/>
              </w:rPr>
            </w:pPr>
            <w:r w:rsidRPr="0098660A">
              <w:rPr>
                <w:rFonts w:ascii="Arial Narrow" w:hAnsi="Arial Narrow"/>
                <w:sz w:val="20"/>
                <w:szCs w:val="20"/>
              </w:rPr>
              <w:t>RAVULIZUMAB</w:t>
            </w:r>
          </w:p>
        </w:tc>
      </w:tr>
      <w:tr w:rsidR="007718A0" w:rsidRPr="0098660A" w14:paraId="0589A6AA" w14:textId="77777777" w:rsidTr="008A048F">
        <w:trPr>
          <w:gridAfter w:val="1"/>
          <w:wAfter w:w="22" w:type="dxa"/>
          <w:trHeight w:val="481"/>
        </w:trPr>
        <w:tc>
          <w:tcPr>
            <w:tcW w:w="2922" w:type="dxa"/>
          </w:tcPr>
          <w:p w14:paraId="4CD67998" w14:textId="77777777" w:rsidR="007718A0" w:rsidRPr="0098660A" w:rsidRDefault="007718A0" w:rsidP="004908CF">
            <w:pPr>
              <w:keepNext/>
              <w:keepLines/>
              <w:rPr>
                <w:rFonts w:ascii="Arial Narrow" w:hAnsi="Arial Narrow"/>
                <w:sz w:val="20"/>
                <w:szCs w:val="20"/>
              </w:rPr>
            </w:pPr>
            <w:r w:rsidRPr="0098660A">
              <w:rPr>
                <w:rFonts w:ascii="Arial Narrow" w:hAnsi="Arial Narrow"/>
                <w:sz w:val="20"/>
                <w:szCs w:val="20"/>
              </w:rPr>
              <w:t>ravulizumab 300 mg/3 mL injection, 3 mL vial </w:t>
            </w:r>
          </w:p>
        </w:tc>
        <w:tc>
          <w:tcPr>
            <w:tcW w:w="1280" w:type="dxa"/>
          </w:tcPr>
          <w:p w14:paraId="5B03996E" w14:textId="77777777" w:rsidR="007718A0" w:rsidRPr="0098660A" w:rsidRDefault="007718A0" w:rsidP="004908CF">
            <w:pPr>
              <w:keepNext/>
              <w:keepLines/>
              <w:jc w:val="center"/>
              <w:rPr>
                <w:rFonts w:ascii="Arial Narrow" w:hAnsi="Arial Narrow"/>
                <w:sz w:val="20"/>
                <w:szCs w:val="20"/>
              </w:rPr>
            </w:pPr>
            <w:r w:rsidRPr="0098660A">
              <w:rPr>
                <w:rFonts w:ascii="Arial Narrow" w:hAnsi="Arial Narrow"/>
                <w:sz w:val="20"/>
                <w:szCs w:val="20"/>
              </w:rPr>
              <w:t>12898W (Public)</w:t>
            </w:r>
          </w:p>
          <w:p w14:paraId="3421E94D" w14:textId="77777777" w:rsidR="007718A0" w:rsidRPr="0098660A" w:rsidRDefault="007718A0" w:rsidP="004908CF">
            <w:pPr>
              <w:keepNext/>
              <w:keepLines/>
              <w:jc w:val="center"/>
              <w:rPr>
                <w:rFonts w:ascii="Arial Narrow" w:hAnsi="Arial Narrow"/>
                <w:sz w:val="20"/>
                <w:szCs w:val="20"/>
              </w:rPr>
            </w:pPr>
            <w:r w:rsidRPr="0098660A">
              <w:rPr>
                <w:rFonts w:ascii="Arial Narrow" w:hAnsi="Arial Narrow"/>
                <w:sz w:val="20"/>
                <w:szCs w:val="20"/>
              </w:rPr>
              <w:t>12841W (Private)</w:t>
            </w:r>
          </w:p>
        </w:tc>
        <w:tc>
          <w:tcPr>
            <w:tcW w:w="841" w:type="dxa"/>
          </w:tcPr>
          <w:p w14:paraId="14000EBC" w14:textId="77777777" w:rsidR="007718A0" w:rsidRPr="0098660A" w:rsidRDefault="007718A0" w:rsidP="004908CF">
            <w:pPr>
              <w:keepNext/>
              <w:keepLines/>
              <w:jc w:val="center"/>
              <w:rPr>
                <w:rFonts w:ascii="Arial Narrow" w:hAnsi="Arial Narrow"/>
                <w:sz w:val="20"/>
                <w:szCs w:val="20"/>
              </w:rPr>
            </w:pPr>
            <w:r w:rsidRPr="0098660A">
              <w:rPr>
                <w:rFonts w:ascii="Arial Narrow" w:hAnsi="Arial Narrow"/>
                <w:sz w:val="20"/>
                <w:szCs w:val="20"/>
              </w:rPr>
              <w:t>1</w:t>
            </w:r>
          </w:p>
        </w:tc>
        <w:tc>
          <w:tcPr>
            <w:tcW w:w="878" w:type="dxa"/>
          </w:tcPr>
          <w:p w14:paraId="6141FB04" w14:textId="77777777" w:rsidR="007718A0" w:rsidRPr="0098660A" w:rsidRDefault="007718A0" w:rsidP="004908CF">
            <w:pPr>
              <w:keepNext/>
              <w:keepLines/>
              <w:jc w:val="center"/>
              <w:rPr>
                <w:rFonts w:ascii="Arial Narrow" w:hAnsi="Arial Narrow"/>
                <w:sz w:val="20"/>
                <w:szCs w:val="20"/>
              </w:rPr>
            </w:pPr>
            <w:r w:rsidRPr="0098660A">
              <w:rPr>
                <w:rFonts w:ascii="Arial Narrow" w:hAnsi="Arial Narrow"/>
                <w:sz w:val="20"/>
                <w:szCs w:val="20"/>
              </w:rPr>
              <w:t>1</w:t>
            </w:r>
          </w:p>
        </w:tc>
        <w:tc>
          <w:tcPr>
            <w:tcW w:w="1167" w:type="dxa"/>
          </w:tcPr>
          <w:p w14:paraId="3B47B58D" w14:textId="77777777" w:rsidR="007718A0" w:rsidRPr="0098660A" w:rsidRDefault="007718A0" w:rsidP="004908CF">
            <w:pPr>
              <w:keepNext/>
              <w:keepLines/>
              <w:jc w:val="center"/>
              <w:rPr>
                <w:rFonts w:ascii="Arial Narrow" w:hAnsi="Arial Narrow"/>
                <w:sz w:val="20"/>
                <w:szCs w:val="20"/>
              </w:rPr>
            </w:pPr>
            <w:r w:rsidRPr="0098660A">
              <w:rPr>
                <w:rFonts w:ascii="Arial Narrow" w:hAnsi="Arial Narrow"/>
                <w:sz w:val="20"/>
                <w:szCs w:val="20"/>
              </w:rPr>
              <w:t>0</w:t>
            </w:r>
          </w:p>
        </w:tc>
        <w:tc>
          <w:tcPr>
            <w:tcW w:w="1933" w:type="dxa"/>
            <w:vMerge w:val="restart"/>
          </w:tcPr>
          <w:p w14:paraId="490CA7AE" w14:textId="77777777" w:rsidR="007718A0" w:rsidRPr="0098660A" w:rsidRDefault="007718A0" w:rsidP="004908CF">
            <w:pPr>
              <w:keepNext/>
              <w:keepLines/>
              <w:jc w:val="center"/>
              <w:rPr>
                <w:rFonts w:ascii="Arial Narrow" w:hAnsi="Arial Narrow"/>
                <w:sz w:val="20"/>
                <w:szCs w:val="20"/>
              </w:rPr>
            </w:pPr>
            <w:r w:rsidRPr="0098660A">
              <w:rPr>
                <w:rFonts w:ascii="Arial Narrow" w:hAnsi="Arial Narrow"/>
                <w:sz w:val="20"/>
                <w:szCs w:val="20"/>
              </w:rPr>
              <w:t>Ultomiris</w:t>
            </w:r>
          </w:p>
        </w:tc>
      </w:tr>
      <w:tr w:rsidR="007718A0" w:rsidRPr="0098660A" w14:paraId="06C73E8D" w14:textId="77777777" w:rsidTr="008A048F">
        <w:trPr>
          <w:gridAfter w:val="1"/>
          <w:wAfter w:w="22" w:type="dxa"/>
          <w:trHeight w:val="481"/>
        </w:trPr>
        <w:tc>
          <w:tcPr>
            <w:tcW w:w="2922" w:type="dxa"/>
          </w:tcPr>
          <w:p w14:paraId="0CCB832E" w14:textId="77777777" w:rsidR="007718A0" w:rsidRPr="0098660A" w:rsidRDefault="007718A0" w:rsidP="004908CF">
            <w:pPr>
              <w:keepNext/>
              <w:keepLines/>
              <w:rPr>
                <w:rFonts w:ascii="Arial Narrow" w:hAnsi="Arial Narrow"/>
                <w:sz w:val="20"/>
                <w:szCs w:val="20"/>
              </w:rPr>
            </w:pPr>
            <w:r w:rsidRPr="0098660A">
              <w:rPr>
                <w:rFonts w:ascii="Arial Narrow" w:hAnsi="Arial Narrow"/>
                <w:sz w:val="20"/>
                <w:szCs w:val="20"/>
              </w:rPr>
              <w:t>ravulizumab 1.1 g/11 mL injection, 11 mL vial </w:t>
            </w:r>
          </w:p>
        </w:tc>
        <w:tc>
          <w:tcPr>
            <w:tcW w:w="1280" w:type="dxa"/>
          </w:tcPr>
          <w:p w14:paraId="767430C2" w14:textId="77777777" w:rsidR="007718A0" w:rsidRPr="0098660A" w:rsidRDefault="007718A0" w:rsidP="004908CF">
            <w:pPr>
              <w:keepNext/>
              <w:keepLines/>
              <w:jc w:val="center"/>
              <w:rPr>
                <w:rFonts w:ascii="Arial Narrow" w:hAnsi="Arial Narrow"/>
                <w:sz w:val="20"/>
                <w:szCs w:val="20"/>
              </w:rPr>
            </w:pPr>
            <w:r w:rsidRPr="0098660A">
              <w:rPr>
                <w:rFonts w:ascii="Arial Narrow" w:hAnsi="Arial Narrow"/>
                <w:sz w:val="20"/>
                <w:szCs w:val="20"/>
              </w:rPr>
              <w:t>12856P (Public)</w:t>
            </w:r>
          </w:p>
          <w:p w14:paraId="627F7364" w14:textId="77777777" w:rsidR="007718A0" w:rsidRPr="0098660A" w:rsidRDefault="007718A0" w:rsidP="004908CF">
            <w:pPr>
              <w:keepNext/>
              <w:keepLines/>
              <w:jc w:val="center"/>
              <w:rPr>
                <w:rFonts w:ascii="Arial Narrow" w:hAnsi="Arial Narrow"/>
                <w:sz w:val="20"/>
                <w:szCs w:val="20"/>
              </w:rPr>
            </w:pPr>
            <w:r w:rsidRPr="0098660A">
              <w:rPr>
                <w:rFonts w:ascii="Arial Narrow" w:hAnsi="Arial Narrow"/>
                <w:sz w:val="20"/>
                <w:szCs w:val="20"/>
              </w:rPr>
              <w:t>12901B (Private)</w:t>
            </w:r>
          </w:p>
        </w:tc>
        <w:tc>
          <w:tcPr>
            <w:tcW w:w="841" w:type="dxa"/>
          </w:tcPr>
          <w:p w14:paraId="4E7AB957" w14:textId="77777777" w:rsidR="007718A0" w:rsidRPr="0098660A" w:rsidRDefault="007718A0" w:rsidP="004908CF">
            <w:pPr>
              <w:keepNext/>
              <w:keepLines/>
              <w:jc w:val="center"/>
              <w:rPr>
                <w:rFonts w:ascii="Arial Narrow" w:hAnsi="Arial Narrow"/>
                <w:sz w:val="20"/>
                <w:szCs w:val="20"/>
              </w:rPr>
            </w:pPr>
            <w:r w:rsidRPr="0098660A">
              <w:rPr>
                <w:rFonts w:ascii="Arial Narrow" w:hAnsi="Arial Narrow"/>
                <w:sz w:val="20"/>
                <w:szCs w:val="20"/>
              </w:rPr>
              <w:t>1</w:t>
            </w:r>
          </w:p>
        </w:tc>
        <w:tc>
          <w:tcPr>
            <w:tcW w:w="878" w:type="dxa"/>
          </w:tcPr>
          <w:p w14:paraId="55251BAA" w14:textId="77777777" w:rsidR="007718A0" w:rsidRPr="0098660A" w:rsidRDefault="007718A0" w:rsidP="004908CF">
            <w:pPr>
              <w:keepNext/>
              <w:keepLines/>
              <w:jc w:val="center"/>
              <w:rPr>
                <w:rFonts w:ascii="Arial Narrow" w:hAnsi="Arial Narrow"/>
                <w:sz w:val="20"/>
                <w:szCs w:val="20"/>
              </w:rPr>
            </w:pPr>
            <w:r w:rsidRPr="0098660A">
              <w:rPr>
                <w:rFonts w:ascii="Arial Narrow" w:hAnsi="Arial Narrow"/>
                <w:sz w:val="20"/>
                <w:szCs w:val="20"/>
              </w:rPr>
              <w:t>1</w:t>
            </w:r>
          </w:p>
        </w:tc>
        <w:tc>
          <w:tcPr>
            <w:tcW w:w="1167" w:type="dxa"/>
          </w:tcPr>
          <w:p w14:paraId="0BA33987" w14:textId="77777777" w:rsidR="007718A0" w:rsidRPr="0098660A" w:rsidRDefault="007718A0" w:rsidP="004908CF">
            <w:pPr>
              <w:keepNext/>
              <w:keepLines/>
              <w:jc w:val="center"/>
              <w:rPr>
                <w:rFonts w:ascii="Arial Narrow" w:hAnsi="Arial Narrow"/>
                <w:sz w:val="20"/>
                <w:szCs w:val="20"/>
              </w:rPr>
            </w:pPr>
            <w:r w:rsidRPr="0098660A">
              <w:rPr>
                <w:rFonts w:ascii="Arial Narrow" w:hAnsi="Arial Narrow"/>
                <w:sz w:val="20"/>
                <w:szCs w:val="20"/>
              </w:rPr>
              <w:t>0</w:t>
            </w:r>
          </w:p>
        </w:tc>
        <w:tc>
          <w:tcPr>
            <w:tcW w:w="1933" w:type="dxa"/>
            <w:vMerge/>
          </w:tcPr>
          <w:p w14:paraId="0FE2B1AF" w14:textId="77777777" w:rsidR="007718A0" w:rsidRPr="0098660A" w:rsidRDefault="007718A0" w:rsidP="004908CF">
            <w:pPr>
              <w:keepNext/>
              <w:keepLines/>
              <w:jc w:val="center"/>
              <w:rPr>
                <w:rFonts w:ascii="Arial Narrow" w:hAnsi="Arial Narrow"/>
                <w:sz w:val="20"/>
                <w:szCs w:val="20"/>
              </w:rPr>
            </w:pPr>
          </w:p>
        </w:tc>
      </w:tr>
      <w:tr w:rsidR="007718A0" w:rsidRPr="0098660A" w14:paraId="27508B86" w14:textId="77777777" w:rsidTr="008A048F">
        <w:trPr>
          <w:gridAfter w:val="1"/>
          <w:wAfter w:w="22" w:type="dxa"/>
          <w:trHeight w:val="279"/>
        </w:trPr>
        <w:tc>
          <w:tcPr>
            <w:tcW w:w="9021" w:type="dxa"/>
            <w:gridSpan w:val="6"/>
          </w:tcPr>
          <w:p w14:paraId="24B74EA3" w14:textId="77777777" w:rsidR="007718A0" w:rsidRPr="0098660A" w:rsidRDefault="007718A0" w:rsidP="004908CF">
            <w:pPr>
              <w:keepNext/>
              <w:keepLines/>
              <w:rPr>
                <w:rFonts w:ascii="Arial Narrow" w:hAnsi="Arial Narrow"/>
              </w:rPr>
            </w:pPr>
          </w:p>
        </w:tc>
      </w:tr>
      <w:tr w:rsidR="007718A0" w:rsidRPr="0098660A" w14:paraId="5F286873" w14:textId="77777777" w:rsidTr="008A048F">
        <w:trPr>
          <w:gridAfter w:val="1"/>
          <w:wAfter w:w="22" w:type="dxa"/>
          <w:trHeight w:val="232"/>
        </w:trPr>
        <w:tc>
          <w:tcPr>
            <w:tcW w:w="9021" w:type="dxa"/>
            <w:gridSpan w:val="6"/>
          </w:tcPr>
          <w:p w14:paraId="58055205" w14:textId="77777777" w:rsidR="007718A0" w:rsidRPr="0098660A" w:rsidRDefault="007718A0" w:rsidP="004908CF">
            <w:pPr>
              <w:keepNext/>
              <w:keepLines/>
              <w:rPr>
                <w:rFonts w:ascii="Arial Narrow" w:hAnsi="Arial Narrow"/>
                <w:b/>
                <w:bCs/>
                <w:sz w:val="20"/>
                <w:szCs w:val="20"/>
              </w:rPr>
            </w:pPr>
            <w:r w:rsidRPr="0098660A">
              <w:rPr>
                <w:rFonts w:ascii="Arial Narrow" w:hAnsi="Arial Narrow"/>
                <w:b/>
                <w:bCs/>
                <w:sz w:val="20"/>
                <w:szCs w:val="20"/>
              </w:rPr>
              <w:t>Restriction Summary edit 14533 / Treatment of Concept: edit 14477</w:t>
            </w:r>
          </w:p>
        </w:tc>
      </w:tr>
      <w:tr w:rsidR="008A048F" w:rsidRPr="0098660A" w14:paraId="165E7ADC" w14:textId="77777777" w:rsidTr="008A048F">
        <w:trPr>
          <w:trHeight w:val="279"/>
        </w:trPr>
        <w:tc>
          <w:tcPr>
            <w:tcW w:w="9043" w:type="dxa"/>
            <w:gridSpan w:val="7"/>
          </w:tcPr>
          <w:p w14:paraId="12104CC9" w14:textId="77777777" w:rsidR="008A048F" w:rsidRPr="0098660A" w:rsidRDefault="008A048F" w:rsidP="004908CF">
            <w:pPr>
              <w:keepNext/>
              <w:keepLines/>
              <w:rPr>
                <w:rFonts w:ascii="Arial Narrow" w:hAnsi="Arial Narrow"/>
                <w:sz w:val="20"/>
                <w:szCs w:val="20"/>
              </w:rPr>
            </w:pPr>
            <w:r w:rsidRPr="0098660A">
              <w:rPr>
                <w:rFonts w:ascii="Arial Narrow" w:hAnsi="Arial Narrow"/>
                <w:b/>
                <w:bCs/>
                <w:sz w:val="20"/>
                <w:szCs w:val="20"/>
              </w:rPr>
              <w:t>Indication:</w:t>
            </w:r>
            <w:r w:rsidRPr="0098660A">
              <w:rPr>
                <w:rFonts w:ascii="Arial Narrow" w:hAnsi="Arial Narrow"/>
                <w:sz w:val="20"/>
                <w:szCs w:val="20"/>
              </w:rPr>
              <w:t xml:space="preserve"> Paroxysmal nocturnal haemoglobinuria (PNH)</w:t>
            </w:r>
          </w:p>
        </w:tc>
      </w:tr>
      <w:tr w:rsidR="008A048F" w:rsidRPr="0098660A" w14:paraId="33354D8A" w14:textId="77777777" w:rsidTr="008A048F">
        <w:trPr>
          <w:trHeight w:val="279"/>
        </w:trPr>
        <w:tc>
          <w:tcPr>
            <w:tcW w:w="9043" w:type="dxa"/>
            <w:gridSpan w:val="7"/>
          </w:tcPr>
          <w:p w14:paraId="1CB0518D" w14:textId="59B863E9" w:rsidR="008A048F" w:rsidRPr="0098660A" w:rsidRDefault="008A048F" w:rsidP="004908CF">
            <w:pPr>
              <w:keepNext/>
              <w:keepLines/>
              <w:rPr>
                <w:rFonts w:ascii="Arial Narrow" w:hAnsi="Arial Narrow"/>
                <w:sz w:val="20"/>
                <w:szCs w:val="20"/>
              </w:rPr>
            </w:pPr>
            <w:r w:rsidRPr="0098660A">
              <w:rPr>
                <w:rFonts w:ascii="Arial Narrow" w:hAnsi="Arial Narrow"/>
                <w:b/>
                <w:bCs/>
                <w:sz w:val="20"/>
                <w:szCs w:val="20"/>
              </w:rPr>
              <w:t xml:space="preserve">Treatment Phase: </w:t>
            </w:r>
            <w:r w:rsidRPr="0098660A">
              <w:rPr>
                <w:rFonts w:ascii="Arial Narrow" w:hAnsi="Arial Narrow"/>
                <w:sz w:val="20"/>
                <w:szCs w:val="20"/>
              </w:rPr>
              <w:t xml:space="preserve"> </w:t>
            </w:r>
            <w:r w:rsidRPr="0098660A">
              <w:rPr>
                <w:rFonts w:ascii="Arial Narrow" w:hAnsi="Arial Narrow"/>
                <w:i/>
                <w:iCs/>
                <w:sz w:val="20"/>
                <w:szCs w:val="20"/>
              </w:rPr>
              <w:t xml:space="preserve">Switching </w:t>
            </w:r>
            <w:r w:rsidRPr="0098660A">
              <w:rPr>
                <w:rFonts w:ascii="Arial Narrow" w:hAnsi="Arial Narrow"/>
                <w:strike/>
                <w:sz w:val="20"/>
                <w:szCs w:val="20"/>
              </w:rPr>
              <w:t>Return</w:t>
            </w:r>
            <w:r w:rsidRPr="0098660A">
              <w:rPr>
                <w:rFonts w:ascii="Arial Narrow" w:hAnsi="Arial Narrow"/>
                <w:i/>
                <w:iCs/>
                <w:sz w:val="20"/>
                <w:szCs w:val="20"/>
              </w:rPr>
              <w:t xml:space="preserve"> </w:t>
            </w:r>
            <w:r w:rsidRPr="0098660A">
              <w:rPr>
                <w:rFonts w:ascii="Arial Narrow" w:hAnsi="Arial Narrow"/>
                <w:sz w:val="20"/>
                <w:szCs w:val="20"/>
              </w:rPr>
              <w:t>from PBS subsidised pegcetacoplan or iptacopan - induction doses</w:t>
            </w:r>
          </w:p>
        </w:tc>
      </w:tr>
      <w:tr w:rsidR="008A048F" w:rsidRPr="0098660A" w14:paraId="052DDC23" w14:textId="77777777" w:rsidTr="008A048F">
        <w:trPr>
          <w:trHeight w:val="279"/>
        </w:trPr>
        <w:tc>
          <w:tcPr>
            <w:tcW w:w="9043" w:type="dxa"/>
            <w:gridSpan w:val="7"/>
          </w:tcPr>
          <w:p w14:paraId="6F28A424" w14:textId="77777777" w:rsidR="008A048F" w:rsidRPr="0098660A" w:rsidRDefault="008A048F" w:rsidP="004908CF">
            <w:pPr>
              <w:keepNext/>
              <w:keepLines/>
              <w:rPr>
                <w:rFonts w:ascii="Arial Narrow" w:hAnsi="Arial Narrow"/>
                <w:b/>
                <w:bCs/>
                <w:strike/>
                <w:sz w:val="20"/>
                <w:szCs w:val="20"/>
              </w:rPr>
            </w:pPr>
            <w:r w:rsidRPr="0098660A">
              <w:rPr>
                <w:rFonts w:ascii="Arial Narrow" w:hAnsi="Arial Narrow"/>
                <w:b/>
                <w:bCs/>
                <w:strike/>
                <w:sz w:val="20"/>
                <w:szCs w:val="20"/>
              </w:rPr>
              <w:t xml:space="preserve">Clinical criteria: </w:t>
            </w:r>
          </w:p>
        </w:tc>
      </w:tr>
      <w:tr w:rsidR="008A048F" w:rsidRPr="0098660A" w14:paraId="0AC24EEA" w14:textId="77777777" w:rsidTr="008A048F">
        <w:trPr>
          <w:trHeight w:val="279"/>
        </w:trPr>
        <w:tc>
          <w:tcPr>
            <w:tcW w:w="9043" w:type="dxa"/>
            <w:gridSpan w:val="7"/>
          </w:tcPr>
          <w:p w14:paraId="2BB646AE" w14:textId="77777777" w:rsidR="008A048F" w:rsidRPr="0098660A" w:rsidRDefault="008A048F" w:rsidP="004908CF">
            <w:pPr>
              <w:keepNext/>
              <w:keepLines/>
              <w:rPr>
                <w:rFonts w:ascii="Arial Narrow" w:hAnsi="Arial Narrow"/>
                <w:strike/>
                <w:sz w:val="20"/>
                <w:szCs w:val="20"/>
              </w:rPr>
            </w:pPr>
            <w:r w:rsidRPr="0098660A">
              <w:rPr>
                <w:rFonts w:ascii="Arial Narrow" w:hAnsi="Arial Narrow"/>
                <w:strike/>
                <w:sz w:val="20"/>
                <w:szCs w:val="20"/>
              </w:rPr>
              <w:t>Patient must have received PBS-subsidised treatment with at least one Complement 5 (C5) inhibitor</w:t>
            </w:r>
            <w:r w:rsidRPr="0098660A">
              <w:rPr>
                <w:rFonts w:ascii="Arial Narrow" w:hAnsi="Arial Narrow"/>
                <w:i/>
                <w:iCs/>
                <w:strike/>
                <w:sz w:val="20"/>
                <w:szCs w:val="20"/>
              </w:rPr>
              <w:t xml:space="preserve"> </w:t>
            </w:r>
            <w:r w:rsidRPr="0098660A">
              <w:rPr>
                <w:rFonts w:ascii="Arial Narrow" w:hAnsi="Arial Narrow"/>
                <w:strike/>
                <w:sz w:val="20"/>
                <w:szCs w:val="20"/>
              </w:rPr>
              <w:t>for this condition</w:t>
            </w:r>
          </w:p>
        </w:tc>
      </w:tr>
      <w:tr w:rsidR="008A048F" w:rsidRPr="0098660A" w14:paraId="74876A01" w14:textId="77777777" w:rsidTr="008A048F">
        <w:trPr>
          <w:trHeight w:val="279"/>
        </w:trPr>
        <w:tc>
          <w:tcPr>
            <w:tcW w:w="9043" w:type="dxa"/>
            <w:gridSpan w:val="7"/>
          </w:tcPr>
          <w:p w14:paraId="2CCAA0CC" w14:textId="77777777" w:rsidR="008A048F" w:rsidRPr="0098660A" w:rsidRDefault="008A048F" w:rsidP="004908CF">
            <w:pPr>
              <w:keepNext/>
              <w:keepLines/>
              <w:rPr>
                <w:rFonts w:ascii="Arial Narrow" w:hAnsi="Arial Narrow"/>
                <w:b/>
                <w:bCs/>
                <w:strike/>
                <w:sz w:val="20"/>
                <w:szCs w:val="20"/>
              </w:rPr>
            </w:pPr>
            <w:r w:rsidRPr="0098660A">
              <w:rPr>
                <w:rFonts w:ascii="Arial Narrow" w:hAnsi="Arial Narrow"/>
                <w:b/>
                <w:bCs/>
                <w:strike/>
                <w:sz w:val="20"/>
                <w:szCs w:val="20"/>
              </w:rPr>
              <w:t>AND</w:t>
            </w:r>
          </w:p>
        </w:tc>
      </w:tr>
      <w:tr w:rsidR="008A048F" w:rsidRPr="0098660A" w14:paraId="696AC35D" w14:textId="77777777" w:rsidTr="008A048F">
        <w:trPr>
          <w:trHeight w:val="279"/>
        </w:trPr>
        <w:tc>
          <w:tcPr>
            <w:tcW w:w="9043" w:type="dxa"/>
            <w:gridSpan w:val="7"/>
          </w:tcPr>
          <w:p w14:paraId="6D477545" w14:textId="77777777" w:rsidR="008A048F" w:rsidRPr="0098660A" w:rsidRDefault="008A048F" w:rsidP="004908CF">
            <w:pPr>
              <w:keepNext/>
              <w:keepLines/>
              <w:rPr>
                <w:rFonts w:ascii="Arial Narrow" w:hAnsi="Arial Narrow"/>
                <w:sz w:val="20"/>
                <w:szCs w:val="20"/>
              </w:rPr>
            </w:pPr>
            <w:r w:rsidRPr="0098660A">
              <w:rPr>
                <w:rFonts w:ascii="Arial Narrow" w:hAnsi="Arial Narrow"/>
                <w:b/>
                <w:bCs/>
                <w:sz w:val="20"/>
                <w:szCs w:val="20"/>
              </w:rPr>
              <w:t xml:space="preserve">Clinical criteria: </w:t>
            </w:r>
          </w:p>
        </w:tc>
      </w:tr>
      <w:tr w:rsidR="008A048F" w:rsidRPr="0098660A" w14:paraId="42ECF460" w14:textId="77777777" w:rsidTr="008A048F">
        <w:trPr>
          <w:trHeight w:val="279"/>
        </w:trPr>
        <w:tc>
          <w:tcPr>
            <w:tcW w:w="9043" w:type="dxa"/>
            <w:gridSpan w:val="7"/>
          </w:tcPr>
          <w:p w14:paraId="0220E48F" w14:textId="77777777" w:rsidR="008A048F" w:rsidRPr="0098660A" w:rsidRDefault="008A048F" w:rsidP="004908CF">
            <w:pPr>
              <w:keepNext/>
              <w:keepLines/>
              <w:rPr>
                <w:rFonts w:ascii="Arial Narrow" w:hAnsi="Arial Narrow"/>
                <w:sz w:val="20"/>
                <w:szCs w:val="20"/>
              </w:rPr>
            </w:pPr>
            <w:r w:rsidRPr="0098660A">
              <w:rPr>
                <w:rFonts w:ascii="Arial Narrow" w:hAnsi="Arial Narrow"/>
                <w:sz w:val="20"/>
                <w:szCs w:val="20"/>
              </w:rPr>
              <w:t>Patient must have received PBS-subsidised treatment with either (i) pegcetacoplan, (ii) iptacopan for this condition</w:t>
            </w:r>
          </w:p>
        </w:tc>
      </w:tr>
      <w:tr w:rsidR="008A048F" w:rsidRPr="0098660A" w14:paraId="7EA8442F" w14:textId="77777777" w:rsidTr="008A048F">
        <w:trPr>
          <w:trHeight w:val="279"/>
        </w:trPr>
        <w:tc>
          <w:tcPr>
            <w:tcW w:w="9043" w:type="dxa"/>
            <w:gridSpan w:val="7"/>
          </w:tcPr>
          <w:p w14:paraId="088C04FE" w14:textId="77777777" w:rsidR="008A048F" w:rsidRPr="0098660A" w:rsidRDefault="008A048F" w:rsidP="004908CF">
            <w:pPr>
              <w:keepNext/>
              <w:keepLines/>
              <w:rPr>
                <w:rFonts w:ascii="Arial Narrow" w:hAnsi="Arial Narrow"/>
                <w:sz w:val="20"/>
                <w:szCs w:val="20"/>
              </w:rPr>
            </w:pPr>
            <w:r w:rsidRPr="0098660A">
              <w:rPr>
                <w:rFonts w:ascii="Arial Narrow" w:hAnsi="Arial Narrow"/>
                <w:b/>
                <w:bCs/>
                <w:sz w:val="20"/>
                <w:szCs w:val="20"/>
              </w:rPr>
              <w:t>AND</w:t>
            </w:r>
          </w:p>
        </w:tc>
      </w:tr>
      <w:tr w:rsidR="008A048F" w:rsidRPr="0098660A" w14:paraId="51C05402" w14:textId="77777777" w:rsidTr="008A048F">
        <w:trPr>
          <w:trHeight w:val="279"/>
        </w:trPr>
        <w:tc>
          <w:tcPr>
            <w:tcW w:w="9043" w:type="dxa"/>
            <w:gridSpan w:val="7"/>
          </w:tcPr>
          <w:p w14:paraId="52F9BC79" w14:textId="77777777" w:rsidR="008A048F" w:rsidRPr="0098660A" w:rsidRDefault="008A048F" w:rsidP="004908CF">
            <w:pPr>
              <w:keepNext/>
              <w:keepLines/>
              <w:rPr>
                <w:rFonts w:ascii="Arial Narrow" w:hAnsi="Arial Narrow"/>
                <w:sz w:val="20"/>
                <w:szCs w:val="20"/>
              </w:rPr>
            </w:pPr>
            <w:r w:rsidRPr="0098660A">
              <w:rPr>
                <w:rFonts w:ascii="Arial Narrow" w:hAnsi="Arial Narrow"/>
                <w:b/>
                <w:bCs/>
                <w:sz w:val="20"/>
                <w:szCs w:val="20"/>
              </w:rPr>
              <w:t xml:space="preserve">Clinical criteria: </w:t>
            </w:r>
          </w:p>
        </w:tc>
      </w:tr>
      <w:tr w:rsidR="008A048F" w:rsidRPr="0098660A" w14:paraId="7DC113A2" w14:textId="77777777" w:rsidTr="008A048F">
        <w:trPr>
          <w:trHeight w:val="279"/>
        </w:trPr>
        <w:tc>
          <w:tcPr>
            <w:tcW w:w="9043" w:type="dxa"/>
            <w:gridSpan w:val="7"/>
          </w:tcPr>
          <w:p w14:paraId="3ED7F439" w14:textId="77777777" w:rsidR="008A048F" w:rsidRPr="0098660A" w:rsidRDefault="008A048F" w:rsidP="004908CF">
            <w:pPr>
              <w:keepNext/>
              <w:keepLines/>
              <w:rPr>
                <w:rFonts w:ascii="Arial Narrow" w:hAnsi="Arial Narrow"/>
                <w:sz w:val="20"/>
                <w:szCs w:val="20"/>
              </w:rPr>
            </w:pPr>
            <w:r w:rsidRPr="0098660A">
              <w:rPr>
                <w:rFonts w:ascii="Arial Narrow" w:hAnsi="Arial Narrow"/>
                <w:sz w:val="20"/>
                <w:szCs w:val="20"/>
              </w:rPr>
              <w:t>Patient must have developed resistance or intolerance to either (i) pegcetacoplan, (ii) iptacopan</w:t>
            </w:r>
          </w:p>
        </w:tc>
      </w:tr>
      <w:tr w:rsidR="008A048F" w:rsidRPr="0098660A" w14:paraId="1D27E42A" w14:textId="77777777" w:rsidTr="008A048F">
        <w:trPr>
          <w:trHeight w:val="279"/>
        </w:trPr>
        <w:tc>
          <w:tcPr>
            <w:tcW w:w="9043" w:type="dxa"/>
            <w:gridSpan w:val="7"/>
          </w:tcPr>
          <w:p w14:paraId="72DCD6C3" w14:textId="77777777" w:rsidR="008A048F" w:rsidRPr="0098660A" w:rsidRDefault="008A048F" w:rsidP="004908CF">
            <w:pPr>
              <w:keepNext/>
              <w:keepLines/>
              <w:rPr>
                <w:rFonts w:ascii="Arial Narrow" w:hAnsi="Arial Narrow"/>
                <w:sz w:val="20"/>
                <w:szCs w:val="20"/>
              </w:rPr>
            </w:pPr>
            <w:r w:rsidRPr="0098660A">
              <w:rPr>
                <w:rFonts w:ascii="Arial Narrow" w:hAnsi="Arial Narrow"/>
                <w:b/>
                <w:bCs/>
                <w:sz w:val="20"/>
                <w:szCs w:val="20"/>
              </w:rPr>
              <w:t>AND</w:t>
            </w:r>
          </w:p>
        </w:tc>
      </w:tr>
      <w:tr w:rsidR="008A048F" w:rsidRPr="0098660A" w14:paraId="722E1D9B" w14:textId="77777777" w:rsidTr="008A048F">
        <w:trPr>
          <w:trHeight w:val="279"/>
        </w:trPr>
        <w:tc>
          <w:tcPr>
            <w:tcW w:w="9043" w:type="dxa"/>
            <w:gridSpan w:val="7"/>
          </w:tcPr>
          <w:p w14:paraId="368046EF" w14:textId="77777777" w:rsidR="008A048F" w:rsidRPr="0098660A" w:rsidRDefault="008A048F" w:rsidP="004908CF">
            <w:pPr>
              <w:keepNext/>
              <w:keepLines/>
              <w:rPr>
                <w:rFonts w:ascii="Arial Narrow" w:hAnsi="Arial Narrow"/>
                <w:sz w:val="20"/>
                <w:szCs w:val="20"/>
              </w:rPr>
            </w:pPr>
            <w:r w:rsidRPr="0098660A">
              <w:rPr>
                <w:rFonts w:ascii="Arial Narrow" w:hAnsi="Arial Narrow"/>
                <w:b/>
                <w:bCs/>
                <w:sz w:val="20"/>
                <w:szCs w:val="20"/>
              </w:rPr>
              <w:t xml:space="preserve">Clinical criteria: </w:t>
            </w:r>
          </w:p>
        </w:tc>
      </w:tr>
      <w:tr w:rsidR="008A048F" w:rsidRPr="0098660A" w14:paraId="3A233461" w14:textId="77777777" w:rsidTr="008A048F">
        <w:trPr>
          <w:trHeight w:val="279"/>
        </w:trPr>
        <w:tc>
          <w:tcPr>
            <w:tcW w:w="9043" w:type="dxa"/>
            <w:gridSpan w:val="7"/>
          </w:tcPr>
          <w:p w14:paraId="2B38B923" w14:textId="77777777" w:rsidR="008A048F" w:rsidRPr="0098660A" w:rsidRDefault="008A048F" w:rsidP="004908CF">
            <w:pPr>
              <w:keepNext/>
              <w:keepLines/>
              <w:rPr>
                <w:rFonts w:ascii="Arial Narrow" w:hAnsi="Arial Narrow"/>
                <w:sz w:val="20"/>
                <w:szCs w:val="20"/>
              </w:rPr>
            </w:pPr>
            <w:r w:rsidRPr="0098660A">
              <w:rPr>
                <w:rFonts w:ascii="Arial Narrow" w:hAnsi="Arial Narrow"/>
                <w:sz w:val="20"/>
                <w:szCs w:val="20"/>
              </w:rPr>
              <w:t>The treatment must be the sole PBS-subsidised therapy for this condition.</w:t>
            </w:r>
          </w:p>
        </w:tc>
      </w:tr>
      <w:tr w:rsidR="008A048F" w:rsidRPr="0098660A" w14:paraId="4D556B52" w14:textId="77777777" w:rsidTr="008A048F">
        <w:trPr>
          <w:trHeight w:val="279"/>
        </w:trPr>
        <w:tc>
          <w:tcPr>
            <w:tcW w:w="9043" w:type="dxa"/>
            <w:gridSpan w:val="7"/>
          </w:tcPr>
          <w:p w14:paraId="72554C1A" w14:textId="77777777" w:rsidR="008A048F" w:rsidRPr="0098660A" w:rsidRDefault="008A048F" w:rsidP="004908CF">
            <w:pPr>
              <w:keepNext/>
              <w:keepLines/>
              <w:rPr>
                <w:rFonts w:ascii="Arial Narrow" w:hAnsi="Arial Narrow"/>
                <w:b/>
                <w:bCs/>
                <w:sz w:val="20"/>
                <w:szCs w:val="20"/>
              </w:rPr>
            </w:pPr>
            <w:r w:rsidRPr="0098660A">
              <w:rPr>
                <w:rFonts w:ascii="Arial Narrow" w:hAnsi="Arial Narrow"/>
                <w:b/>
                <w:bCs/>
                <w:sz w:val="20"/>
                <w:szCs w:val="20"/>
              </w:rPr>
              <w:t xml:space="preserve">Treatment criteria: </w:t>
            </w:r>
          </w:p>
        </w:tc>
      </w:tr>
      <w:tr w:rsidR="008A048F" w:rsidRPr="0098660A" w14:paraId="6165814F" w14:textId="77777777" w:rsidTr="008A048F">
        <w:trPr>
          <w:trHeight w:val="279"/>
        </w:trPr>
        <w:tc>
          <w:tcPr>
            <w:tcW w:w="9043" w:type="dxa"/>
            <w:gridSpan w:val="7"/>
          </w:tcPr>
          <w:p w14:paraId="499482AA" w14:textId="77777777" w:rsidR="008A048F" w:rsidRPr="0098660A" w:rsidRDefault="008A048F" w:rsidP="004908CF">
            <w:pPr>
              <w:keepNext/>
              <w:keepLines/>
              <w:rPr>
                <w:rFonts w:ascii="Arial Narrow" w:hAnsi="Arial Narrow"/>
                <w:sz w:val="20"/>
                <w:szCs w:val="20"/>
              </w:rPr>
            </w:pPr>
            <w:r w:rsidRPr="0098660A">
              <w:rPr>
                <w:rFonts w:ascii="Arial Narrow" w:hAnsi="Arial Narrow"/>
                <w:sz w:val="20"/>
                <w:szCs w:val="20"/>
              </w:rPr>
              <w:t>Must be treated by a haematologist; or</w:t>
            </w:r>
          </w:p>
        </w:tc>
      </w:tr>
      <w:tr w:rsidR="008A048F" w:rsidRPr="0098660A" w14:paraId="58002655" w14:textId="77777777" w:rsidTr="008A048F">
        <w:trPr>
          <w:trHeight w:val="279"/>
        </w:trPr>
        <w:tc>
          <w:tcPr>
            <w:tcW w:w="9043" w:type="dxa"/>
            <w:gridSpan w:val="7"/>
          </w:tcPr>
          <w:p w14:paraId="4525D8EF" w14:textId="77777777" w:rsidR="008A048F" w:rsidRPr="0098660A" w:rsidRDefault="008A048F" w:rsidP="004908CF">
            <w:pPr>
              <w:keepLines/>
              <w:rPr>
                <w:rFonts w:ascii="Arial Narrow" w:hAnsi="Arial Narrow"/>
                <w:sz w:val="20"/>
                <w:szCs w:val="20"/>
              </w:rPr>
            </w:pPr>
            <w:r w:rsidRPr="0098660A">
              <w:rPr>
                <w:rFonts w:ascii="Arial Narrow" w:hAnsi="Arial Narrow"/>
                <w:sz w:val="20"/>
                <w:szCs w:val="20"/>
              </w:rPr>
              <w:t>Must be treated by a non-specialist medical physician who has consulted a haematologist on the patient’s drug treatment details</w:t>
            </w:r>
          </w:p>
        </w:tc>
      </w:tr>
    </w:tbl>
    <w:p w14:paraId="51D78AFE" w14:textId="77777777" w:rsidR="007718A0" w:rsidRPr="0098660A" w:rsidRDefault="007718A0" w:rsidP="004908CF">
      <w:pPr>
        <w:pStyle w:val="3-BodyText"/>
      </w:pPr>
      <w:r w:rsidRPr="0098660A">
        <w:t xml:space="preserve">Amend a clinical criterion in the iptacopan restrictions (to be PBS listed) to allow switching from PBS subsidised pegcetacoplan at any line of therapy to iptacopan. </w:t>
      </w:r>
    </w:p>
    <w:p w14:paraId="656C3A91" w14:textId="7015F8EC" w:rsidR="007718A0" w:rsidRPr="0098660A" w:rsidRDefault="007718A0" w:rsidP="004908CF">
      <w:pPr>
        <w:pStyle w:val="5-SubsectionSubheading"/>
      </w:pPr>
      <w:r w:rsidRPr="0098660A">
        <w:t>Iptacopan</w:t>
      </w:r>
    </w:p>
    <w:tbl>
      <w:tblPr>
        <w:tblStyle w:val="TableGrid"/>
        <w:tblW w:w="9072" w:type="dxa"/>
        <w:tblInd w:w="-5" w:type="dxa"/>
        <w:tblLook w:val="04A0" w:firstRow="1" w:lastRow="0" w:firstColumn="1" w:lastColumn="0" w:noHBand="0" w:noVBand="1"/>
      </w:tblPr>
      <w:tblGrid>
        <w:gridCol w:w="2922"/>
        <w:gridCol w:w="1047"/>
        <w:gridCol w:w="1074"/>
        <w:gridCol w:w="878"/>
        <w:gridCol w:w="797"/>
        <w:gridCol w:w="2303"/>
        <w:gridCol w:w="51"/>
      </w:tblGrid>
      <w:tr w:rsidR="007718A0" w:rsidRPr="0098660A" w14:paraId="5484A49E" w14:textId="77777777" w:rsidTr="00C61CD9">
        <w:trPr>
          <w:gridAfter w:val="1"/>
          <w:wAfter w:w="51" w:type="dxa"/>
          <w:trHeight w:val="559"/>
        </w:trPr>
        <w:tc>
          <w:tcPr>
            <w:tcW w:w="2922" w:type="dxa"/>
          </w:tcPr>
          <w:p w14:paraId="040FB2CF" w14:textId="77777777" w:rsidR="007718A0" w:rsidRPr="0098660A" w:rsidRDefault="007718A0" w:rsidP="000E2127">
            <w:pPr>
              <w:jc w:val="center"/>
              <w:rPr>
                <w:rFonts w:ascii="Arial Narrow" w:hAnsi="Arial Narrow"/>
                <w:b/>
                <w:bCs/>
              </w:rPr>
            </w:pPr>
            <w:r w:rsidRPr="0098660A">
              <w:rPr>
                <w:rFonts w:ascii="Arial Narrow" w:hAnsi="Arial Narrow"/>
                <w:b/>
                <w:bCs/>
              </w:rPr>
              <w:t>MEDICINAL PRODUCT Medicinal Product pack</w:t>
            </w:r>
          </w:p>
        </w:tc>
        <w:tc>
          <w:tcPr>
            <w:tcW w:w="1047" w:type="dxa"/>
          </w:tcPr>
          <w:p w14:paraId="694B526A" w14:textId="77777777" w:rsidR="007718A0" w:rsidRPr="0098660A" w:rsidRDefault="007718A0" w:rsidP="000E2127">
            <w:pPr>
              <w:jc w:val="center"/>
              <w:rPr>
                <w:rFonts w:ascii="Arial Narrow" w:hAnsi="Arial Narrow"/>
                <w:b/>
                <w:bCs/>
              </w:rPr>
            </w:pPr>
            <w:r w:rsidRPr="0098660A">
              <w:rPr>
                <w:rFonts w:ascii="Arial Narrow" w:hAnsi="Arial Narrow"/>
                <w:b/>
                <w:bCs/>
              </w:rPr>
              <w:t>PBS item code</w:t>
            </w:r>
          </w:p>
        </w:tc>
        <w:tc>
          <w:tcPr>
            <w:tcW w:w="1074" w:type="dxa"/>
          </w:tcPr>
          <w:p w14:paraId="09A59496" w14:textId="77777777" w:rsidR="007718A0" w:rsidRPr="0098660A" w:rsidRDefault="007718A0" w:rsidP="000E2127">
            <w:pPr>
              <w:jc w:val="center"/>
              <w:rPr>
                <w:rFonts w:ascii="Arial Narrow" w:hAnsi="Arial Narrow"/>
                <w:b/>
                <w:bCs/>
              </w:rPr>
            </w:pPr>
            <w:r w:rsidRPr="0098660A">
              <w:rPr>
                <w:rFonts w:ascii="Arial Narrow" w:hAnsi="Arial Narrow"/>
                <w:b/>
                <w:bCs/>
              </w:rPr>
              <w:t>Max. qty packs</w:t>
            </w:r>
          </w:p>
        </w:tc>
        <w:tc>
          <w:tcPr>
            <w:tcW w:w="878" w:type="dxa"/>
          </w:tcPr>
          <w:p w14:paraId="3041FD6F" w14:textId="77777777" w:rsidR="007718A0" w:rsidRPr="0098660A" w:rsidRDefault="007718A0" w:rsidP="000E2127">
            <w:pPr>
              <w:jc w:val="center"/>
              <w:rPr>
                <w:rFonts w:ascii="Arial Narrow" w:hAnsi="Arial Narrow"/>
                <w:b/>
                <w:bCs/>
              </w:rPr>
            </w:pPr>
            <w:r w:rsidRPr="0098660A">
              <w:rPr>
                <w:rFonts w:ascii="Arial Narrow" w:hAnsi="Arial Narrow"/>
                <w:b/>
                <w:bCs/>
              </w:rPr>
              <w:t>Max. qty units</w:t>
            </w:r>
          </w:p>
        </w:tc>
        <w:tc>
          <w:tcPr>
            <w:tcW w:w="797" w:type="dxa"/>
          </w:tcPr>
          <w:p w14:paraId="6EA454FA" w14:textId="77777777" w:rsidR="007718A0" w:rsidRPr="0098660A" w:rsidRDefault="007718A0" w:rsidP="000E2127">
            <w:pPr>
              <w:jc w:val="center"/>
              <w:rPr>
                <w:rFonts w:ascii="Arial Narrow" w:hAnsi="Arial Narrow"/>
                <w:b/>
                <w:bCs/>
              </w:rPr>
            </w:pPr>
            <w:r w:rsidRPr="0098660A">
              <w:rPr>
                <w:rFonts w:ascii="Arial Narrow" w:hAnsi="Arial Narrow"/>
                <w:b/>
                <w:bCs/>
              </w:rPr>
              <w:t>№. of Rpts</w:t>
            </w:r>
          </w:p>
        </w:tc>
        <w:tc>
          <w:tcPr>
            <w:tcW w:w="2303" w:type="dxa"/>
          </w:tcPr>
          <w:p w14:paraId="315CE9DE" w14:textId="77777777" w:rsidR="007718A0" w:rsidRPr="0098660A" w:rsidRDefault="007718A0" w:rsidP="000E2127">
            <w:pPr>
              <w:jc w:val="center"/>
              <w:rPr>
                <w:rFonts w:ascii="Arial Narrow" w:hAnsi="Arial Narrow"/>
                <w:b/>
                <w:bCs/>
              </w:rPr>
            </w:pPr>
            <w:r w:rsidRPr="0098660A">
              <w:rPr>
                <w:rFonts w:ascii="Arial Narrow" w:hAnsi="Arial Narrow"/>
                <w:b/>
                <w:bCs/>
              </w:rPr>
              <w:t>Available brands</w:t>
            </w:r>
          </w:p>
        </w:tc>
      </w:tr>
      <w:tr w:rsidR="007718A0" w:rsidRPr="0098660A" w14:paraId="0855E812" w14:textId="77777777" w:rsidTr="00C61CD9">
        <w:trPr>
          <w:gridAfter w:val="1"/>
          <w:wAfter w:w="51" w:type="dxa"/>
          <w:trHeight w:val="232"/>
        </w:trPr>
        <w:tc>
          <w:tcPr>
            <w:tcW w:w="9021" w:type="dxa"/>
            <w:gridSpan w:val="6"/>
          </w:tcPr>
          <w:p w14:paraId="7FAC195C" w14:textId="77777777" w:rsidR="007718A0" w:rsidRPr="0098660A" w:rsidRDefault="007718A0" w:rsidP="000E2127">
            <w:pPr>
              <w:rPr>
                <w:rFonts w:ascii="Arial Narrow" w:hAnsi="Arial Narrow"/>
                <w:sz w:val="20"/>
                <w:szCs w:val="20"/>
              </w:rPr>
            </w:pPr>
            <w:r w:rsidRPr="0098660A">
              <w:rPr>
                <w:rFonts w:ascii="Arial Narrow" w:hAnsi="Arial Narrow"/>
                <w:sz w:val="20"/>
                <w:szCs w:val="20"/>
              </w:rPr>
              <w:t>IPTACOPAN</w:t>
            </w:r>
          </w:p>
        </w:tc>
      </w:tr>
      <w:tr w:rsidR="007718A0" w:rsidRPr="0098660A" w14:paraId="657AACFF" w14:textId="77777777" w:rsidTr="00C61CD9">
        <w:trPr>
          <w:gridAfter w:val="1"/>
          <w:wAfter w:w="51" w:type="dxa"/>
          <w:trHeight w:val="481"/>
        </w:trPr>
        <w:tc>
          <w:tcPr>
            <w:tcW w:w="2922" w:type="dxa"/>
          </w:tcPr>
          <w:p w14:paraId="62B4A193" w14:textId="77777777" w:rsidR="007718A0" w:rsidRPr="0098660A" w:rsidRDefault="007718A0" w:rsidP="000E2127">
            <w:pPr>
              <w:rPr>
                <w:rFonts w:ascii="Arial Narrow" w:hAnsi="Arial Narrow"/>
                <w:sz w:val="20"/>
                <w:szCs w:val="20"/>
              </w:rPr>
            </w:pPr>
            <w:r w:rsidRPr="0098660A">
              <w:rPr>
                <w:rFonts w:ascii="Arial Narrow" w:hAnsi="Arial Narrow"/>
                <w:sz w:val="20"/>
                <w:szCs w:val="20"/>
              </w:rPr>
              <w:t>iptacopan 200 mg capsule, 56</w:t>
            </w:r>
          </w:p>
        </w:tc>
        <w:tc>
          <w:tcPr>
            <w:tcW w:w="1047" w:type="dxa"/>
          </w:tcPr>
          <w:p w14:paraId="46A77698" w14:textId="77777777" w:rsidR="007718A0" w:rsidRPr="0098660A" w:rsidRDefault="007718A0" w:rsidP="000E2127">
            <w:pPr>
              <w:jc w:val="center"/>
              <w:rPr>
                <w:rFonts w:ascii="Arial Narrow" w:hAnsi="Arial Narrow"/>
                <w:sz w:val="20"/>
                <w:szCs w:val="20"/>
              </w:rPr>
            </w:pPr>
            <w:r w:rsidRPr="0098660A">
              <w:rPr>
                <w:rFonts w:ascii="Arial Narrow" w:hAnsi="Arial Narrow"/>
                <w:sz w:val="20"/>
                <w:szCs w:val="20"/>
              </w:rPr>
              <w:t>NEW</w:t>
            </w:r>
          </w:p>
        </w:tc>
        <w:tc>
          <w:tcPr>
            <w:tcW w:w="1074" w:type="dxa"/>
          </w:tcPr>
          <w:p w14:paraId="217D782B" w14:textId="77777777" w:rsidR="007718A0" w:rsidRPr="0098660A" w:rsidRDefault="007718A0" w:rsidP="000E2127">
            <w:pPr>
              <w:jc w:val="center"/>
              <w:rPr>
                <w:rFonts w:ascii="Arial Narrow" w:hAnsi="Arial Narrow"/>
                <w:sz w:val="20"/>
                <w:szCs w:val="20"/>
              </w:rPr>
            </w:pPr>
            <w:r w:rsidRPr="0098660A">
              <w:rPr>
                <w:rFonts w:ascii="Arial Narrow" w:hAnsi="Arial Narrow"/>
                <w:sz w:val="20"/>
                <w:szCs w:val="20"/>
              </w:rPr>
              <w:t>1</w:t>
            </w:r>
          </w:p>
        </w:tc>
        <w:tc>
          <w:tcPr>
            <w:tcW w:w="878" w:type="dxa"/>
          </w:tcPr>
          <w:p w14:paraId="6577C004" w14:textId="77777777" w:rsidR="007718A0" w:rsidRPr="0098660A" w:rsidRDefault="007718A0" w:rsidP="000E2127">
            <w:pPr>
              <w:jc w:val="center"/>
              <w:rPr>
                <w:rFonts w:ascii="Arial Narrow" w:hAnsi="Arial Narrow"/>
                <w:sz w:val="20"/>
                <w:szCs w:val="20"/>
              </w:rPr>
            </w:pPr>
            <w:r w:rsidRPr="0098660A">
              <w:rPr>
                <w:rFonts w:ascii="Arial Narrow" w:hAnsi="Arial Narrow"/>
                <w:sz w:val="20"/>
                <w:szCs w:val="20"/>
              </w:rPr>
              <w:t>56</w:t>
            </w:r>
          </w:p>
        </w:tc>
        <w:tc>
          <w:tcPr>
            <w:tcW w:w="797" w:type="dxa"/>
          </w:tcPr>
          <w:p w14:paraId="3E0E54B6" w14:textId="77777777" w:rsidR="007718A0" w:rsidRPr="0098660A" w:rsidRDefault="007718A0" w:rsidP="000E2127">
            <w:pPr>
              <w:jc w:val="center"/>
              <w:rPr>
                <w:rFonts w:ascii="Arial Narrow" w:hAnsi="Arial Narrow"/>
                <w:sz w:val="20"/>
                <w:szCs w:val="20"/>
              </w:rPr>
            </w:pPr>
            <w:r w:rsidRPr="0098660A">
              <w:rPr>
                <w:rFonts w:ascii="Arial Narrow" w:hAnsi="Arial Narrow"/>
                <w:sz w:val="20"/>
                <w:szCs w:val="20"/>
              </w:rPr>
              <w:t>5</w:t>
            </w:r>
          </w:p>
        </w:tc>
        <w:tc>
          <w:tcPr>
            <w:tcW w:w="2303" w:type="dxa"/>
          </w:tcPr>
          <w:p w14:paraId="46D49C3D" w14:textId="77777777" w:rsidR="007718A0" w:rsidRPr="0098660A" w:rsidRDefault="007718A0" w:rsidP="000E2127">
            <w:pPr>
              <w:jc w:val="center"/>
              <w:rPr>
                <w:rFonts w:ascii="Arial Narrow" w:hAnsi="Arial Narrow"/>
                <w:sz w:val="20"/>
                <w:szCs w:val="20"/>
              </w:rPr>
            </w:pPr>
            <w:r w:rsidRPr="0098660A">
              <w:rPr>
                <w:rFonts w:ascii="Arial Narrow" w:hAnsi="Arial Narrow"/>
                <w:sz w:val="20"/>
                <w:szCs w:val="20"/>
              </w:rPr>
              <w:t>Fabhalta</w:t>
            </w:r>
          </w:p>
        </w:tc>
      </w:tr>
      <w:tr w:rsidR="007718A0" w:rsidRPr="0098660A" w14:paraId="23A69281" w14:textId="77777777" w:rsidTr="00C61CD9">
        <w:trPr>
          <w:gridAfter w:val="1"/>
          <w:wAfter w:w="51" w:type="dxa"/>
          <w:trHeight w:val="279"/>
        </w:trPr>
        <w:tc>
          <w:tcPr>
            <w:tcW w:w="9021" w:type="dxa"/>
            <w:gridSpan w:val="6"/>
          </w:tcPr>
          <w:p w14:paraId="2E4B8E80" w14:textId="77777777" w:rsidR="007718A0" w:rsidRPr="0098660A" w:rsidRDefault="007718A0" w:rsidP="000E2127">
            <w:pPr>
              <w:rPr>
                <w:rFonts w:ascii="Arial Narrow" w:hAnsi="Arial Narrow"/>
              </w:rPr>
            </w:pPr>
          </w:p>
        </w:tc>
      </w:tr>
      <w:tr w:rsidR="007718A0" w:rsidRPr="0098660A" w14:paraId="1D00BF76" w14:textId="77777777" w:rsidTr="00C61CD9">
        <w:trPr>
          <w:gridAfter w:val="1"/>
          <w:wAfter w:w="51" w:type="dxa"/>
          <w:trHeight w:val="232"/>
        </w:trPr>
        <w:tc>
          <w:tcPr>
            <w:tcW w:w="9021" w:type="dxa"/>
            <w:gridSpan w:val="6"/>
          </w:tcPr>
          <w:p w14:paraId="484F15B6" w14:textId="1CEF7840" w:rsidR="007718A0" w:rsidRPr="0098660A" w:rsidRDefault="007718A0" w:rsidP="000E2127">
            <w:pPr>
              <w:rPr>
                <w:rFonts w:ascii="Arial Narrow" w:hAnsi="Arial Narrow"/>
                <w:b/>
                <w:bCs/>
                <w:sz w:val="20"/>
                <w:szCs w:val="20"/>
              </w:rPr>
            </w:pPr>
            <w:r w:rsidRPr="0098660A">
              <w:rPr>
                <w:rFonts w:ascii="Arial Narrow" w:hAnsi="Arial Narrow"/>
                <w:b/>
                <w:bCs/>
                <w:sz w:val="20"/>
                <w:szCs w:val="20"/>
              </w:rPr>
              <w:t>Restriction Summary [new</w:t>
            </w:r>
            <w:r w:rsidR="00784F05" w:rsidRPr="0098660A">
              <w:rPr>
                <w:rFonts w:ascii="Arial Narrow" w:hAnsi="Arial Narrow"/>
                <w:b/>
                <w:bCs/>
                <w:sz w:val="20"/>
                <w:szCs w:val="20"/>
              </w:rPr>
              <w:t>4</w:t>
            </w:r>
            <w:r w:rsidRPr="0098660A">
              <w:rPr>
                <w:rFonts w:ascii="Arial Narrow" w:hAnsi="Arial Narrow"/>
                <w:b/>
                <w:bCs/>
                <w:sz w:val="20"/>
                <w:szCs w:val="20"/>
              </w:rPr>
              <w:t>] / Treatment of Concept: [new</w:t>
            </w:r>
            <w:r w:rsidR="00784F05" w:rsidRPr="0098660A">
              <w:rPr>
                <w:rFonts w:ascii="Arial Narrow" w:hAnsi="Arial Narrow"/>
                <w:b/>
                <w:bCs/>
                <w:sz w:val="20"/>
                <w:szCs w:val="20"/>
              </w:rPr>
              <w:t>4</w:t>
            </w:r>
            <w:r w:rsidRPr="0098660A">
              <w:rPr>
                <w:rFonts w:ascii="Arial Narrow" w:hAnsi="Arial Narrow"/>
                <w:b/>
                <w:bCs/>
                <w:sz w:val="20"/>
                <w:szCs w:val="20"/>
              </w:rPr>
              <w:t>A]</w:t>
            </w:r>
          </w:p>
        </w:tc>
      </w:tr>
      <w:tr w:rsidR="00C61CD9" w:rsidRPr="0098660A" w14:paraId="41E92455" w14:textId="77777777" w:rsidTr="00C61CD9">
        <w:trPr>
          <w:trHeight w:val="279"/>
        </w:trPr>
        <w:tc>
          <w:tcPr>
            <w:tcW w:w="9072" w:type="dxa"/>
            <w:gridSpan w:val="7"/>
          </w:tcPr>
          <w:p w14:paraId="4C2BA86C" w14:textId="77777777" w:rsidR="00C61CD9" w:rsidRPr="0098660A" w:rsidRDefault="00C61CD9" w:rsidP="000E2127">
            <w:pPr>
              <w:rPr>
                <w:rFonts w:ascii="Arial Narrow" w:hAnsi="Arial Narrow"/>
                <w:sz w:val="20"/>
                <w:szCs w:val="20"/>
              </w:rPr>
            </w:pPr>
            <w:r w:rsidRPr="0098660A">
              <w:rPr>
                <w:rFonts w:ascii="Arial Narrow" w:hAnsi="Arial Narrow"/>
                <w:b/>
                <w:bCs/>
                <w:sz w:val="20"/>
                <w:szCs w:val="20"/>
              </w:rPr>
              <w:t>Indication:</w:t>
            </w:r>
            <w:r w:rsidRPr="0098660A">
              <w:rPr>
                <w:rFonts w:ascii="Arial Narrow" w:hAnsi="Arial Narrow"/>
                <w:sz w:val="20"/>
                <w:szCs w:val="20"/>
              </w:rPr>
              <w:t xml:space="preserve"> Paroxysmal nocturnal haemoglobinuria (PNH)</w:t>
            </w:r>
          </w:p>
        </w:tc>
      </w:tr>
      <w:tr w:rsidR="00C61CD9" w:rsidRPr="0098660A" w14:paraId="7B56ED14" w14:textId="77777777" w:rsidTr="00C61CD9">
        <w:trPr>
          <w:trHeight w:val="279"/>
        </w:trPr>
        <w:tc>
          <w:tcPr>
            <w:tcW w:w="9072" w:type="dxa"/>
            <w:gridSpan w:val="7"/>
          </w:tcPr>
          <w:p w14:paraId="784B49B0" w14:textId="77777777" w:rsidR="00C61CD9" w:rsidRPr="0098660A" w:rsidRDefault="00C61CD9" w:rsidP="000E2127">
            <w:pPr>
              <w:rPr>
                <w:rFonts w:ascii="Arial Narrow" w:hAnsi="Arial Narrow"/>
                <w:sz w:val="20"/>
                <w:szCs w:val="20"/>
              </w:rPr>
            </w:pPr>
            <w:r w:rsidRPr="0098660A">
              <w:rPr>
                <w:rFonts w:ascii="Arial Narrow" w:hAnsi="Arial Narrow"/>
                <w:b/>
                <w:bCs/>
                <w:sz w:val="20"/>
                <w:szCs w:val="20"/>
              </w:rPr>
              <w:t>Treatment Phase:</w:t>
            </w:r>
            <w:r w:rsidRPr="0098660A">
              <w:rPr>
                <w:rFonts w:ascii="Arial Narrow" w:hAnsi="Arial Narrow"/>
                <w:sz w:val="20"/>
                <w:szCs w:val="20"/>
              </w:rPr>
              <w:t xml:space="preserve"> Initial treatment (new patient)</w:t>
            </w:r>
          </w:p>
        </w:tc>
      </w:tr>
      <w:tr w:rsidR="00C61CD9" w:rsidRPr="0098660A" w14:paraId="7A72548E" w14:textId="77777777" w:rsidTr="00C61CD9">
        <w:trPr>
          <w:trHeight w:val="279"/>
        </w:trPr>
        <w:tc>
          <w:tcPr>
            <w:tcW w:w="9072" w:type="dxa"/>
            <w:gridSpan w:val="7"/>
          </w:tcPr>
          <w:p w14:paraId="2740C27F" w14:textId="77777777" w:rsidR="00C61CD9" w:rsidRPr="0098660A" w:rsidRDefault="00C61CD9" w:rsidP="000E2127">
            <w:pPr>
              <w:rPr>
                <w:rFonts w:ascii="Arial Narrow" w:hAnsi="Arial Narrow"/>
                <w:b/>
                <w:bCs/>
                <w:sz w:val="20"/>
                <w:szCs w:val="20"/>
              </w:rPr>
            </w:pPr>
            <w:r w:rsidRPr="0098660A">
              <w:rPr>
                <w:rFonts w:ascii="Arial Narrow" w:hAnsi="Arial Narrow"/>
                <w:b/>
                <w:bCs/>
                <w:sz w:val="20"/>
                <w:szCs w:val="20"/>
              </w:rPr>
              <w:t xml:space="preserve">Clinical criteria: </w:t>
            </w:r>
          </w:p>
        </w:tc>
      </w:tr>
      <w:tr w:rsidR="00C61CD9" w:rsidRPr="0098660A" w14:paraId="52D23347" w14:textId="77777777" w:rsidTr="00C61CD9">
        <w:trPr>
          <w:trHeight w:val="279"/>
        </w:trPr>
        <w:tc>
          <w:tcPr>
            <w:tcW w:w="9072" w:type="dxa"/>
            <w:gridSpan w:val="7"/>
          </w:tcPr>
          <w:p w14:paraId="43D16310" w14:textId="77777777" w:rsidR="00C61CD9" w:rsidRPr="0098660A" w:rsidRDefault="00C61CD9" w:rsidP="000E2127">
            <w:pPr>
              <w:rPr>
                <w:rFonts w:ascii="Arial Narrow" w:hAnsi="Arial Narrow"/>
                <w:sz w:val="20"/>
                <w:szCs w:val="20"/>
              </w:rPr>
            </w:pPr>
            <w:r w:rsidRPr="0098660A">
              <w:rPr>
                <w:rFonts w:ascii="Arial Narrow" w:hAnsi="Arial Narrow"/>
                <w:sz w:val="20"/>
                <w:szCs w:val="20"/>
              </w:rPr>
              <w:lastRenderedPageBreak/>
              <w:t>Patient must not have received prior treatment with this drug for this condition,</w:t>
            </w:r>
          </w:p>
        </w:tc>
      </w:tr>
      <w:tr w:rsidR="00C61CD9" w:rsidRPr="0098660A" w14:paraId="7A35ABBC" w14:textId="77777777" w:rsidTr="00C61CD9">
        <w:trPr>
          <w:trHeight w:val="279"/>
        </w:trPr>
        <w:tc>
          <w:tcPr>
            <w:tcW w:w="9072" w:type="dxa"/>
            <w:gridSpan w:val="7"/>
          </w:tcPr>
          <w:p w14:paraId="367323EA" w14:textId="77777777" w:rsidR="00C61CD9" w:rsidRPr="0098660A" w:rsidRDefault="00C61CD9" w:rsidP="000E2127">
            <w:pPr>
              <w:rPr>
                <w:rFonts w:ascii="Arial Narrow" w:hAnsi="Arial Narrow"/>
                <w:b/>
                <w:bCs/>
                <w:sz w:val="20"/>
                <w:szCs w:val="20"/>
              </w:rPr>
            </w:pPr>
            <w:r w:rsidRPr="0098660A">
              <w:rPr>
                <w:rFonts w:ascii="Arial Narrow" w:hAnsi="Arial Narrow"/>
                <w:b/>
                <w:bCs/>
                <w:sz w:val="20"/>
                <w:szCs w:val="20"/>
              </w:rPr>
              <w:t>AND</w:t>
            </w:r>
          </w:p>
        </w:tc>
      </w:tr>
      <w:tr w:rsidR="00C61CD9" w:rsidRPr="0098660A" w14:paraId="64E5076B" w14:textId="77777777" w:rsidTr="00C61CD9">
        <w:trPr>
          <w:trHeight w:val="279"/>
        </w:trPr>
        <w:tc>
          <w:tcPr>
            <w:tcW w:w="9072" w:type="dxa"/>
            <w:gridSpan w:val="7"/>
          </w:tcPr>
          <w:p w14:paraId="3CA36EF8" w14:textId="77777777" w:rsidR="00C61CD9" w:rsidRPr="0098660A" w:rsidRDefault="00C61CD9" w:rsidP="000E2127">
            <w:pPr>
              <w:rPr>
                <w:rFonts w:ascii="Arial Narrow" w:hAnsi="Arial Narrow"/>
                <w:sz w:val="20"/>
                <w:szCs w:val="20"/>
              </w:rPr>
            </w:pPr>
            <w:r w:rsidRPr="0098660A">
              <w:rPr>
                <w:rFonts w:ascii="Arial Narrow" w:hAnsi="Arial Narrow"/>
                <w:b/>
                <w:bCs/>
                <w:sz w:val="20"/>
                <w:szCs w:val="20"/>
              </w:rPr>
              <w:t xml:space="preserve">Clinical criteria: </w:t>
            </w:r>
          </w:p>
        </w:tc>
      </w:tr>
      <w:tr w:rsidR="00C61CD9" w:rsidRPr="0098660A" w14:paraId="378E39C4" w14:textId="77777777" w:rsidTr="00C61CD9">
        <w:trPr>
          <w:trHeight w:val="279"/>
        </w:trPr>
        <w:tc>
          <w:tcPr>
            <w:tcW w:w="9072" w:type="dxa"/>
            <w:gridSpan w:val="7"/>
          </w:tcPr>
          <w:p w14:paraId="47F5B0D8" w14:textId="77777777" w:rsidR="00C61CD9" w:rsidRPr="0098660A" w:rsidRDefault="00C61CD9" w:rsidP="000E2127">
            <w:pPr>
              <w:rPr>
                <w:rFonts w:ascii="Arial Narrow" w:hAnsi="Arial Narrow"/>
                <w:sz w:val="20"/>
                <w:szCs w:val="20"/>
              </w:rPr>
            </w:pPr>
            <w:r w:rsidRPr="0098660A">
              <w:rPr>
                <w:rFonts w:ascii="Arial Narrow" w:hAnsi="Arial Narrow"/>
                <w:sz w:val="20"/>
                <w:szCs w:val="20"/>
              </w:rPr>
              <w:t>Patient must have PNH granulocyte clone size equal to or greater than 10% within the last 3 months,</w:t>
            </w:r>
          </w:p>
        </w:tc>
      </w:tr>
      <w:tr w:rsidR="00C61CD9" w:rsidRPr="0098660A" w14:paraId="6903BC63" w14:textId="77777777" w:rsidTr="00C61CD9">
        <w:trPr>
          <w:trHeight w:val="279"/>
        </w:trPr>
        <w:tc>
          <w:tcPr>
            <w:tcW w:w="9072" w:type="dxa"/>
            <w:gridSpan w:val="7"/>
          </w:tcPr>
          <w:p w14:paraId="643BE66C" w14:textId="77777777" w:rsidR="00C61CD9" w:rsidRPr="0098660A" w:rsidRDefault="00C61CD9" w:rsidP="000E2127">
            <w:pPr>
              <w:rPr>
                <w:rFonts w:ascii="Arial Narrow" w:hAnsi="Arial Narrow"/>
                <w:sz w:val="20"/>
                <w:szCs w:val="20"/>
              </w:rPr>
            </w:pPr>
            <w:r w:rsidRPr="0098660A">
              <w:rPr>
                <w:rFonts w:ascii="Arial Narrow" w:hAnsi="Arial Narrow"/>
                <w:b/>
                <w:bCs/>
                <w:sz w:val="20"/>
                <w:szCs w:val="20"/>
              </w:rPr>
              <w:t>AND</w:t>
            </w:r>
          </w:p>
        </w:tc>
      </w:tr>
      <w:tr w:rsidR="00C61CD9" w:rsidRPr="0098660A" w14:paraId="04630BF4" w14:textId="77777777" w:rsidTr="00C61CD9">
        <w:trPr>
          <w:trHeight w:val="279"/>
        </w:trPr>
        <w:tc>
          <w:tcPr>
            <w:tcW w:w="9072" w:type="dxa"/>
            <w:gridSpan w:val="7"/>
          </w:tcPr>
          <w:p w14:paraId="0B562F58" w14:textId="77777777" w:rsidR="00C61CD9" w:rsidRPr="0098660A" w:rsidRDefault="00C61CD9" w:rsidP="000E2127">
            <w:pPr>
              <w:rPr>
                <w:rFonts w:ascii="Arial Narrow" w:hAnsi="Arial Narrow"/>
                <w:sz w:val="20"/>
                <w:szCs w:val="20"/>
              </w:rPr>
            </w:pPr>
            <w:r w:rsidRPr="0098660A">
              <w:rPr>
                <w:rFonts w:ascii="Arial Narrow" w:hAnsi="Arial Narrow"/>
                <w:b/>
                <w:bCs/>
                <w:sz w:val="20"/>
                <w:szCs w:val="20"/>
              </w:rPr>
              <w:t xml:space="preserve">Clinical criteria: </w:t>
            </w:r>
          </w:p>
        </w:tc>
      </w:tr>
      <w:tr w:rsidR="00C61CD9" w:rsidRPr="0098660A" w14:paraId="67290605" w14:textId="77777777" w:rsidTr="00C61CD9">
        <w:trPr>
          <w:trHeight w:val="279"/>
        </w:trPr>
        <w:tc>
          <w:tcPr>
            <w:tcW w:w="9072" w:type="dxa"/>
            <w:gridSpan w:val="7"/>
          </w:tcPr>
          <w:p w14:paraId="18AC272E" w14:textId="6ECD3B01" w:rsidR="00C61CD9" w:rsidRPr="0098660A" w:rsidRDefault="00C61CD9" w:rsidP="18CA8D4C">
            <w:pPr>
              <w:rPr>
                <w:rFonts w:ascii="Arial Narrow" w:hAnsi="Arial Narrow"/>
                <w:strike/>
                <w:sz w:val="20"/>
                <w:szCs w:val="20"/>
              </w:rPr>
            </w:pPr>
            <w:r w:rsidRPr="0098660A">
              <w:rPr>
                <w:rFonts w:ascii="Arial Narrow" w:hAnsi="Arial Narrow"/>
                <w:strike/>
                <w:sz w:val="20"/>
                <w:szCs w:val="20"/>
              </w:rPr>
              <w:t xml:space="preserve">Patient must have experienced an inadequate response to a Complement 5 (C5) inhibitor demonstrated by a haemoglobin level of less than 105 g/L; OR </w:t>
            </w:r>
          </w:p>
          <w:p w14:paraId="1178ED01" w14:textId="7D545AFA" w:rsidR="00C61CD9" w:rsidRPr="0098660A" w:rsidRDefault="00C61CD9" w:rsidP="296E6011">
            <w:pPr>
              <w:rPr>
                <w:rFonts w:ascii="Arial Narrow" w:hAnsi="Arial Narrow"/>
                <w:i/>
                <w:iCs/>
                <w:sz w:val="20"/>
                <w:szCs w:val="20"/>
              </w:rPr>
            </w:pPr>
            <w:r w:rsidRPr="0098660A">
              <w:rPr>
                <w:rFonts w:ascii="Arial Narrow" w:hAnsi="Arial Narrow"/>
                <w:i/>
                <w:iCs/>
                <w:sz w:val="20"/>
                <w:szCs w:val="20"/>
              </w:rPr>
              <w:t xml:space="preserve">Patient must have experienced an inadequate response/intolerance to </w:t>
            </w:r>
            <w:bookmarkStart w:id="101" w:name="_Int_a7nlDZ8O"/>
            <w:r w:rsidRPr="0098660A">
              <w:rPr>
                <w:rFonts w:ascii="Arial Narrow" w:hAnsi="Arial Narrow"/>
                <w:i/>
                <w:iCs/>
                <w:sz w:val="20"/>
                <w:szCs w:val="20"/>
              </w:rPr>
              <w:t>either:</w:t>
            </w:r>
            <w:bookmarkEnd w:id="101"/>
            <w:r w:rsidRPr="0098660A">
              <w:rPr>
                <w:rFonts w:ascii="Arial Narrow" w:hAnsi="Arial Narrow"/>
                <w:i/>
                <w:iCs/>
                <w:sz w:val="20"/>
                <w:szCs w:val="20"/>
              </w:rPr>
              <w:t xml:space="preserve"> (i) Complement (C5) inhibitor, (ii) pegcetacoplan.</w:t>
            </w:r>
          </w:p>
        </w:tc>
      </w:tr>
      <w:tr w:rsidR="00C61CD9" w:rsidRPr="0098660A" w14:paraId="5F3725B5" w14:textId="77777777" w:rsidTr="00C61CD9">
        <w:trPr>
          <w:trHeight w:val="279"/>
        </w:trPr>
        <w:tc>
          <w:tcPr>
            <w:tcW w:w="9072" w:type="dxa"/>
            <w:gridSpan w:val="7"/>
          </w:tcPr>
          <w:p w14:paraId="3816D6B1" w14:textId="6F685AF8" w:rsidR="00C61CD9" w:rsidRPr="0098660A" w:rsidRDefault="00C61CD9" w:rsidP="18CA8D4C">
            <w:pPr>
              <w:rPr>
                <w:rFonts w:ascii="Arial Narrow" w:hAnsi="Arial Narrow"/>
                <w:i/>
                <w:iCs/>
                <w:strike/>
                <w:sz w:val="20"/>
                <w:szCs w:val="20"/>
              </w:rPr>
            </w:pPr>
            <w:r w:rsidRPr="0098660A">
              <w:rPr>
                <w:rFonts w:ascii="Arial Narrow" w:hAnsi="Arial Narrow"/>
                <w:strike/>
                <w:sz w:val="20"/>
                <w:szCs w:val="20"/>
              </w:rPr>
              <w:t>Patient must be intolerant to C5 inhibitors as determined by the treating physician</w:t>
            </w:r>
          </w:p>
        </w:tc>
      </w:tr>
      <w:tr w:rsidR="00C61CD9" w:rsidRPr="0098660A" w14:paraId="16DC7341" w14:textId="77777777" w:rsidTr="00C61CD9">
        <w:trPr>
          <w:trHeight w:val="279"/>
        </w:trPr>
        <w:tc>
          <w:tcPr>
            <w:tcW w:w="9072" w:type="dxa"/>
            <w:gridSpan w:val="7"/>
          </w:tcPr>
          <w:p w14:paraId="2E5891C1" w14:textId="77777777" w:rsidR="00C61CD9" w:rsidRPr="0098660A" w:rsidRDefault="00C61CD9" w:rsidP="000E2127">
            <w:pPr>
              <w:rPr>
                <w:rFonts w:ascii="Arial Narrow" w:hAnsi="Arial Narrow"/>
                <w:sz w:val="20"/>
                <w:szCs w:val="20"/>
              </w:rPr>
            </w:pPr>
            <w:r w:rsidRPr="0098660A">
              <w:rPr>
                <w:rFonts w:ascii="Arial Narrow" w:hAnsi="Arial Narrow"/>
                <w:b/>
                <w:bCs/>
                <w:sz w:val="20"/>
                <w:szCs w:val="20"/>
              </w:rPr>
              <w:t>AND</w:t>
            </w:r>
          </w:p>
        </w:tc>
      </w:tr>
      <w:tr w:rsidR="00C61CD9" w:rsidRPr="0098660A" w14:paraId="3E975B2D" w14:textId="77777777" w:rsidTr="00C61CD9">
        <w:trPr>
          <w:trHeight w:val="279"/>
        </w:trPr>
        <w:tc>
          <w:tcPr>
            <w:tcW w:w="9072" w:type="dxa"/>
            <w:gridSpan w:val="7"/>
          </w:tcPr>
          <w:p w14:paraId="4AEE9A04" w14:textId="77777777" w:rsidR="00C61CD9" w:rsidRPr="0098660A" w:rsidRDefault="00C61CD9" w:rsidP="000E2127">
            <w:pPr>
              <w:rPr>
                <w:rFonts w:ascii="Arial Narrow" w:hAnsi="Arial Narrow"/>
                <w:sz w:val="20"/>
                <w:szCs w:val="20"/>
              </w:rPr>
            </w:pPr>
            <w:r w:rsidRPr="0098660A">
              <w:rPr>
                <w:rFonts w:ascii="Arial Narrow" w:hAnsi="Arial Narrow"/>
                <w:b/>
                <w:bCs/>
                <w:sz w:val="20"/>
                <w:szCs w:val="20"/>
              </w:rPr>
              <w:t xml:space="preserve">Clinical criteria: </w:t>
            </w:r>
          </w:p>
        </w:tc>
      </w:tr>
      <w:tr w:rsidR="00C61CD9" w:rsidRPr="0098660A" w14:paraId="19D782B2" w14:textId="77777777" w:rsidTr="00C61CD9">
        <w:trPr>
          <w:trHeight w:val="279"/>
        </w:trPr>
        <w:tc>
          <w:tcPr>
            <w:tcW w:w="9072" w:type="dxa"/>
            <w:gridSpan w:val="7"/>
          </w:tcPr>
          <w:p w14:paraId="234E9C86" w14:textId="77777777" w:rsidR="00C61CD9" w:rsidRPr="0098660A" w:rsidRDefault="00C61CD9" w:rsidP="000E2127">
            <w:pPr>
              <w:rPr>
                <w:rFonts w:ascii="Arial Narrow" w:hAnsi="Arial Narrow"/>
                <w:sz w:val="20"/>
                <w:szCs w:val="20"/>
              </w:rPr>
            </w:pPr>
            <w:r w:rsidRPr="0098660A">
              <w:rPr>
                <w:rFonts w:ascii="Arial Narrow" w:hAnsi="Arial Narrow"/>
                <w:sz w:val="20"/>
                <w:szCs w:val="20"/>
              </w:rPr>
              <w:t xml:space="preserve">Patient must have received treatment with at least one </w:t>
            </w:r>
            <w:r w:rsidRPr="0098660A">
              <w:rPr>
                <w:rFonts w:ascii="Arial Narrow" w:hAnsi="Arial Narrow"/>
                <w:strike/>
                <w:sz w:val="20"/>
                <w:szCs w:val="20"/>
              </w:rPr>
              <w:t>C5</w:t>
            </w:r>
            <w:r w:rsidRPr="0098660A">
              <w:rPr>
                <w:rFonts w:ascii="Arial Narrow" w:hAnsi="Arial Narrow"/>
                <w:sz w:val="20"/>
                <w:szCs w:val="20"/>
              </w:rPr>
              <w:t xml:space="preserve"> </w:t>
            </w:r>
            <w:r w:rsidRPr="0098660A">
              <w:rPr>
                <w:rFonts w:ascii="Arial Narrow" w:hAnsi="Arial Narrow"/>
                <w:i/>
                <w:iCs/>
                <w:sz w:val="20"/>
                <w:szCs w:val="20"/>
              </w:rPr>
              <w:t xml:space="preserve">Complement </w:t>
            </w:r>
            <w:r w:rsidRPr="0098660A">
              <w:rPr>
                <w:rFonts w:ascii="Arial Narrow" w:hAnsi="Arial Narrow"/>
                <w:sz w:val="20"/>
                <w:szCs w:val="20"/>
              </w:rPr>
              <w:t>inhibitor for at least 3 months before initiating treatment with this drug unless intolerance of severity necessitating permanent treatment withdrawal had occurred.</w:t>
            </w:r>
          </w:p>
        </w:tc>
      </w:tr>
      <w:tr w:rsidR="00C61CD9" w:rsidRPr="0098660A" w14:paraId="46EE87CB" w14:textId="77777777" w:rsidTr="00C61CD9">
        <w:trPr>
          <w:trHeight w:val="279"/>
        </w:trPr>
        <w:tc>
          <w:tcPr>
            <w:tcW w:w="9072" w:type="dxa"/>
            <w:gridSpan w:val="7"/>
          </w:tcPr>
          <w:p w14:paraId="33F48712" w14:textId="77777777" w:rsidR="00C61CD9" w:rsidRPr="0098660A" w:rsidRDefault="00C61CD9" w:rsidP="000E2127">
            <w:pPr>
              <w:rPr>
                <w:rFonts w:ascii="Arial Narrow" w:hAnsi="Arial Narrow"/>
                <w:sz w:val="20"/>
                <w:szCs w:val="20"/>
              </w:rPr>
            </w:pPr>
            <w:r w:rsidRPr="0098660A">
              <w:rPr>
                <w:rFonts w:ascii="Arial Narrow" w:hAnsi="Arial Narrow"/>
                <w:b/>
                <w:bCs/>
                <w:sz w:val="20"/>
                <w:szCs w:val="20"/>
              </w:rPr>
              <w:t>AND</w:t>
            </w:r>
          </w:p>
        </w:tc>
      </w:tr>
      <w:tr w:rsidR="00C61CD9" w:rsidRPr="0098660A" w14:paraId="420BCE52" w14:textId="77777777" w:rsidTr="00C61CD9">
        <w:trPr>
          <w:trHeight w:val="279"/>
        </w:trPr>
        <w:tc>
          <w:tcPr>
            <w:tcW w:w="9072" w:type="dxa"/>
            <w:gridSpan w:val="7"/>
          </w:tcPr>
          <w:p w14:paraId="6A14FBC6" w14:textId="77777777" w:rsidR="00C61CD9" w:rsidRPr="0098660A" w:rsidRDefault="00C61CD9" w:rsidP="000E2127">
            <w:pPr>
              <w:rPr>
                <w:rFonts w:ascii="Arial Narrow" w:hAnsi="Arial Narrow"/>
                <w:sz w:val="20"/>
                <w:szCs w:val="20"/>
              </w:rPr>
            </w:pPr>
            <w:r w:rsidRPr="0098660A">
              <w:rPr>
                <w:rFonts w:ascii="Arial Narrow" w:hAnsi="Arial Narrow"/>
                <w:b/>
                <w:bCs/>
                <w:sz w:val="20"/>
                <w:szCs w:val="20"/>
              </w:rPr>
              <w:t xml:space="preserve">Clinical criteria: </w:t>
            </w:r>
          </w:p>
        </w:tc>
      </w:tr>
      <w:tr w:rsidR="00C61CD9" w:rsidRPr="0098660A" w14:paraId="64A78097" w14:textId="77777777" w:rsidTr="00C61CD9">
        <w:trPr>
          <w:trHeight w:val="279"/>
        </w:trPr>
        <w:tc>
          <w:tcPr>
            <w:tcW w:w="9072" w:type="dxa"/>
            <w:gridSpan w:val="7"/>
          </w:tcPr>
          <w:p w14:paraId="7140F943" w14:textId="77777777" w:rsidR="00C61CD9" w:rsidRPr="0098660A" w:rsidRDefault="00C61CD9" w:rsidP="000E2127">
            <w:pPr>
              <w:rPr>
                <w:rFonts w:ascii="Arial Narrow" w:hAnsi="Arial Narrow"/>
                <w:sz w:val="20"/>
                <w:szCs w:val="20"/>
              </w:rPr>
            </w:pPr>
            <w:r w:rsidRPr="0098660A">
              <w:rPr>
                <w:rFonts w:ascii="Arial Narrow" w:hAnsi="Arial Narrow"/>
                <w:sz w:val="20"/>
                <w:szCs w:val="20"/>
              </w:rPr>
              <w:t>The treatment must be the sole PBS-subsidised therapy for this condition.</w:t>
            </w:r>
          </w:p>
        </w:tc>
      </w:tr>
      <w:tr w:rsidR="00C61CD9" w:rsidRPr="0098660A" w14:paraId="691B1E0B" w14:textId="77777777" w:rsidTr="00C61CD9">
        <w:trPr>
          <w:trHeight w:val="279"/>
        </w:trPr>
        <w:tc>
          <w:tcPr>
            <w:tcW w:w="9072" w:type="dxa"/>
            <w:gridSpan w:val="7"/>
          </w:tcPr>
          <w:p w14:paraId="6E12FA59" w14:textId="77777777" w:rsidR="00C61CD9" w:rsidRPr="0098660A" w:rsidRDefault="00C61CD9" w:rsidP="000E2127">
            <w:pPr>
              <w:rPr>
                <w:rFonts w:ascii="Arial Narrow" w:hAnsi="Arial Narrow"/>
                <w:b/>
                <w:bCs/>
                <w:sz w:val="20"/>
                <w:szCs w:val="20"/>
              </w:rPr>
            </w:pPr>
            <w:r w:rsidRPr="0098660A">
              <w:rPr>
                <w:rFonts w:ascii="Arial Narrow" w:hAnsi="Arial Narrow"/>
                <w:b/>
                <w:bCs/>
                <w:sz w:val="20"/>
                <w:szCs w:val="20"/>
              </w:rPr>
              <w:t xml:space="preserve">Treatment criteria: </w:t>
            </w:r>
          </w:p>
        </w:tc>
      </w:tr>
      <w:tr w:rsidR="00C61CD9" w:rsidRPr="0098660A" w14:paraId="10D59BC8" w14:textId="77777777" w:rsidTr="00C61CD9">
        <w:trPr>
          <w:trHeight w:val="279"/>
        </w:trPr>
        <w:tc>
          <w:tcPr>
            <w:tcW w:w="9072" w:type="dxa"/>
            <w:gridSpan w:val="7"/>
          </w:tcPr>
          <w:p w14:paraId="05CC7C9F" w14:textId="77777777" w:rsidR="00C61CD9" w:rsidRPr="0098660A" w:rsidRDefault="00C61CD9" w:rsidP="000E2127">
            <w:pPr>
              <w:rPr>
                <w:rFonts w:ascii="Arial Narrow" w:hAnsi="Arial Narrow"/>
                <w:sz w:val="20"/>
                <w:szCs w:val="20"/>
              </w:rPr>
            </w:pPr>
            <w:r w:rsidRPr="0098660A">
              <w:rPr>
                <w:rFonts w:ascii="Arial Narrow" w:hAnsi="Arial Narrow"/>
                <w:sz w:val="20"/>
                <w:szCs w:val="20"/>
              </w:rPr>
              <w:t>Must be treated by a haematologist; or</w:t>
            </w:r>
          </w:p>
        </w:tc>
      </w:tr>
      <w:tr w:rsidR="00C61CD9" w:rsidRPr="0098660A" w14:paraId="34A37AFC" w14:textId="77777777" w:rsidTr="00C61CD9">
        <w:trPr>
          <w:trHeight w:val="279"/>
        </w:trPr>
        <w:tc>
          <w:tcPr>
            <w:tcW w:w="9072" w:type="dxa"/>
            <w:gridSpan w:val="7"/>
          </w:tcPr>
          <w:p w14:paraId="6217584D" w14:textId="77777777" w:rsidR="00C61CD9" w:rsidRPr="0098660A" w:rsidRDefault="00C61CD9" w:rsidP="000E2127">
            <w:pPr>
              <w:rPr>
                <w:rFonts w:ascii="Arial Narrow" w:hAnsi="Arial Narrow"/>
                <w:sz w:val="20"/>
                <w:szCs w:val="20"/>
              </w:rPr>
            </w:pPr>
            <w:r w:rsidRPr="0098660A">
              <w:rPr>
                <w:rFonts w:ascii="Arial Narrow" w:hAnsi="Arial Narrow"/>
                <w:sz w:val="20"/>
                <w:szCs w:val="20"/>
              </w:rPr>
              <w:t>Must be treated by a non-specialist medical physician who has consulted a haematologist on the patient’s drug treatment details</w:t>
            </w:r>
          </w:p>
        </w:tc>
      </w:tr>
    </w:tbl>
    <w:p w14:paraId="0B354595" w14:textId="20CA6727" w:rsidR="00D271C8" w:rsidRPr="0098660A" w:rsidRDefault="00EC7C47" w:rsidP="00ED1CDC">
      <w:pPr>
        <w:spacing w:before="120"/>
      </w:pPr>
      <w:r w:rsidRPr="0098660A">
        <w:rPr>
          <w:rFonts w:asciiTheme="minorHAnsi" w:hAnsiTheme="minorHAnsi"/>
          <w:b/>
          <w:i/>
          <w:iCs/>
          <w:snapToGrid w:val="0"/>
        </w:rPr>
        <w:t>These restrictions may be subject to further review. Should there be any changes made to the restriction the sponsor will be informed.</w:t>
      </w:r>
      <w:bookmarkEnd w:id="98"/>
    </w:p>
    <w:p w14:paraId="43AA9471" w14:textId="77777777" w:rsidR="004D2962" w:rsidRPr="0098660A" w:rsidRDefault="004D2962" w:rsidP="004D2962">
      <w:pPr>
        <w:pStyle w:val="2-SectionHeading"/>
        <w:numPr>
          <w:ilvl w:val="0"/>
          <w:numId w:val="0"/>
        </w:numPr>
        <w:ind w:left="720" w:hanging="720"/>
      </w:pPr>
      <w:r w:rsidRPr="0098660A">
        <w:t>9</w:t>
      </w:r>
      <w:r w:rsidRPr="0098660A">
        <w:tab/>
        <w:t>Context for Decision</w:t>
      </w:r>
    </w:p>
    <w:p w14:paraId="020D968F" w14:textId="77777777" w:rsidR="004D2962" w:rsidRPr="0098660A" w:rsidRDefault="004D2962" w:rsidP="007E58A0">
      <w:pPr>
        <w:pStyle w:val="3-BodyText"/>
        <w:numPr>
          <w:ilvl w:val="0"/>
          <w:numId w:val="0"/>
        </w:numPr>
        <w:ind w:left="720"/>
      </w:pPr>
      <w:r w:rsidRPr="0098660A">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E55A7D1" w14:textId="77777777" w:rsidR="004D2962" w:rsidRPr="0098660A" w:rsidRDefault="004D2962" w:rsidP="004D2962">
      <w:pPr>
        <w:pStyle w:val="2-SectionHeading"/>
        <w:numPr>
          <w:ilvl w:val="0"/>
          <w:numId w:val="0"/>
        </w:numPr>
        <w:ind w:left="720" w:hanging="720"/>
      </w:pPr>
      <w:r w:rsidRPr="0098660A">
        <w:t>10</w:t>
      </w:r>
      <w:r w:rsidRPr="0098660A">
        <w:tab/>
        <w:t>Sponsor’s Comment</w:t>
      </w:r>
    </w:p>
    <w:p w14:paraId="46EF28A2" w14:textId="47B743F7" w:rsidR="00753B29" w:rsidRPr="004908CF" w:rsidRDefault="005B68B2" w:rsidP="004908CF">
      <w:pPr>
        <w:ind w:left="720"/>
        <w:rPr>
          <w:bCs/>
        </w:rPr>
      </w:pPr>
      <w:r w:rsidRPr="00261B35">
        <w:rPr>
          <w:bCs/>
        </w:rPr>
        <w:t>Sobi welcomes the PBAC’s positive recommendation, which supports earlier access to pegcetacoplan for Australian PNH patients.</w:t>
      </w:r>
    </w:p>
    <w:sectPr w:rsidR="00753B29" w:rsidRPr="004908CF" w:rsidSect="00251006">
      <w:headerReference w:type="even" r:id="rId17"/>
      <w:headerReference w:type="default" r:id="rId18"/>
      <w:footerReference w:type="even" r:id="rId19"/>
      <w:footerReference w:type="default" r:id="rId20"/>
      <w:headerReference w:type="first" r:id="rId21"/>
      <w:footerReference w:type="first" r:id="rId22"/>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4F45F" w14:textId="77777777" w:rsidR="00703573" w:rsidRPr="0098660A" w:rsidRDefault="00703573" w:rsidP="00124A51">
      <w:r w:rsidRPr="0098660A">
        <w:separator/>
      </w:r>
    </w:p>
    <w:p w14:paraId="080FB389" w14:textId="77777777" w:rsidR="00703573" w:rsidRPr="0098660A" w:rsidRDefault="00703573"/>
  </w:endnote>
  <w:endnote w:type="continuationSeparator" w:id="0">
    <w:p w14:paraId="5EE0AB7C" w14:textId="77777777" w:rsidR="00703573" w:rsidRPr="0098660A" w:rsidRDefault="00703573" w:rsidP="00124A51">
      <w:r w:rsidRPr="0098660A">
        <w:continuationSeparator/>
      </w:r>
    </w:p>
    <w:p w14:paraId="6C1FACE7" w14:textId="77777777" w:rsidR="00703573" w:rsidRPr="0098660A" w:rsidRDefault="00703573"/>
  </w:endnote>
  <w:endnote w:type="continuationNotice" w:id="1">
    <w:p w14:paraId="2797C9D7" w14:textId="77777777" w:rsidR="00703573" w:rsidRPr="0098660A" w:rsidRDefault="00703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Sabon">
    <w:altName w:val="Constantia"/>
    <w:charset w:val="00"/>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EDBB" w14:textId="5B106EB8" w:rsidR="000E27EA" w:rsidRPr="0098660A" w:rsidRDefault="00476F21">
    <w:pPr>
      <w:pStyle w:val="Footer"/>
    </w:pPr>
    <w:r>
      <w:rPr>
        <w:noProof/>
      </w:rPr>
      <mc:AlternateContent>
        <mc:Choice Requires="wps">
          <w:drawing>
            <wp:anchor distT="0" distB="0" distL="0" distR="0" simplePos="0" relativeHeight="251663363" behindDoc="0" locked="0" layoutInCell="1" allowOverlap="1" wp14:anchorId="207469A7" wp14:editId="6375048A">
              <wp:simplePos x="635" y="635"/>
              <wp:positionH relativeFrom="page">
                <wp:align>center</wp:align>
              </wp:positionH>
              <wp:positionV relativeFrom="page">
                <wp:align>bottom</wp:align>
              </wp:positionV>
              <wp:extent cx="551815" cy="376555"/>
              <wp:effectExtent l="0" t="0" r="635" b="0"/>
              <wp:wrapNone/>
              <wp:docPr id="31547571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36B31B" w14:textId="228203E1" w:rsidR="00476F21" w:rsidRPr="00476F21" w:rsidRDefault="00476F21" w:rsidP="00476F21">
                          <w:pPr>
                            <w:rPr>
                              <w:rFonts w:eastAsia="Calibri" w:cs="Calibri"/>
                              <w:noProof/>
                              <w:color w:val="FF0000"/>
                            </w:rPr>
                          </w:pPr>
                          <w:r w:rsidRPr="00476F21">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7469A7"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633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5936B31B" w14:textId="228203E1" w:rsidR="00476F21" w:rsidRPr="00476F21" w:rsidRDefault="00476F21" w:rsidP="00476F21">
                    <w:pPr>
                      <w:rPr>
                        <w:rFonts w:eastAsia="Calibri" w:cs="Calibri"/>
                        <w:noProof/>
                        <w:color w:val="FF0000"/>
                      </w:rPr>
                    </w:pPr>
                    <w:r w:rsidRPr="00476F21">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6A07310E" w:rsidR="00D843F2" w:rsidRPr="0098660A" w:rsidRDefault="00476F21" w:rsidP="00753B29">
    <w:pPr>
      <w:pStyle w:val="Footer"/>
      <w:jc w:val="center"/>
    </w:pPr>
    <w:r>
      <w:rPr>
        <w:noProof/>
      </w:rPr>
      <mc:AlternateContent>
        <mc:Choice Requires="wps">
          <w:drawing>
            <wp:anchor distT="0" distB="0" distL="0" distR="0" simplePos="0" relativeHeight="251664387" behindDoc="0" locked="0" layoutInCell="1" allowOverlap="1" wp14:anchorId="30F1CD43" wp14:editId="0A64DD24">
              <wp:simplePos x="635" y="635"/>
              <wp:positionH relativeFrom="page">
                <wp:align>center</wp:align>
              </wp:positionH>
              <wp:positionV relativeFrom="page">
                <wp:align>bottom</wp:align>
              </wp:positionV>
              <wp:extent cx="551815" cy="376555"/>
              <wp:effectExtent l="0" t="0" r="635" b="0"/>
              <wp:wrapNone/>
              <wp:docPr id="77779356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03DE752" w14:textId="21E019DF" w:rsidR="00476F21" w:rsidRPr="00476F21" w:rsidRDefault="00476F21" w:rsidP="00476F21">
                          <w:pPr>
                            <w:rPr>
                              <w:rFonts w:eastAsia="Calibri" w:cs="Calibri"/>
                              <w:noProof/>
                              <w:color w:val="FF0000"/>
                            </w:rPr>
                          </w:pPr>
                          <w:r w:rsidRPr="00476F21">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F1CD43"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43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403DE752" w14:textId="21E019DF" w:rsidR="00476F21" w:rsidRPr="00476F21" w:rsidRDefault="00476F21" w:rsidP="00476F21">
                    <w:pPr>
                      <w:rPr>
                        <w:rFonts w:eastAsia="Calibri" w:cs="Calibri"/>
                        <w:noProof/>
                        <w:color w:val="FF0000"/>
                      </w:rPr>
                    </w:pPr>
                    <w:r w:rsidRPr="00476F21">
                      <w:rPr>
                        <w:rFonts w:eastAsia="Calibri" w:cs="Calibri"/>
                        <w:noProof/>
                        <w:color w:val="FF0000"/>
                      </w:rPr>
                      <w:t>OFFICIAL</w:t>
                    </w:r>
                  </w:p>
                </w:txbxContent>
              </v:textbox>
              <w10:wrap anchorx="page" anchory="page"/>
            </v:shape>
          </w:pict>
        </mc:Fallback>
      </mc:AlternateContent>
    </w:r>
  </w:p>
  <w:p w14:paraId="37484CD3" w14:textId="225D12CE" w:rsidR="00D843F2" w:rsidRPr="0098660A" w:rsidRDefault="00000000" w:rsidP="006028D3">
    <w:pPr>
      <w:pStyle w:val="PageFooter"/>
    </w:pPr>
    <w:sdt>
      <w:sdtPr>
        <w:id w:val="1036156457"/>
        <w:docPartObj>
          <w:docPartGallery w:val="Page Numbers (Bottom of Page)"/>
          <w:docPartUnique/>
        </w:docPartObj>
      </w:sdtPr>
      <w:sdtContent>
        <w:r w:rsidR="00D843F2" w:rsidRPr="0098660A">
          <w:fldChar w:fldCharType="begin"/>
        </w:r>
        <w:r w:rsidR="00D843F2" w:rsidRPr="0098660A">
          <w:instrText xml:space="preserve"> PAGE   \* MERGEFORMAT </w:instrText>
        </w:r>
        <w:r w:rsidR="00D843F2" w:rsidRPr="0098660A">
          <w:fldChar w:fldCharType="separate"/>
        </w:r>
        <w:r w:rsidR="00D843F2" w:rsidRPr="0098660A">
          <w:t>2</w:t>
        </w:r>
        <w:r w:rsidR="00D843F2" w:rsidRPr="0098660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8B17" w14:textId="041126C1" w:rsidR="000E27EA" w:rsidRPr="0098660A" w:rsidRDefault="00476F21">
    <w:pPr>
      <w:pStyle w:val="Footer"/>
    </w:pPr>
    <w:r>
      <w:rPr>
        <w:noProof/>
      </w:rPr>
      <mc:AlternateContent>
        <mc:Choice Requires="wps">
          <w:drawing>
            <wp:anchor distT="0" distB="0" distL="0" distR="0" simplePos="0" relativeHeight="251662339" behindDoc="0" locked="0" layoutInCell="1" allowOverlap="1" wp14:anchorId="210868F2" wp14:editId="25E1E9A3">
              <wp:simplePos x="635" y="635"/>
              <wp:positionH relativeFrom="page">
                <wp:align>center</wp:align>
              </wp:positionH>
              <wp:positionV relativeFrom="page">
                <wp:align>bottom</wp:align>
              </wp:positionV>
              <wp:extent cx="551815" cy="376555"/>
              <wp:effectExtent l="0" t="0" r="635" b="0"/>
              <wp:wrapNone/>
              <wp:docPr id="67189738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F66E35" w14:textId="2BEEEAFB" w:rsidR="00476F21" w:rsidRPr="00476F21" w:rsidRDefault="00476F21" w:rsidP="00476F21">
                          <w:pPr>
                            <w:rPr>
                              <w:rFonts w:eastAsia="Calibri" w:cs="Calibri"/>
                              <w:noProof/>
                              <w:color w:val="FF0000"/>
                            </w:rPr>
                          </w:pPr>
                          <w:r w:rsidRPr="00476F21">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0868F2"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23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7FF66E35" w14:textId="2BEEEAFB" w:rsidR="00476F21" w:rsidRPr="00476F21" w:rsidRDefault="00476F21" w:rsidP="00476F21">
                    <w:pPr>
                      <w:rPr>
                        <w:rFonts w:eastAsia="Calibri" w:cs="Calibri"/>
                        <w:noProof/>
                        <w:color w:val="FF0000"/>
                      </w:rPr>
                    </w:pPr>
                    <w:r w:rsidRPr="00476F21">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663A7" w14:textId="77777777" w:rsidR="00703573" w:rsidRPr="0098660A" w:rsidRDefault="00703573">
      <w:r w:rsidRPr="0098660A">
        <w:separator/>
      </w:r>
    </w:p>
  </w:footnote>
  <w:footnote w:type="continuationSeparator" w:id="0">
    <w:p w14:paraId="261EBDD4" w14:textId="77777777" w:rsidR="00703573" w:rsidRPr="0098660A" w:rsidRDefault="00703573">
      <w:r w:rsidRPr="0098660A">
        <w:continuationSeparator/>
      </w:r>
    </w:p>
  </w:footnote>
  <w:footnote w:type="continuationNotice" w:id="1">
    <w:p w14:paraId="3B435C96" w14:textId="77777777" w:rsidR="00703573" w:rsidRPr="0098660A" w:rsidRDefault="00703573"/>
  </w:footnote>
  <w:footnote w:id="2">
    <w:p w14:paraId="46C15376" w14:textId="2DAE93A8" w:rsidR="009A0CF1" w:rsidRPr="0098660A" w:rsidRDefault="009A0CF1">
      <w:pPr>
        <w:pStyle w:val="FootnoteText"/>
      </w:pPr>
      <w:r w:rsidRPr="0098660A">
        <w:rPr>
          <w:rStyle w:val="FootnoteReference"/>
        </w:rPr>
        <w:footnoteRef/>
      </w:r>
      <w:r w:rsidRPr="0098660A">
        <w:t xml:space="preserve"> https://www.legislation.gov.au/F2014L01255/latest/text</w:t>
      </w:r>
    </w:p>
  </w:footnote>
  <w:footnote w:id="3">
    <w:p w14:paraId="39D1D28C" w14:textId="77777777" w:rsidR="00D27E91" w:rsidRPr="0098660A" w:rsidRDefault="00D27E91" w:rsidP="00D27E91">
      <w:pPr>
        <w:pStyle w:val="FootnoteText"/>
      </w:pPr>
      <w:r w:rsidRPr="0098660A">
        <w:rPr>
          <w:rStyle w:val="FootnoteReference"/>
        </w:rPr>
        <w:footnoteRef/>
      </w:r>
      <w:r w:rsidRPr="0098660A">
        <w:t xml:space="preserve"> A. Hill et al. Thrombosis in paroxysmal nocturnal hemoglobinuria. Blood. 2013: 121 (25); 4985-4956, quiz 5105.</w:t>
      </w:r>
    </w:p>
  </w:footnote>
  <w:footnote w:id="4">
    <w:p w14:paraId="41870E24" w14:textId="77777777" w:rsidR="00D27E91" w:rsidRPr="0098660A" w:rsidRDefault="00D27E91" w:rsidP="00D27E91">
      <w:pPr>
        <w:pStyle w:val="FootnoteText"/>
      </w:pPr>
      <w:r w:rsidRPr="0098660A">
        <w:rPr>
          <w:rStyle w:val="FootnoteReference"/>
        </w:rPr>
        <w:footnoteRef/>
      </w:r>
      <w:r w:rsidRPr="0098660A">
        <w:t xml:space="preserve"> G. Soci</w:t>
      </w:r>
      <w:r w:rsidRPr="0098660A">
        <w:rPr>
          <w:rFonts w:cs="Calibri"/>
        </w:rPr>
        <w:t>é</w:t>
      </w:r>
      <w:r w:rsidRPr="0098660A">
        <w:t xml:space="preserve"> et al. Paroxysmal nocturnal haemoglobinuria: long-term follow-up and prognostic factors. French Society of Haematology. Lancet. 1996: 348 (9027); 573-577. </w:t>
      </w:r>
    </w:p>
  </w:footnote>
  <w:footnote w:id="5">
    <w:p w14:paraId="69F2B230" w14:textId="77777777" w:rsidR="00E359AA" w:rsidRPr="0098660A" w:rsidRDefault="00E359AA" w:rsidP="00E359AA">
      <w:pPr>
        <w:pStyle w:val="FootnoteText"/>
      </w:pPr>
      <w:r w:rsidRPr="0098660A">
        <w:rPr>
          <w:rStyle w:val="FootnoteReference"/>
        </w:rPr>
        <w:footnoteRef/>
      </w:r>
      <w:r w:rsidRPr="0098660A">
        <w:t xml:space="preserve"> </w:t>
      </w:r>
      <w:r w:rsidRPr="0098660A">
        <w:rPr>
          <w:rFonts w:asciiTheme="minorHAnsi" w:hAnsiTheme="minorHAnsi" w:cstheme="minorHAnsi"/>
        </w:rPr>
        <w:t xml:space="preserve">Nishimori, H., Nakazawa, H., Tamura, S., Uchida, T., Usuki, K., Szamosi, J., de Latour, R. P., Röth, A., &amp; Panse, J. (2025). Efficacy, Safety, and Quality of Life of Pegcetacoplan in Japanese Patients with Paroxysmal Nocturnal Hemoglobinuria Treated within the Phase 3 PEGASUS Trial. </w:t>
      </w:r>
      <w:r w:rsidRPr="0098660A">
        <w:rPr>
          <w:rFonts w:asciiTheme="minorHAnsi" w:hAnsiTheme="minorHAnsi" w:cstheme="minorHAnsi"/>
          <w:i/>
        </w:rPr>
        <w:t>Acta Haematol</w:t>
      </w:r>
      <w:r w:rsidRPr="0098660A">
        <w:rPr>
          <w:rFonts w:asciiTheme="minorHAnsi" w:hAnsiTheme="minorHAnsi" w:cstheme="minorHAnsi"/>
        </w:rPr>
        <w:t>,</w:t>
      </w:r>
      <w:r w:rsidRPr="0098660A">
        <w:rPr>
          <w:rFonts w:asciiTheme="minorHAnsi" w:hAnsiTheme="minorHAnsi" w:cstheme="minorHAnsi"/>
          <w:i/>
        </w:rPr>
        <w:t xml:space="preserve"> 148</w:t>
      </w:r>
      <w:r w:rsidRPr="0098660A">
        <w:rPr>
          <w:rFonts w:asciiTheme="minorHAnsi" w:hAnsiTheme="minorHAnsi" w:cstheme="minorHAnsi"/>
        </w:rPr>
        <w:t>(1), 22-35.</w:t>
      </w:r>
    </w:p>
  </w:footnote>
  <w:footnote w:id="6">
    <w:p w14:paraId="087BD201" w14:textId="666525A2" w:rsidR="00AB7C9A" w:rsidRPr="0098660A" w:rsidRDefault="00AB7C9A">
      <w:pPr>
        <w:pStyle w:val="FootnoteText"/>
      </w:pPr>
      <w:r w:rsidRPr="0098660A">
        <w:rPr>
          <w:rStyle w:val="FootnoteReference"/>
        </w:rPr>
        <w:footnoteRef/>
      </w:r>
      <w:r w:rsidRPr="0098660A">
        <w:t xml:space="preserve"> Dingli, D., Maciejewski, J. P., Larratt, L., Go, R. S., Höchsmann, B., Zu, K., ... &amp; Kulagin, A. D. (2023). Relationship of paroxysmal nocturnal hemoglobinuria (PNH) granulocyte clone size to disease burden and risk of major vascular events in untreated patients: results from the International PNH Registry. </w:t>
      </w:r>
      <w:r w:rsidRPr="0098660A">
        <w:rPr>
          <w:i/>
          <w:iCs/>
        </w:rPr>
        <w:t>Annals of hematology</w:t>
      </w:r>
      <w:r w:rsidRPr="0098660A">
        <w:t>, </w:t>
      </w:r>
      <w:r w:rsidRPr="0098660A">
        <w:rPr>
          <w:i/>
          <w:iCs/>
        </w:rPr>
        <w:t>102</w:t>
      </w:r>
      <w:r w:rsidRPr="0098660A">
        <w:t>(7), 1637-1644.</w:t>
      </w:r>
    </w:p>
  </w:footnote>
  <w:footnote w:id="7">
    <w:p w14:paraId="7F98DE5E" w14:textId="0953E208" w:rsidR="00CF7DC2" w:rsidRPr="0098660A" w:rsidRDefault="00CF7DC2">
      <w:pPr>
        <w:pStyle w:val="FootnoteText"/>
      </w:pPr>
      <w:r w:rsidRPr="0098660A">
        <w:rPr>
          <w:rStyle w:val="FootnoteReference"/>
        </w:rPr>
        <w:footnoteRef/>
      </w:r>
      <w:r w:rsidRPr="0098660A">
        <w:t xml:space="preserve"> Lee, J. W., Jang, J. H., Kim, J. S., Yoon, S. S., Lee, J. H., Kim, Y. K., ... &amp; Sohn, S. K. (2013). Clinical signs and symptoms associated with increased risk for thrombosis in patients with paroxysmal nocturnal hemoglobinuria from a Korean Registry. </w:t>
      </w:r>
      <w:r w:rsidRPr="0098660A">
        <w:rPr>
          <w:i/>
          <w:iCs/>
        </w:rPr>
        <w:t>International journal of hematology</w:t>
      </w:r>
      <w:r w:rsidRPr="0098660A">
        <w:t>, </w:t>
      </w:r>
      <w:r w:rsidRPr="0098660A">
        <w:rPr>
          <w:i/>
          <w:iCs/>
        </w:rPr>
        <w:t>97</w:t>
      </w:r>
      <w:r w:rsidRPr="0098660A">
        <w:t>, 749-757.</w:t>
      </w:r>
    </w:p>
  </w:footnote>
  <w:footnote w:id="8">
    <w:p w14:paraId="45F20B4F" w14:textId="24DB276A" w:rsidR="001A5D3A" w:rsidRPr="0098660A" w:rsidRDefault="001A5D3A">
      <w:pPr>
        <w:pStyle w:val="FootnoteText"/>
      </w:pPr>
      <w:r w:rsidRPr="0098660A">
        <w:rPr>
          <w:rStyle w:val="FootnoteReference"/>
        </w:rPr>
        <w:footnoteRef/>
      </w:r>
      <w:r w:rsidRPr="0098660A">
        <w:t xml:space="preserve"> Schrezenmeier, H., Röth, A., Araten, D. J., Kanakura, Y., Larratt, L., Shammo, J. M., ... &amp; Maciejewski, J. P. (2020). Baseline clinical characteristics and disease burden in patients with paroxysmal nocturnal hemoglobinuria (PNH): updated analysis from the International PNH Registry. </w:t>
      </w:r>
      <w:r w:rsidRPr="0098660A">
        <w:rPr>
          <w:i/>
          <w:iCs/>
        </w:rPr>
        <w:t>Annals of hematology</w:t>
      </w:r>
      <w:r w:rsidRPr="0098660A">
        <w:t>, </w:t>
      </w:r>
      <w:r w:rsidRPr="0098660A">
        <w:rPr>
          <w:i/>
          <w:iCs/>
        </w:rPr>
        <w:t>99</w:t>
      </w:r>
      <w:r w:rsidRPr="0098660A">
        <w:t>, 1505-1514.</w:t>
      </w:r>
    </w:p>
  </w:footnote>
  <w:footnote w:id="9">
    <w:p w14:paraId="75364747" w14:textId="77777777" w:rsidR="00D27E91" w:rsidRPr="0098660A" w:rsidRDefault="00D27E91" w:rsidP="00D27E91">
      <w:pPr>
        <w:pStyle w:val="FootnoteText"/>
      </w:pPr>
      <w:r w:rsidRPr="0098660A">
        <w:rPr>
          <w:rStyle w:val="FootnoteReference"/>
        </w:rPr>
        <w:footnoteRef/>
      </w:r>
      <w:r w:rsidRPr="0098660A">
        <w:t xml:space="preserve"> R. J. Kelly et al. Long-term treatment with eculizumab in paroxysmal nocturnal hemoglobinuria: sustained efficacy and improved survival. Blood. 2011: 117(25); 6786-6792. </w:t>
      </w:r>
    </w:p>
  </w:footnote>
  <w:footnote w:id="10">
    <w:p w14:paraId="3E596495" w14:textId="77777777" w:rsidR="00D27E91" w:rsidRPr="0098660A" w:rsidRDefault="00D27E91" w:rsidP="00D27E91">
      <w:pPr>
        <w:pStyle w:val="FootnoteText"/>
      </w:pPr>
      <w:r w:rsidRPr="0098660A">
        <w:rPr>
          <w:rStyle w:val="FootnoteReference"/>
        </w:rPr>
        <w:footnoteRef/>
      </w:r>
      <w:r w:rsidRPr="0098660A">
        <w:t xml:space="preserve"> L. A. McNamara et al. High Risk for Invasive Meningococcal Disease Among Patients Receiving Eculizumab (Soliris) Despite Receipt of Meningococcal Vaccine. The Morbidity and Mortality Weekly Report. 2017: 66(27); 734-737.</w:t>
      </w:r>
    </w:p>
  </w:footnote>
  <w:footnote w:id="11">
    <w:p w14:paraId="0674704A" w14:textId="77777777" w:rsidR="00D27E91" w:rsidRPr="0098660A" w:rsidRDefault="00D27E91" w:rsidP="00D27E91">
      <w:pPr>
        <w:pStyle w:val="FootnoteText"/>
      </w:pPr>
      <w:r w:rsidRPr="0098660A">
        <w:rPr>
          <w:rStyle w:val="FootnoteReference"/>
        </w:rPr>
        <w:footnoteRef/>
      </w:r>
      <w:r w:rsidRPr="0098660A">
        <w:t xml:space="preserve"> D. Dingli et al. The burden of illness in patients with paroxysmal nocturnal hemoglobinuria receiving treatment with the C5-inhibitors eculizumab or ravulizumab: results from a US patient survey. Annals of Hematology. 2022: 101(2); 251-263.</w:t>
      </w:r>
    </w:p>
  </w:footnote>
  <w:footnote w:id="12">
    <w:p w14:paraId="3C047749" w14:textId="77777777" w:rsidR="00D27E91" w:rsidRPr="0098660A" w:rsidRDefault="00D27E91" w:rsidP="00D27E91">
      <w:pPr>
        <w:pStyle w:val="FootnoteText"/>
      </w:pPr>
      <w:r w:rsidRPr="0098660A">
        <w:rPr>
          <w:rStyle w:val="FootnoteReference"/>
        </w:rPr>
        <w:footnoteRef/>
      </w:r>
      <w:r w:rsidRPr="0098660A">
        <w:t xml:space="preserve"> J. Panse. Paroxysmal nocturnal hemoglobinuria: Where we stand. American Journal of Hematology. 2023: 98 (S4); S20-S32.</w:t>
      </w:r>
    </w:p>
  </w:footnote>
  <w:footnote w:id="13">
    <w:p w14:paraId="12611266" w14:textId="77777777" w:rsidR="00D27E91" w:rsidRPr="0098660A" w:rsidRDefault="00D27E91" w:rsidP="00D27E91">
      <w:pPr>
        <w:pStyle w:val="FootnoteText"/>
      </w:pPr>
      <w:r w:rsidRPr="0098660A">
        <w:rPr>
          <w:rStyle w:val="FootnoteReference"/>
        </w:rPr>
        <w:footnoteRef/>
      </w:r>
      <w:r w:rsidRPr="0098660A">
        <w:t xml:space="preserve"> G. F. Gerber &amp; R. A. Brodsky. Pegcetacoplan for paroxysmal nocturnal hemoglobinuria. Blood. 2022: 139(23); 3361-3365.</w:t>
      </w:r>
    </w:p>
  </w:footnote>
  <w:footnote w:id="14">
    <w:p w14:paraId="79017510" w14:textId="191B201D" w:rsidR="0009688C" w:rsidRPr="0098660A" w:rsidRDefault="0009688C" w:rsidP="00E90D94">
      <w:pPr>
        <w:pStyle w:val="FootnoteText"/>
      </w:pPr>
      <w:r w:rsidRPr="0098660A">
        <w:rPr>
          <w:rStyle w:val="FootnoteReference"/>
        </w:rPr>
        <w:footnoteRef/>
      </w:r>
      <w:r w:rsidRPr="0098660A">
        <w:t xml:space="preserve"> </w:t>
      </w:r>
      <w:r w:rsidR="00E90D94" w:rsidRPr="0098660A">
        <w:t>Panse et al. PLoS One 2024 2. Cella et al. Cancer2002.</w:t>
      </w:r>
    </w:p>
  </w:footnote>
  <w:footnote w:id="15">
    <w:p w14:paraId="3ACC9114" w14:textId="2F4277E2" w:rsidR="00E46F79" w:rsidRPr="0098660A" w:rsidRDefault="00E46F79">
      <w:pPr>
        <w:pStyle w:val="FootnoteText"/>
      </w:pPr>
      <w:r w:rsidRPr="0098660A">
        <w:rPr>
          <w:rStyle w:val="FootnoteReference"/>
        </w:rPr>
        <w:footnoteRef/>
      </w:r>
      <w:r w:rsidRPr="0098660A">
        <w:t xml:space="preserve"> Wong R</w:t>
      </w:r>
      <w:r w:rsidR="003F5B70" w:rsidRPr="0098660A">
        <w:t>, Fishman J,</w:t>
      </w:r>
      <w:r w:rsidRPr="0098660A">
        <w:t xml:space="preserve"> et al. Comparative effectiveness of pegcetacoplan versus ravulizumab and eculizumab in complement inhibitor-naïve patients with paroxysmal nocturnal hemoglobinuria: A matching-adjusted indirect comparison. </w:t>
      </w:r>
      <w:r w:rsidRPr="0098660A">
        <w:rPr>
          <w:iCs/>
        </w:rPr>
        <w:t>Advances in Therapy</w:t>
      </w:r>
      <w:r w:rsidRPr="0098660A">
        <w:t>. 2023;40(4):1571-89.</w:t>
      </w:r>
    </w:p>
  </w:footnote>
  <w:footnote w:id="16">
    <w:p w14:paraId="76D727DD" w14:textId="77777777" w:rsidR="00433F31" w:rsidRPr="0098660A" w:rsidRDefault="00433F31" w:rsidP="00433F31">
      <w:pPr>
        <w:pStyle w:val="FootnoteText"/>
      </w:pPr>
      <w:r w:rsidRPr="0098660A">
        <w:rPr>
          <w:rStyle w:val="FootnoteReference"/>
        </w:rPr>
        <w:footnoteRef/>
      </w:r>
      <w:r w:rsidRPr="0098660A">
        <w:t xml:space="preserve"> = 93.5% x 2 + 6.5% x (7 / 3)</w:t>
      </w:r>
    </w:p>
  </w:footnote>
  <w:footnote w:id="17">
    <w:p w14:paraId="3721334F" w14:textId="77777777" w:rsidR="00433F31" w:rsidRPr="0098660A" w:rsidRDefault="00433F31" w:rsidP="00433F31">
      <w:pPr>
        <w:pStyle w:val="FootnoteText"/>
      </w:pPr>
      <w:r w:rsidRPr="0098660A">
        <w:rPr>
          <w:rStyle w:val="FootnoteReference"/>
        </w:rPr>
        <w:footnoteRef/>
      </w:r>
      <w:r w:rsidRPr="0098660A">
        <w:t xml:space="preserve"> = 2.02 x (365.25 / 7)</w:t>
      </w:r>
    </w:p>
  </w:footnote>
  <w:footnote w:id="18">
    <w:p w14:paraId="0FBA3871" w14:textId="77777777" w:rsidR="00433F31" w:rsidRPr="0098660A" w:rsidRDefault="00433F31" w:rsidP="00433F31">
      <w:pPr>
        <w:pStyle w:val="FootnoteText"/>
      </w:pPr>
      <w:r w:rsidRPr="0098660A">
        <w:rPr>
          <w:rStyle w:val="FootnoteReference"/>
        </w:rPr>
        <w:footnoteRef/>
      </w:r>
      <w:r w:rsidRPr="0098660A">
        <w:t xml:space="preserve"> Hakimi Z, Wilson K, </w:t>
      </w:r>
      <w:r w:rsidRPr="0098660A">
        <w:rPr>
          <w:i/>
          <w:iCs/>
        </w:rPr>
        <w:t>et al</w:t>
      </w:r>
      <w:r w:rsidRPr="0098660A">
        <w:t xml:space="preserve">. The cost-effectiveness, of pegcetacoplan compared with ravulizumab for the treatment of paroxysmal nocturnal hemoglobinuria, in a UK setting. </w:t>
      </w:r>
      <w:r w:rsidRPr="0098660A">
        <w:rPr>
          <w:i/>
          <w:iCs/>
        </w:rPr>
        <w:t>J Comp Eff Res</w:t>
      </w:r>
      <w:r w:rsidRPr="0098660A">
        <w:t>. 2022;11(13):969-85.</w:t>
      </w:r>
    </w:p>
    <w:p w14:paraId="7613F940" w14:textId="77777777" w:rsidR="00433F31" w:rsidRPr="0098660A" w:rsidRDefault="00433F31" w:rsidP="00433F31">
      <w:pPr>
        <w:pStyle w:val="FootnoteText"/>
      </w:pPr>
      <w:r w:rsidRPr="0098660A">
        <w:t xml:space="preserve">Fishman J, Wilson K, </w:t>
      </w:r>
      <w:r w:rsidRPr="0098660A">
        <w:rPr>
          <w:i/>
          <w:iCs/>
        </w:rPr>
        <w:t>et al</w:t>
      </w:r>
      <w:r w:rsidRPr="0098660A">
        <w:t xml:space="preserve">. The cost-effectiveness of pegcetacoplan in complement treatment-naïve adults with paroxysmal nocturnal hemoglobinuria in the USA. </w:t>
      </w:r>
      <w:r w:rsidRPr="0098660A">
        <w:rPr>
          <w:i/>
          <w:iCs/>
        </w:rPr>
        <w:t>J Comp Eff Res</w:t>
      </w:r>
      <w:r w:rsidRPr="0098660A">
        <w:t>. 2023;12(10):e230055.</w:t>
      </w:r>
    </w:p>
  </w:footnote>
  <w:footnote w:id="19">
    <w:p w14:paraId="06C436F8" w14:textId="77777777" w:rsidR="00E54685" w:rsidRPr="0098660A" w:rsidRDefault="00E54685" w:rsidP="00E54685">
      <w:pPr>
        <w:pStyle w:val="FootnoteText"/>
      </w:pPr>
      <w:r w:rsidRPr="0098660A">
        <w:rPr>
          <w:rStyle w:val="FootnoteReference"/>
          <w:rFonts w:eastAsia="Calibri"/>
        </w:rPr>
        <w:footnoteRef/>
      </w:r>
      <w:r w:rsidRPr="0098660A">
        <w:t xml:space="preserve"> Wong R, Fishman J, Wilson K, Yeh M, Al-Adhami M, Zion A, et al. Correction to: Comparative Effectiveness of Pegcetacoplan Versus Ravulizumab and Eculizumab in Complement Inhibitor-Naïve Patients with Paroxysmal Nocturnal Hemoglobinuria: A Matching-Adjusted Indirect Comparison. Advances in Therapy. 2023;40(12):5591-5.</w:t>
      </w:r>
    </w:p>
  </w:footnote>
  <w:footnote w:id="20">
    <w:p w14:paraId="7CE7D5A0" w14:textId="77777777" w:rsidR="00B876A8" w:rsidRDefault="00B876A8" w:rsidP="00B876A8">
      <w:pPr>
        <w:pStyle w:val="FootnoteText"/>
      </w:pPr>
      <w:r w:rsidRPr="0098660A">
        <w:rPr>
          <w:rStyle w:val="FootnoteReference"/>
        </w:rPr>
        <w:footnoteRef/>
      </w:r>
      <w:r w:rsidRPr="0098660A">
        <w:t xml:space="preserve"> https://www.legislation.gov.au/F2014L01255/latest/text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2A22" w14:textId="7BF772F2" w:rsidR="000E27EA" w:rsidRPr="0098660A" w:rsidRDefault="00476F21">
    <w:pPr>
      <w:pStyle w:val="Header"/>
    </w:pPr>
    <w:r>
      <w:rPr>
        <w:noProof/>
      </w:rPr>
      <mc:AlternateContent>
        <mc:Choice Requires="wps">
          <w:drawing>
            <wp:anchor distT="0" distB="0" distL="0" distR="0" simplePos="0" relativeHeight="251660291" behindDoc="0" locked="0" layoutInCell="1" allowOverlap="1" wp14:anchorId="5F01AAAB" wp14:editId="77FA5140">
              <wp:simplePos x="635" y="635"/>
              <wp:positionH relativeFrom="page">
                <wp:align>center</wp:align>
              </wp:positionH>
              <wp:positionV relativeFrom="page">
                <wp:align>top</wp:align>
              </wp:positionV>
              <wp:extent cx="551815" cy="376555"/>
              <wp:effectExtent l="0" t="0" r="635" b="4445"/>
              <wp:wrapNone/>
              <wp:docPr id="4991183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704154" w14:textId="428712C0" w:rsidR="00476F21" w:rsidRPr="00476F21" w:rsidRDefault="00476F21" w:rsidP="00476F21">
                          <w:pPr>
                            <w:rPr>
                              <w:rFonts w:eastAsia="Calibri" w:cs="Calibri"/>
                              <w:noProof/>
                              <w:color w:val="FF0000"/>
                            </w:rPr>
                          </w:pPr>
                          <w:r w:rsidRPr="00476F21">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01AAAB"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602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59704154" w14:textId="428712C0" w:rsidR="00476F21" w:rsidRPr="00476F21" w:rsidRDefault="00476F21" w:rsidP="00476F21">
                    <w:pPr>
                      <w:rPr>
                        <w:rFonts w:eastAsia="Calibri" w:cs="Calibri"/>
                        <w:noProof/>
                        <w:color w:val="FF0000"/>
                      </w:rPr>
                    </w:pPr>
                    <w:r w:rsidRPr="00476F21">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591E" w14:textId="3C029419" w:rsidR="008B044B" w:rsidRPr="0098660A" w:rsidRDefault="00476F21" w:rsidP="008B044B">
    <w:pPr>
      <w:pStyle w:val="Header"/>
      <w:keepNext w:val="0"/>
      <w:rPr>
        <w:rFonts w:asciiTheme="minorHAnsi" w:eastAsiaTheme="minorHAnsi" w:hAnsiTheme="minorHAnsi" w:cstheme="minorHAnsi"/>
        <w:bCs/>
        <w:i w:val="0"/>
        <w:color w:val="808080"/>
      </w:rPr>
    </w:pPr>
    <w:r>
      <w:rPr>
        <w:rFonts w:asciiTheme="minorHAnsi" w:eastAsiaTheme="minorHAnsi" w:hAnsiTheme="minorHAnsi" w:cstheme="minorHAnsi"/>
        <w:bCs/>
        <w:noProof/>
        <w:color w:val="808080"/>
      </w:rPr>
      <mc:AlternateContent>
        <mc:Choice Requires="wps">
          <w:drawing>
            <wp:anchor distT="0" distB="0" distL="0" distR="0" simplePos="0" relativeHeight="251661315" behindDoc="0" locked="0" layoutInCell="1" allowOverlap="1" wp14:anchorId="49F86457" wp14:editId="7CB0D73D">
              <wp:simplePos x="635" y="635"/>
              <wp:positionH relativeFrom="page">
                <wp:align>center</wp:align>
              </wp:positionH>
              <wp:positionV relativeFrom="page">
                <wp:align>top</wp:align>
              </wp:positionV>
              <wp:extent cx="551815" cy="376555"/>
              <wp:effectExtent l="0" t="0" r="635" b="4445"/>
              <wp:wrapNone/>
              <wp:docPr id="7350409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DA67049" w14:textId="352E68E7" w:rsidR="00476F21" w:rsidRPr="00476F21" w:rsidRDefault="00476F21" w:rsidP="00476F21">
                          <w:pPr>
                            <w:rPr>
                              <w:rFonts w:eastAsia="Calibri" w:cs="Calibri"/>
                              <w:noProof/>
                              <w:color w:val="FF0000"/>
                            </w:rPr>
                          </w:pPr>
                          <w:r w:rsidRPr="00476F21">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F86457"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13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3DA67049" w14:textId="352E68E7" w:rsidR="00476F21" w:rsidRPr="00476F21" w:rsidRDefault="00476F21" w:rsidP="00476F21">
                    <w:pPr>
                      <w:rPr>
                        <w:rFonts w:eastAsia="Calibri" w:cs="Calibri"/>
                        <w:noProof/>
                        <w:color w:val="FF0000"/>
                      </w:rPr>
                    </w:pPr>
                    <w:r w:rsidRPr="00476F21">
                      <w:rPr>
                        <w:rFonts w:eastAsia="Calibri" w:cs="Calibri"/>
                        <w:noProof/>
                        <w:color w:val="FF0000"/>
                      </w:rPr>
                      <w:t>OFFICIAL</w:t>
                    </w:r>
                  </w:p>
                </w:txbxContent>
              </v:textbox>
              <w10:wrap anchorx="page" anchory="page"/>
            </v:shape>
          </w:pict>
        </mc:Fallback>
      </mc:AlternateContent>
    </w:r>
    <w:r w:rsidR="008B044B" w:rsidRPr="0098660A">
      <w:rPr>
        <w:rFonts w:asciiTheme="minorHAnsi" w:eastAsiaTheme="minorHAnsi" w:hAnsiTheme="minorHAnsi" w:cstheme="minorHAnsi"/>
        <w:bCs/>
        <w:color w:val="808080"/>
      </w:rPr>
      <w:t xml:space="preserve">Public Summary Document – </w:t>
    </w:r>
    <w:r w:rsidR="000A04FD">
      <w:rPr>
        <w:rFonts w:asciiTheme="minorHAnsi" w:eastAsiaTheme="minorHAnsi" w:hAnsiTheme="minorHAnsi" w:cstheme="minorHAnsi"/>
        <w:bCs/>
        <w:color w:val="808080"/>
      </w:rPr>
      <w:t>May</w:t>
    </w:r>
    <w:r w:rsidR="008B044B" w:rsidRPr="0098660A">
      <w:rPr>
        <w:rFonts w:asciiTheme="minorHAnsi" w:eastAsiaTheme="minorHAnsi" w:hAnsiTheme="minorHAnsi" w:cstheme="minorHAnsi"/>
        <w:bCs/>
        <w:color w:val="808080"/>
      </w:rPr>
      <w:t xml:space="preserve"> </w:t>
    </w:r>
    <w:r w:rsidR="000A04FD">
      <w:rPr>
        <w:rFonts w:asciiTheme="minorHAnsi" w:eastAsiaTheme="minorHAnsi" w:hAnsiTheme="minorHAnsi" w:cstheme="minorHAnsi"/>
        <w:bCs/>
        <w:color w:val="808080"/>
      </w:rPr>
      <w:t>2025</w:t>
    </w:r>
    <w:r w:rsidR="008B044B" w:rsidRPr="0098660A">
      <w:rPr>
        <w:rFonts w:asciiTheme="minorHAnsi" w:eastAsiaTheme="minorHAnsi" w:hAnsiTheme="minorHAnsi" w:cstheme="minorHAnsi"/>
        <w:bCs/>
        <w:color w:val="808080"/>
      </w:rPr>
      <w:t xml:space="preserve"> PBAC Meeting</w:t>
    </w:r>
  </w:p>
  <w:p w14:paraId="03AF943B" w14:textId="62588CCF" w:rsidR="00D843F2" w:rsidRPr="0098660A" w:rsidRDefault="00D843F2" w:rsidP="00CA572A">
    <w:pPr>
      <w:tabs>
        <w:tab w:val="center" w:pos="4513"/>
        <w:tab w:val="right" w:pos="9026"/>
      </w:tabs>
      <w:contextualSpacing/>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AECC" w14:textId="36936B8C" w:rsidR="000E27EA" w:rsidRPr="0098660A" w:rsidRDefault="00476F21">
    <w:pPr>
      <w:pStyle w:val="Header"/>
    </w:pPr>
    <w:r>
      <w:rPr>
        <w:noProof/>
      </w:rPr>
      <mc:AlternateContent>
        <mc:Choice Requires="wps">
          <w:drawing>
            <wp:anchor distT="0" distB="0" distL="0" distR="0" simplePos="0" relativeHeight="251659267" behindDoc="0" locked="0" layoutInCell="1" allowOverlap="1" wp14:anchorId="5091A90F" wp14:editId="7C5BFFEC">
              <wp:simplePos x="635" y="635"/>
              <wp:positionH relativeFrom="page">
                <wp:align>center</wp:align>
              </wp:positionH>
              <wp:positionV relativeFrom="page">
                <wp:align>top</wp:align>
              </wp:positionV>
              <wp:extent cx="551815" cy="376555"/>
              <wp:effectExtent l="0" t="0" r="635" b="4445"/>
              <wp:wrapNone/>
              <wp:docPr id="19032612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0640EF2" w14:textId="699E1960" w:rsidR="00476F21" w:rsidRPr="00476F21" w:rsidRDefault="00476F21" w:rsidP="00476F21">
                          <w:pPr>
                            <w:rPr>
                              <w:rFonts w:eastAsia="Calibri" w:cs="Calibri"/>
                              <w:noProof/>
                              <w:color w:val="FF0000"/>
                            </w:rPr>
                          </w:pPr>
                          <w:r w:rsidRPr="00476F21">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91A90F"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92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10640EF2" w14:textId="699E1960" w:rsidR="00476F21" w:rsidRPr="00476F21" w:rsidRDefault="00476F21" w:rsidP="00476F21">
                    <w:pPr>
                      <w:rPr>
                        <w:rFonts w:eastAsia="Calibri" w:cs="Calibri"/>
                        <w:noProof/>
                        <w:color w:val="FF0000"/>
                      </w:rPr>
                    </w:pPr>
                    <w:r w:rsidRPr="00476F21">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7243F3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0007D8"/>
    <w:multiLevelType w:val="hybridMultilevel"/>
    <w:tmpl w:val="7916D966"/>
    <w:lvl w:ilvl="0" w:tplc="3AFE793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1F935A7"/>
    <w:multiLevelType w:val="hybridMultilevel"/>
    <w:tmpl w:val="96560A6E"/>
    <w:lvl w:ilvl="0" w:tplc="5F9EC3C6">
      <w:start w:val="1"/>
      <w:numFmt w:val="bullet"/>
      <w:pStyle w:val="Bullet12"/>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7E0D8A"/>
    <w:multiLevelType w:val="hybridMultilevel"/>
    <w:tmpl w:val="9F0E4870"/>
    <w:lvl w:ilvl="0" w:tplc="1128990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0027D7"/>
    <w:multiLevelType w:val="hybridMultilevel"/>
    <w:tmpl w:val="600075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06D2667"/>
    <w:multiLevelType w:val="hybridMultilevel"/>
    <w:tmpl w:val="017C6EF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B6274A"/>
    <w:multiLevelType w:val="hybridMultilevel"/>
    <w:tmpl w:val="E07A47CC"/>
    <w:lvl w:ilvl="0" w:tplc="E1B6BF4A">
      <w:start w:val="1"/>
      <w:numFmt w:val="decimal"/>
      <w:lvlText w:val="%1."/>
      <w:lvlJc w:val="left"/>
      <w:pPr>
        <w:ind w:left="1778" w:hanging="360"/>
      </w:pPr>
      <w:rPr>
        <w:color w:val="auto"/>
      </w:rPr>
    </w:lvl>
    <w:lvl w:ilvl="1" w:tplc="0C090019">
      <w:start w:val="1"/>
      <w:numFmt w:val="lowerLetter"/>
      <w:lvlText w:val="%2."/>
      <w:lvlJc w:val="left"/>
      <w:pPr>
        <w:ind w:left="785"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BC651D"/>
    <w:multiLevelType w:val="hybridMultilevel"/>
    <w:tmpl w:val="4190BCC4"/>
    <w:lvl w:ilvl="0" w:tplc="F768E2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2C52CD"/>
    <w:multiLevelType w:val="hybridMultilevel"/>
    <w:tmpl w:val="F3D6FCDA"/>
    <w:lvl w:ilvl="0" w:tplc="D2AA4414">
      <w:start w:val="1"/>
      <w:numFmt w:val="decimal"/>
      <w:lvlText w:val="%1."/>
      <w:lvlJc w:val="left"/>
      <w:pPr>
        <w:ind w:left="786" w:hanging="360"/>
      </w:pPr>
    </w:lvl>
    <w:lvl w:ilvl="1" w:tplc="1B90C1EE">
      <w:start w:val="1"/>
      <w:numFmt w:val="lowerLetter"/>
      <w:lvlText w:val="%2."/>
      <w:lvlJc w:val="left"/>
      <w:pPr>
        <w:ind w:left="1506" w:hanging="360"/>
      </w:pPr>
    </w:lvl>
    <w:lvl w:ilvl="2" w:tplc="3B6E6AA8">
      <w:start w:val="1"/>
      <w:numFmt w:val="lowerRoman"/>
      <w:lvlText w:val="%3."/>
      <w:lvlJc w:val="right"/>
      <w:pPr>
        <w:ind w:left="2226" w:hanging="180"/>
      </w:pPr>
    </w:lvl>
    <w:lvl w:ilvl="3" w:tplc="3F4CD96E">
      <w:start w:val="1"/>
      <w:numFmt w:val="decimal"/>
      <w:lvlText w:val="%4."/>
      <w:lvlJc w:val="left"/>
      <w:pPr>
        <w:ind w:left="2946" w:hanging="360"/>
      </w:pPr>
    </w:lvl>
    <w:lvl w:ilvl="4" w:tplc="CF2EA45A">
      <w:start w:val="1"/>
      <w:numFmt w:val="lowerLetter"/>
      <w:lvlText w:val="%5."/>
      <w:lvlJc w:val="left"/>
      <w:pPr>
        <w:ind w:left="3666" w:hanging="360"/>
      </w:pPr>
    </w:lvl>
    <w:lvl w:ilvl="5" w:tplc="8A2C4FC0">
      <w:start w:val="1"/>
      <w:numFmt w:val="lowerRoman"/>
      <w:lvlText w:val="%6."/>
      <w:lvlJc w:val="right"/>
      <w:pPr>
        <w:ind w:left="4386" w:hanging="180"/>
      </w:pPr>
    </w:lvl>
    <w:lvl w:ilvl="6" w:tplc="0368149A">
      <w:start w:val="1"/>
      <w:numFmt w:val="decimal"/>
      <w:lvlText w:val="%7."/>
      <w:lvlJc w:val="left"/>
      <w:pPr>
        <w:ind w:left="5106" w:hanging="360"/>
      </w:pPr>
    </w:lvl>
    <w:lvl w:ilvl="7" w:tplc="AE6CF394">
      <w:start w:val="1"/>
      <w:numFmt w:val="lowerLetter"/>
      <w:lvlText w:val="%8."/>
      <w:lvlJc w:val="left"/>
      <w:pPr>
        <w:ind w:left="5826" w:hanging="360"/>
      </w:pPr>
    </w:lvl>
    <w:lvl w:ilvl="8" w:tplc="0FFA5870">
      <w:start w:val="1"/>
      <w:numFmt w:val="lowerRoman"/>
      <w:lvlText w:val="%9."/>
      <w:lvlJc w:val="right"/>
      <w:pPr>
        <w:ind w:left="6546" w:hanging="180"/>
      </w:pPr>
    </w:lvl>
  </w:abstractNum>
  <w:abstractNum w:abstractNumId="18"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505196"/>
    <w:multiLevelType w:val="hybridMultilevel"/>
    <w:tmpl w:val="12140B8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89714BE"/>
    <w:multiLevelType w:val="hybridMultilevel"/>
    <w:tmpl w:val="21A61ECA"/>
    <w:lvl w:ilvl="0" w:tplc="6A4EBF58">
      <w:start w:val="9"/>
      <w:numFmt w:val="bullet"/>
      <w:lvlText w:val="-"/>
      <w:lvlJc w:val="left"/>
      <w:pPr>
        <w:ind w:left="720" w:hanging="360"/>
      </w:pPr>
      <w:rPr>
        <w:rFonts w:ascii="Calibri" w:eastAsia="Times New Roman" w:hAnsi="Calibri" w:cs="Calibri"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4E16BF"/>
    <w:multiLevelType w:val="hybridMultilevel"/>
    <w:tmpl w:val="9D64AF62"/>
    <w:lvl w:ilvl="0" w:tplc="EE4ED8B2">
      <w:start w:val="1"/>
      <w:numFmt w:val="bullet"/>
      <w:lvlText w:val="•"/>
      <w:lvlJc w:val="left"/>
      <w:pPr>
        <w:tabs>
          <w:tab w:val="num" w:pos="720"/>
        </w:tabs>
        <w:ind w:left="720" w:hanging="360"/>
      </w:pPr>
      <w:rPr>
        <w:rFonts w:ascii="Arial" w:hAnsi="Arial" w:hint="default"/>
      </w:rPr>
    </w:lvl>
    <w:lvl w:ilvl="1" w:tplc="C6F05C76">
      <w:start w:val="1"/>
      <w:numFmt w:val="bullet"/>
      <w:lvlText w:val="•"/>
      <w:lvlJc w:val="left"/>
      <w:pPr>
        <w:tabs>
          <w:tab w:val="num" w:pos="1440"/>
        </w:tabs>
        <w:ind w:left="1440" w:hanging="360"/>
      </w:pPr>
      <w:rPr>
        <w:rFonts w:ascii="Arial" w:hAnsi="Arial" w:hint="default"/>
      </w:rPr>
    </w:lvl>
    <w:lvl w:ilvl="2" w:tplc="788AECFA" w:tentative="1">
      <w:start w:val="1"/>
      <w:numFmt w:val="bullet"/>
      <w:lvlText w:val="•"/>
      <w:lvlJc w:val="left"/>
      <w:pPr>
        <w:tabs>
          <w:tab w:val="num" w:pos="2160"/>
        </w:tabs>
        <w:ind w:left="2160" w:hanging="360"/>
      </w:pPr>
      <w:rPr>
        <w:rFonts w:ascii="Arial" w:hAnsi="Arial" w:hint="default"/>
      </w:rPr>
    </w:lvl>
    <w:lvl w:ilvl="3" w:tplc="DEB4189C" w:tentative="1">
      <w:start w:val="1"/>
      <w:numFmt w:val="bullet"/>
      <w:lvlText w:val="•"/>
      <w:lvlJc w:val="left"/>
      <w:pPr>
        <w:tabs>
          <w:tab w:val="num" w:pos="2880"/>
        </w:tabs>
        <w:ind w:left="2880" w:hanging="360"/>
      </w:pPr>
      <w:rPr>
        <w:rFonts w:ascii="Arial" w:hAnsi="Arial" w:hint="default"/>
      </w:rPr>
    </w:lvl>
    <w:lvl w:ilvl="4" w:tplc="6B5C009C" w:tentative="1">
      <w:start w:val="1"/>
      <w:numFmt w:val="bullet"/>
      <w:lvlText w:val="•"/>
      <w:lvlJc w:val="left"/>
      <w:pPr>
        <w:tabs>
          <w:tab w:val="num" w:pos="3600"/>
        </w:tabs>
        <w:ind w:left="3600" w:hanging="360"/>
      </w:pPr>
      <w:rPr>
        <w:rFonts w:ascii="Arial" w:hAnsi="Arial" w:hint="default"/>
      </w:rPr>
    </w:lvl>
    <w:lvl w:ilvl="5" w:tplc="B7B2A8EA" w:tentative="1">
      <w:start w:val="1"/>
      <w:numFmt w:val="bullet"/>
      <w:lvlText w:val="•"/>
      <w:lvlJc w:val="left"/>
      <w:pPr>
        <w:tabs>
          <w:tab w:val="num" w:pos="4320"/>
        </w:tabs>
        <w:ind w:left="4320" w:hanging="360"/>
      </w:pPr>
      <w:rPr>
        <w:rFonts w:ascii="Arial" w:hAnsi="Arial" w:hint="default"/>
      </w:rPr>
    </w:lvl>
    <w:lvl w:ilvl="6" w:tplc="B4FCC94C" w:tentative="1">
      <w:start w:val="1"/>
      <w:numFmt w:val="bullet"/>
      <w:lvlText w:val="•"/>
      <w:lvlJc w:val="left"/>
      <w:pPr>
        <w:tabs>
          <w:tab w:val="num" w:pos="5040"/>
        </w:tabs>
        <w:ind w:left="5040" w:hanging="360"/>
      </w:pPr>
      <w:rPr>
        <w:rFonts w:ascii="Arial" w:hAnsi="Arial" w:hint="default"/>
      </w:rPr>
    </w:lvl>
    <w:lvl w:ilvl="7" w:tplc="22125926" w:tentative="1">
      <w:start w:val="1"/>
      <w:numFmt w:val="bullet"/>
      <w:lvlText w:val="•"/>
      <w:lvlJc w:val="left"/>
      <w:pPr>
        <w:tabs>
          <w:tab w:val="num" w:pos="5760"/>
        </w:tabs>
        <w:ind w:left="5760" w:hanging="360"/>
      </w:pPr>
      <w:rPr>
        <w:rFonts w:ascii="Arial" w:hAnsi="Arial" w:hint="default"/>
      </w:rPr>
    </w:lvl>
    <w:lvl w:ilvl="8" w:tplc="610EDF3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0971A6"/>
    <w:multiLevelType w:val="hybridMultilevel"/>
    <w:tmpl w:val="667C43CC"/>
    <w:lvl w:ilvl="0" w:tplc="0C090001">
      <w:start w:val="1"/>
      <w:numFmt w:val="bullet"/>
      <w:lvlText w:val=""/>
      <w:lvlJc w:val="left"/>
      <w:pPr>
        <w:ind w:left="587" w:hanging="360"/>
      </w:pPr>
      <w:rPr>
        <w:rFonts w:ascii="Symbol" w:hAnsi="Symbo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2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46E195B"/>
    <w:multiLevelType w:val="hybridMultilevel"/>
    <w:tmpl w:val="66FA0E62"/>
    <w:lvl w:ilvl="0" w:tplc="4ACCC8F0">
      <w:start w:val="1"/>
      <w:numFmt w:val="lowerRoman"/>
      <w:pStyle w:val="bullet0"/>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9"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63B1089"/>
    <w:multiLevelType w:val="hybridMultilevel"/>
    <w:tmpl w:val="27B83F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84D033C"/>
    <w:multiLevelType w:val="multilevel"/>
    <w:tmpl w:val="FBACA040"/>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sz w:val="24"/>
        <w:szCs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911BEF"/>
    <w:multiLevelType w:val="multilevel"/>
    <w:tmpl w:val="54C0B3FC"/>
    <w:styleLink w:val="Style2"/>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621FB5"/>
    <w:multiLevelType w:val="hybridMultilevel"/>
    <w:tmpl w:val="198A2936"/>
    <w:lvl w:ilvl="0" w:tplc="7F16ECA2">
      <w:start w:val="1"/>
      <w:numFmt w:val="bullet"/>
      <w:lvlText w:val=""/>
      <w:lvlJc w:val="left"/>
      <w:pPr>
        <w:ind w:left="720" w:hanging="360"/>
      </w:pPr>
      <w:rPr>
        <w:rFonts w:ascii="Symbol" w:hAnsi="Symbol"/>
      </w:rPr>
    </w:lvl>
    <w:lvl w:ilvl="1" w:tplc="CAA6ED1A">
      <w:start w:val="1"/>
      <w:numFmt w:val="bullet"/>
      <w:lvlText w:val=""/>
      <w:lvlJc w:val="left"/>
      <w:pPr>
        <w:ind w:left="720" w:hanging="360"/>
      </w:pPr>
      <w:rPr>
        <w:rFonts w:ascii="Symbol" w:hAnsi="Symbol"/>
      </w:rPr>
    </w:lvl>
    <w:lvl w:ilvl="2" w:tplc="8CDEB192">
      <w:start w:val="1"/>
      <w:numFmt w:val="bullet"/>
      <w:lvlText w:val=""/>
      <w:lvlJc w:val="left"/>
      <w:pPr>
        <w:ind w:left="720" w:hanging="360"/>
      </w:pPr>
      <w:rPr>
        <w:rFonts w:ascii="Symbol" w:hAnsi="Symbol"/>
      </w:rPr>
    </w:lvl>
    <w:lvl w:ilvl="3" w:tplc="DC66EE7C">
      <w:start w:val="1"/>
      <w:numFmt w:val="bullet"/>
      <w:lvlText w:val=""/>
      <w:lvlJc w:val="left"/>
      <w:pPr>
        <w:ind w:left="720" w:hanging="360"/>
      </w:pPr>
      <w:rPr>
        <w:rFonts w:ascii="Symbol" w:hAnsi="Symbol"/>
      </w:rPr>
    </w:lvl>
    <w:lvl w:ilvl="4" w:tplc="B71AF4C8">
      <w:start w:val="1"/>
      <w:numFmt w:val="bullet"/>
      <w:lvlText w:val=""/>
      <w:lvlJc w:val="left"/>
      <w:pPr>
        <w:ind w:left="720" w:hanging="360"/>
      </w:pPr>
      <w:rPr>
        <w:rFonts w:ascii="Symbol" w:hAnsi="Symbol"/>
      </w:rPr>
    </w:lvl>
    <w:lvl w:ilvl="5" w:tplc="2C3441AA">
      <w:start w:val="1"/>
      <w:numFmt w:val="bullet"/>
      <w:lvlText w:val=""/>
      <w:lvlJc w:val="left"/>
      <w:pPr>
        <w:ind w:left="720" w:hanging="360"/>
      </w:pPr>
      <w:rPr>
        <w:rFonts w:ascii="Symbol" w:hAnsi="Symbol"/>
      </w:rPr>
    </w:lvl>
    <w:lvl w:ilvl="6" w:tplc="9B4E9CF2">
      <w:start w:val="1"/>
      <w:numFmt w:val="bullet"/>
      <w:lvlText w:val=""/>
      <w:lvlJc w:val="left"/>
      <w:pPr>
        <w:ind w:left="720" w:hanging="360"/>
      </w:pPr>
      <w:rPr>
        <w:rFonts w:ascii="Symbol" w:hAnsi="Symbol"/>
      </w:rPr>
    </w:lvl>
    <w:lvl w:ilvl="7" w:tplc="8156241C">
      <w:start w:val="1"/>
      <w:numFmt w:val="bullet"/>
      <w:lvlText w:val=""/>
      <w:lvlJc w:val="left"/>
      <w:pPr>
        <w:ind w:left="720" w:hanging="360"/>
      </w:pPr>
      <w:rPr>
        <w:rFonts w:ascii="Symbol" w:hAnsi="Symbol"/>
      </w:rPr>
    </w:lvl>
    <w:lvl w:ilvl="8" w:tplc="B9928D9A">
      <w:start w:val="1"/>
      <w:numFmt w:val="bullet"/>
      <w:lvlText w:val=""/>
      <w:lvlJc w:val="left"/>
      <w:pPr>
        <w:ind w:left="720" w:hanging="360"/>
      </w:pPr>
      <w:rPr>
        <w:rFonts w:ascii="Symbol" w:hAnsi="Symbol"/>
      </w:rPr>
    </w:lvl>
  </w:abstractNum>
  <w:num w:numId="1" w16cid:durableId="816186631">
    <w:abstractNumId w:val="32"/>
  </w:num>
  <w:num w:numId="2" w16cid:durableId="917793048">
    <w:abstractNumId w:val="19"/>
  </w:num>
  <w:num w:numId="3" w16cid:durableId="263461728">
    <w:abstractNumId w:val="1"/>
  </w:num>
  <w:num w:numId="4" w16cid:durableId="220360847">
    <w:abstractNumId w:val="27"/>
  </w:num>
  <w:num w:numId="5" w16cid:durableId="268196418">
    <w:abstractNumId w:val="18"/>
  </w:num>
  <w:num w:numId="6" w16cid:durableId="1048839230">
    <w:abstractNumId w:val="32"/>
  </w:num>
  <w:num w:numId="7" w16cid:durableId="1694109783">
    <w:abstractNumId w:val="11"/>
  </w:num>
  <w:num w:numId="8" w16cid:durableId="532571319">
    <w:abstractNumId w:val="6"/>
  </w:num>
  <w:num w:numId="9" w16cid:durableId="1467120691">
    <w:abstractNumId w:val="0"/>
  </w:num>
  <w:num w:numId="10" w16cid:durableId="907809181">
    <w:abstractNumId w:val="28"/>
  </w:num>
  <w:num w:numId="11" w16cid:durableId="1643459686">
    <w:abstractNumId w:val="33"/>
  </w:num>
  <w:num w:numId="12" w16cid:durableId="2037198405">
    <w:abstractNumId w:val="25"/>
  </w:num>
  <w:num w:numId="13" w16cid:durableId="1263106628">
    <w:abstractNumId w:val="20"/>
  </w:num>
  <w:num w:numId="14" w16cid:durableId="1688366108">
    <w:abstractNumId w:val="5"/>
  </w:num>
  <w:num w:numId="15" w16cid:durableId="446897144">
    <w:abstractNumId w:val="8"/>
  </w:num>
  <w:num w:numId="16" w16cid:durableId="166944371">
    <w:abstractNumId w:val="10"/>
  </w:num>
  <w:num w:numId="17" w16cid:durableId="6438995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91349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240624">
    <w:abstractNumId w:val="29"/>
  </w:num>
  <w:num w:numId="20" w16cid:durableId="1660116426">
    <w:abstractNumId w:val="3"/>
  </w:num>
  <w:num w:numId="21" w16cid:durableId="1573005167">
    <w:abstractNumId w:val="23"/>
  </w:num>
  <w:num w:numId="22" w16cid:durableId="408699874">
    <w:abstractNumId w:val="24"/>
  </w:num>
  <w:num w:numId="23" w16cid:durableId="1569418770">
    <w:abstractNumId w:val="4"/>
  </w:num>
  <w:num w:numId="24" w16cid:durableId="705176722">
    <w:abstractNumId w:val="2"/>
  </w:num>
  <w:num w:numId="25" w16cid:durableId="1926569401">
    <w:abstractNumId w:val="14"/>
  </w:num>
  <w:num w:numId="26" w16cid:durableId="1979457665">
    <w:abstractNumId w:val="16"/>
  </w:num>
  <w:num w:numId="27" w16cid:durableId="2038313566">
    <w:abstractNumId w:val="12"/>
  </w:num>
  <w:num w:numId="28" w16cid:durableId="129744317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997201">
    <w:abstractNumId w:val="30"/>
  </w:num>
  <w:num w:numId="30" w16cid:durableId="397096514">
    <w:abstractNumId w:val="22"/>
  </w:num>
  <w:num w:numId="31" w16cid:durableId="1810980393">
    <w:abstractNumId w:val="34"/>
  </w:num>
  <w:num w:numId="32" w16cid:durableId="1837529192">
    <w:abstractNumId w:val="9"/>
  </w:num>
  <w:num w:numId="33" w16cid:durableId="1169830509">
    <w:abstractNumId w:val="21"/>
  </w:num>
  <w:num w:numId="34" w16cid:durableId="1704135093">
    <w:abstractNumId w:val="7"/>
  </w:num>
  <w:num w:numId="35" w16cid:durableId="1309673928">
    <w:abstractNumId w:val="15"/>
  </w:num>
  <w:num w:numId="36" w16cid:durableId="1749502723">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eaee2xdlfffvwedt23v5e0r2xpt99ztwexe&quot;&gt;Pegcetacoplan_PNH_OC&lt;record-ids&gt;&lt;item&gt;6&lt;/item&gt;&lt;item&gt;7&lt;/item&gt;&lt;item&gt;8&lt;/item&gt;&lt;item&gt;9&lt;/item&gt;&lt;item&gt;13&lt;/item&gt;&lt;item&gt;17&lt;/item&gt;&lt;item&gt;23&lt;/item&gt;&lt;item&gt;24&lt;/item&gt;&lt;item&gt;26&lt;/item&gt;&lt;item&gt;27&lt;/item&gt;&lt;item&gt;28&lt;/item&gt;&lt;item&gt;29&lt;/item&gt;&lt;item&gt;30&lt;/item&gt;&lt;item&gt;31&lt;/item&gt;&lt;item&gt;33&lt;/item&gt;&lt;item&gt;37&lt;/item&gt;&lt;item&gt;38&lt;/item&gt;&lt;item&gt;39&lt;/item&gt;&lt;item&gt;40&lt;/item&gt;&lt;item&gt;41&lt;/item&gt;&lt;item&gt;42&lt;/item&gt;&lt;item&gt;43&lt;/item&gt;&lt;item&gt;44&lt;/item&gt;&lt;item&gt;49&lt;/item&gt;&lt;item&gt;50&lt;/item&gt;&lt;item&gt;51&lt;/item&gt;&lt;item&gt;52&lt;/item&gt;&lt;item&gt;53&lt;/item&gt;&lt;item&gt;55&lt;/item&gt;&lt;item&gt;56&lt;/item&gt;&lt;item&gt;57&lt;/item&gt;&lt;item&gt;58&lt;/item&gt;&lt;/record-ids&gt;&lt;/item&gt;&lt;/Libraries&gt;"/>
    <w:docVar w:name="EN.UseJSCitationFormat" w:val="False"/>
  </w:docVars>
  <w:rsids>
    <w:rsidRoot w:val="00E65E79"/>
    <w:rsid w:val="00000790"/>
    <w:rsid w:val="00000A7F"/>
    <w:rsid w:val="0000110B"/>
    <w:rsid w:val="000020DC"/>
    <w:rsid w:val="00002EBB"/>
    <w:rsid w:val="00002F2A"/>
    <w:rsid w:val="00003499"/>
    <w:rsid w:val="000039B7"/>
    <w:rsid w:val="00003BB5"/>
    <w:rsid w:val="00003D8A"/>
    <w:rsid w:val="0000460A"/>
    <w:rsid w:val="00005289"/>
    <w:rsid w:val="000056B9"/>
    <w:rsid w:val="00005A76"/>
    <w:rsid w:val="0000639A"/>
    <w:rsid w:val="00006ADC"/>
    <w:rsid w:val="000107E1"/>
    <w:rsid w:val="00010F41"/>
    <w:rsid w:val="00011F59"/>
    <w:rsid w:val="00012585"/>
    <w:rsid w:val="00012A1F"/>
    <w:rsid w:val="00012B60"/>
    <w:rsid w:val="00012C0D"/>
    <w:rsid w:val="00013247"/>
    <w:rsid w:val="0001433F"/>
    <w:rsid w:val="00014E92"/>
    <w:rsid w:val="00015387"/>
    <w:rsid w:val="000156D9"/>
    <w:rsid w:val="00015886"/>
    <w:rsid w:val="000159A6"/>
    <w:rsid w:val="000162EF"/>
    <w:rsid w:val="0001663D"/>
    <w:rsid w:val="0001722B"/>
    <w:rsid w:val="00017825"/>
    <w:rsid w:val="0001788D"/>
    <w:rsid w:val="00020703"/>
    <w:rsid w:val="000207C9"/>
    <w:rsid w:val="0002091D"/>
    <w:rsid w:val="00020AB4"/>
    <w:rsid w:val="0002101C"/>
    <w:rsid w:val="00021A42"/>
    <w:rsid w:val="0002225F"/>
    <w:rsid w:val="00023763"/>
    <w:rsid w:val="000238E6"/>
    <w:rsid w:val="00023B9B"/>
    <w:rsid w:val="00024C6D"/>
    <w:rsid w:val="00024D7E"/>
    <w:rsid w:val="00024E82"/>
    <w:rsid w:val="00024EB5"/>
    <w:rsid w:val="000255AC"/>
    <w:rsid w:val="000261E9"/>
    <w:rsid w:val="00026528"/>
    <w:rsid w:val="00026561"/>
    <w:rsid w:val="0002696D"/>
    <w:rsid w:val="00027082"/>
    <w:rsid w:val="00027128"/>
    <w:rsid w:val="000274B8"/>
    <w:rsid w:val="00027F80"/>
    <w:rsid w:val="000300AA"/>
    <w:rsid w:val="0003091F"/>
    <w:rsid w:val="000312F8"/>
    <w:rsid w:val="000317D1"/>
    <w:rsid w:val="0003200D"/>
    <w:rsid w:val="00032382"/>
    <w:rsid w:val="0003271B"/>
    <w:rsid w:val="000331E2"/>
    <w:rsid w:val="00033863"/>
    <w:rsid w:val="000339F6"/>
    <w:rsid w:val="00034A27"/>
    <w:rsid w:val="00034CA9"/>
    <w:rsid w:val="00035877"/>
    <w:rsid w:val="00035DC0"/>
    <w:rsid w:val="00035E75"/>
    <w:rsid w:val="00036829"/>
    <w:rsid w:val="00040895"/>
    <w:rsid w:val="00040AFE"/>
    <w:rsid w:val="000410A0"/>
    <w:rsid w:val="00041A01"/>
    <w:rsid w:val="00041F2A"/>
    <w:rsid w:val="000423F6"/>
    <w:rsid w:val="000435EE"/>
    <w:rsid w:val="00043C37"/>
    <w:rsid w:val="00044375"/>
    <w:rsid w:val="0004474F"/>
    <w:rsid w:val="00044BB6"/>
    <w:rsid w:val="00044F02"/>
    <w:rsid w:val="00045017"/>
    <w:rsid w:val="00045A2B"/>
    <w:rsid w:val="0004698F"/>
    <w:rsid w:val="00046D64"/>
    <w:rsid w:val="00046E93"/>
    <w:rsid w:val="00047A06"/>
    <w:rsid w:val="00047EA5"/>
    <w:rsid w:val="000508C2"/>
    <w:rsid w:val="000522C5"/>
    <w:rsid w:val="000529FF"/>
    <w:rsid w:val="000535C9"/>
    <w:rsid w:val="000539D0"/>
    <w:rsid w:val="00054621"/>
    <w:rsid w:val="000546D7"/>
    <w:rsid w:val="00054721"/>
    <w:rsid w:val="00054A8D"/>
    <w:rsid w:val="00054BFA"/>
    <w:rsid w:val="00054DB0"/>
    <w:rsid w:val="00055035"/>
    <w:rsid w:val="000554FF"/>
    <w:rsid w:val="00055FA8"/>
    <w:rsid w:val="00056E1C"/>
    <w:rsid w:val="00056ECF"/>
    <w:rsid w:val="000604DF"/>
    <w:rsid w:val="000613DB"/>
    <w:rsid w:val="00061DF9"/>
    <w:rsid w:val="00062324"/>
    <w:rsid w:val="00062371"/>
    <w:rsid w:val="000635C0"/>
    <w:rsid w:val="00063F9D"/>
    <w:rsid w:val="0006412C"/>
    <w:rsid w:val="000653B5"/>
    <w:rsid w:val="00065EAE"/>
    <w:rsid w:val="00065EE2"/>
    <w:rsid w:val="000662E3"/>
    <w:rsid w:val="00066360"/>
    <w:rsid w:val="000664A0"/>
    <w:rsid w:val="00066AF8"/>
    <w:rsid w:val="00070340"/>
    <w:rsid w:val="00071248"/>
    <w:rsid w:val="00071EF4"/>
    <w:rsid w:val="000720B9"/>
    <w:rsid w:val="000722FA"/>
    <w:rsid w:val="0007250B"/>
    <w:rsid w:val="000729C5"/>
    <w:rsid w:val="00072AC2"/>
    <w:rsid w:val="00072CB0"/>
    <w:rsid w:val="000737F7"/>
    <w:rsid w:val="00073BA9"/>
    <w:rsid w:val="00074B8F"/>
    <w:rsid w:val="0007573B"/>
    <w:rsid w:val="00075B89"/>
    <w:rsid w:val="0007672F"/>
    <w:rsid w:val="00076B54"/>
    <w:rsid w:val="000773E6"/>
    <w:rsid w:val="000774F0"/>
    <w:rsid w:val="00077809"/>
    <w:rsid w:val="00077F6D"/>
    <w:rsid w:val="000807A9"/>
    <w:rsid w:val="00080909"/>
    <w:rsid w:val="000810D4"/>
    <w:rsid w:val="000812CA"/>
    <w:rsid w:val="000813CA"/>
    <w:rsid w:val="00081E63"/>
    <w:rsid w:val="0008258D"/>
    <w:rsid w:val="00083B34"/>
    <w:rsid w:val="00083E99"/>
    <w:rsid w:val="00084201"/>
    <w:rsid w:val="00084B8F"/>
    <w:rsid w:val="00084FA8"/>
    <w:rsid w:val="00084FF4"/>
    <w:rsid w:val="000856C5"/>
    <w:rsid w:val="00085C31"/>
    <w:rsid w:val="00086A53"/>
    <w:rsid w:val="000878F2"/>
    <w:rsid w:val="00090156"/>
    <w:rsid w:val="000902D9"/>
    <w:rsid w:val="00090596"/>
    <w:rsid w:val="00090A48"/>
    <w:rsid w:val="00090C66"/>
    <w:rsid w:val="00090C7E"/>
    <w:rsid w:val="000911AC"/>
    <w:rsid w:val="0009188A"/>
    <w:rsid w:val="000919F5"/>
    <w:rsid w:val="00091E30"/>
    <w:rsid w:val="00092600"/>
    <w:rsid w:val="0009262B"/>
    <w:rsid w:val="00093310"/>
    <w:rsid w:val="0009445C"/>
    <w:rsid w:val="00094B44"/>
    <w:rsid w:val="00094DA9"/>
    <w:rsid w:val="0009505B"/>
    <w:rsid w:val="00095200"/>
    <w:rsid w:val="00095F2F"/>
    <w:rsid w:val="00095FE5"/>
    <w:rsid w:val="00096284"/>
    <w:rsid w:val="00096694"/>
    <w:rsid w:val="0009688C"/>
    <w:rsid w:val="000A04FD"/>
    <w:rsid w:val="000A0629"/>
    <w:rsid w:val="000A0907"/>
    <w:rsid w:val="000A1713"/>
    <w:rsid w:val="000A1BC0"/>
    <w:rsid w:val="000A2F9E"/>
    <w:rsid w:val="000A3E47"/>
    <w:rsid w:val="000A4E7C"/>
    <w:rsid w:val="000A50FD"/>
    <w:rsid w:val="000A522B"/>
    <w:rsid w:val="000A5862"/>
    <w:rsid w:val="000A6039"/>
    <w:rsid w:val="000A6A4F"/>
    <w:rsid w:val="000A6CE8"/>
    <w:rsid w:val="000A7453"/>
    <w:rsid w:val="000A7D08"/>
    <w:rsid w:val="000A7EA3"/>
    <w:rsid w:val="000B0121"/>
    <w:rsid w:val="000B05B9"/>
    <w:rsid w:val="000B0670"/>
    <w:rsid w:val="000B0E75"/>
    <w:rsid w:val="000B2232"/>
    <w:rsid w:val="000B2D9D"/>
    <w:rsid w:val="000B2DCB"/>
    <w:rsid w:val="000B312F"/>
    <w:rsid w:val="000B36FC"/>
    <w:rsid w:val="000B4428"/>
    <w:rsid w:val="000B5BAB"/>
    <w:rsid w:val="000B5CE0"/>
    <w:rsid w:val="000B5E87"/>
    <w:rsid w:val="000B67B0"/>
    <w:rsid w:val="000B68A2"/>
    <w:rsid w:val="000B6CAC"/>
    <w:rsid w:val="000B6FFC"/>
    <w:rsid w:val="000B715D"/>
    <w:rsid w:val="000B7265"/>
    <w:rsid w:val="000B72B2"/>
    <w:rsid w:val="000B7612"/>
    <w:rsid w:val="000B78AE"/>
    <w:rsid w:val="000C0F95"/>
    <w:rsid w:val="000C2A90"/>
    <w:rsid w:val="000C3744"/>
    <w:rsid w:val="000C3C17"/>
    <w:rsid w:val="000C3DF9"/>
    <w:rsid w:val="000C40C3"/>
    <w:rsid w:val="000C4693"/>
    <w:rsid w:val="000C4CF2"/>
    <w:rsid w:val="000C596A"/>
    <w:rsid w:val="000C607C"/>
    <w:rsid w:val="000C6713"/>
    <w:rsid w:val="000C79D9"/>
    <w:rsid w:val="000C7B69"/>
    <w:rsid w:val="000D01D9"/>
    <w:rsid w:val="000D0610"/>
    <w:rsid w:val="000D1606"/>
    <w:rsid w:val="000D1BFC"/>
    <w:rsid w:val="000D1D5D"/>
    <w:rsid w:val="000D1EE4"/>
    <w:rsid w:val="000D281A"/>
    <w:rsid w:val="000D2848"/>
    <w:rsid w:val="000D326A"/>
    <w:rsid w:val="000D3739"/>
    <w:rsid w:val="000D3813"/>
    <w:rsid w:val="000D4EC8"/>
    <w:rsid w:val="000D4F81"/>
    <w:rsid w:val="000D51FB"/>
    <w:rsid w:val="000D525F"/>
    <w:rsid w:val="000D5877"/>
    <w:rsid w:val="000D58DA"/>
    <w:rsid w:val="000D639D"/>
    <w:rsid w:val="000D6AD3"/>
    <w:rsid w:val="000D705B"/>
    <w:rsid w:val="000D755E"/>
    <w:rsid w:val="000E0640"/>
    <w:rsid w:val="000E135D"/>
    <w:rsid w:val="000E1FB0"/>
    <w:rsid w:val="000E2127"/>
    <w:rsid w:val="000E27EA"/>
    <w:rsid w:val="000E33DD"/>
    <w:rsid w:val="000E38A1"/>
    <w:rsid w:val="000E50AD"/>
    <w:rsid w:val="000E5C90"/>
    <w:rsid w:val="000E75D1"/>
    <w:rsid w:val="000E7BB2"/>
    <w:rsid w:val="000F00BA"/>
    <w:rsid w:val="000F02A8"/>
    <w:rsid w:val="000F12C9"/>
    <w:rsid w:val="000F1774"/>
    <w:rsid w:val="000F17BA"/>
    <w:rsid w:val="000F22F1"/>
    <w:rsid w:val="000F316A"/>
    <w:rsid w:val="000F344D"/>
    <w:rsid w:val="000F3C74"/>
    <w:rsid w:val="000F4BB8"/>
    <w:rsid w:val="000F4FA9"/>
    <w:rsid w:val="000F53FB"/>
    <w:rsid w:val="000F6057"/>
    <w:rsid w:val="000F6A7E"/>
    <w:rsid w:val="000F7127"/>
    <w:rsid w:val="000F769C"/>
    <w:rsid w:val="000F7B54"/>
    <w:rsid w:val="001000B3"/>
    <w:rsid w:val="0010019D"/>
    <w:rsid w:val="00100CF2"/>
    <w:rsid w:val="00100F8A"/>
    <w:rsid w:val="001016E5"/>
    <w:rsid w:val="00101722"/>
    <w:rsid w:val="0010205C"/>
    <w:rsid w:val="001026BD"/>
    <w:rsid w:val="00102F03"/>
    <w:rsid w:val="001032D9"/>
    <w:rsid w:val="00103367"/>
    <w:rsid w:val="0010452E"/>
    <w:rsid w:val="001057D7"/>
    <w:rsid w:val="00105AE2"/>
    <w:rsid w:val="001060C6"/>
    <w:rsid w:val="00106B80"/>
    <w:rsid w:val="00106C70"/>
    <w:rsid w:val="00106CB1"/>
    <w:rsid w:val="00106EC2"/>
    <w:rsid w:val="001078A4"/>
    <w:rsid w:val="00107A67"/>
    <w:rsid w:val="0011032E"/>
    <w:rsid w:val="001117E2"/>
    <w:rsid w:val="00111886"/>
    <w:rsid w:val="00112E1E"/>
    <w:rsid w:val="0011348B"/>
    <w:rsid w:val="001146C3"/>
    <w:rsid w:val="0011539D"/>
    <w:rsid w:val="00115982"/>
    <w:rsid w:val="0011599D"/>
    <w:rsid w:val="001161D9"/>
    <w:rsid w:val="00116527"/>
    <w:rsid w:val="00116C53"/>
    <w:rsid w:val="00116DE7"/>
    <w:rsid w:val="00116FB1"/>
    <w:rsid w:val="0011711B"/>
    <w:rsid w:val="001208FE"/>
    <w:rsid w:val="00121799"/>
    <w:rsid w:val="00121ACF"/>
    <w:rsid w:val="00121B35"/>
    <w:rsid w:val="001222FC"/>
    <w:rsid w:val="00122AB3"/>
    <w:rsid w:val="0012375B"/>
    <w:rsid w:val="00123902"/>
    <w:rsid w:val="00124255"/>
    <w:rsid w:val="00124A51"/>
    <w:rsid w:val="00125A91"/>
    <w:rsid w:val="00126621"/>
    <w:rsid w:val="00126B1D"/>
    <w:rsid w:val="001270AE"/>
    <w:rsid w:val="001275F2"/>
    <w:rsid w:val="00127641"/>
    <w:rsid w:val="001301E9"/>
    <w:rsid w:val="0013031A"/>
    <w:rsid w:val="001313D5"/>
    <w:rsid w:val="00131D82"/>
    <w:rsid w:val="00132882"/>
    <w:rsid w:val="00132B22"/>
    <w:rsid w:val="00132CB0"/>
    <w:rsid w:val="00132CD0"/>
    <w:rsid w:val="00132D0E"/>
    <w:rsid w:val="00133BFD"/>
    <w:rsid w:val="00133D36"/>
    <w:rsid w:val="00134128"/>
    <w:rsid w:val="00134501"/>
    <w:rsid w:val="00134FD8"/>
    <w:rsid w:val="00135055"/>
    <w:rsid w:val="001357F0"/>
    <w:rsid w:val="00135F70"/>
    <w:rsid w:val="00136632"/>
    <w:rsid w:val="00137645"/>
    <w:rsid w:val="00137C1F"/>
    <w:rsid w:val="0014015A"/>
    <w:rsid w:val="00140A37"/>
    <w:rsid w:val="00140E99"/>
    <w:rsid w:val="00140FB8"/>
    <w:rsid w:val="001420B2"/>
    <w:rsid w:val="00143C8C"/>
    <w:rsid w:val="00143F67"/>
    <w:rsid w:val="001448E2"/>
    <w:rsid w:val="00145234"/>
    <w:rsid w:val="00145540"/>
    <w:rsid w:val="001456B0"/>
    <w:rsid w:val="00147479"/>
    <w:rsid w:val="001476EC"/>
    <w:rsid w:val="00147ACC"/>
    <w:rsid w:val="00147BE6"/>
    <w:rsid w:val="00147ED2"/>
    <w:rsid w:val="00150069"/>
    <w:rsid w:val="001508C7"/>
    <w:rsid w:val="001509A2"/>
    <w:rsid w:val="001510D0"/>
    <w:rsid w:val="00152733"/>
    <w:rsid w:val="00152C66"/>
    <w:rsid w:val="0015365F"/>
    <w:rsid w:val="0015368A"/>
    <w:rsid w:val="00153972"/>
    <w:rsid w:val="0015471C"/>
    <w:rsid w:val="001547AB"/>
    <w:rsid w:val="00156CDE"/>
    <w:rsid w:val="00156F8F"/>
    <w:rsid w:val="00157130"/>
    <w:rsid w:val="0015754F"/>
    <w:rsid w:val="001576B1"/>
    <w:rsid w:val="00157F24"/>
    <w:rsid w:val="0016047B"/>
    <w:rsid w:val="00160A4C"/>
    <w:rsid w:val="00162913"/>
    <w:rsid w:val="00162F1B"/>
    <w:rsid w:val="00163EFF"/>
    <w:rsid w:val="00163F66"/>
    <w:rsid w:val="001644D8"/>
    <w:rsid w:val="0016478E"/>
    <w:rsid w:val="00165C83"/>
    <w:rsid w:val="00165EC4"/>
    <w:rsid w:val="00165F9D"/>
    <w:rsid w:val="001661FB"/>
    <w:rsid w:val="00166569"/>
    <w:rsid w:val="001670A5"/>
    <w:rsid w:val="001671A0"/>
    <w:rsid w:val="0016763B"/>
    <w:rsid w:val="0016767F"/>
    <w:rsid w:val="00167CD4"/>
    <w:rsid w:val="00170113"/>
    <w:rsid w:val="00171C12"/>
    <w:rsid w:val="0017241E"/>
    <w:rsid w:val="001729A5"/>
    <w:rsid w:val="00173565"/>
    <w:rsid w:val="00173B07"/>
    <w:rsid w:val="00173C10"/>
    <w:rsid w:val="00173C3A"/>
    <w:rsid w:val="00173E89"/>
    <w:rsid w:val="00173F10"/>
    <w:rsid w:val="0017496D"/>
    <w:rsid w:val="001751FA"/>
    <w:rsid w:val="0017549B"/>
    <w:rsid w:val="001758B4"/>
    <w:rsid w:val="00175D80"/>
    <w:rsid w:val="00175DB0"/>
    <w:rsid w:val="00177DFB"/>
    <w:rsid w:val="0018089E"/>
    <w:rsid w:val="00180ABD"/>
    <w:rsid w:val="00181C10"/>
    <w:rsid w:val="00181D9C"/>
    <w:rsid w:val="001835E9"/>
    <w:rsid w:val="001837FF"/>
    <w:rsid w:val="00183EF9"/>
    <w:rsid w:val="00184B0E"/>
    <w:rsid w:val="00185280"/>
    <w:rsid w:val="00186572"/>
    <w:rsid w:val="0018752F"/>
    <w:rsid w:val="00190DEF"/>
    <w:rsid w:val="0019129F"/>
    <w:rsid w:val="00191F30"/>
    <w:rsid w:val="0019271D"/>
    <w:rsid w:val="00192A8E"/>
    <w:rsid w:val="00192FE1"/>
    <w:rsid w:val="00193838"/>
    <w:rsid w:val="001940C2"/>
    <w:rsid w:val="0019438B"/>
    <w:rsid w:val="00194AD8"/>
    <w:rsid w:val="001950F9"/>
    <w:rsid w:val="00195222"/>
    <w:rsid w:val="00195452"/>
    <w:rsid w:val="0019651B"/>
    <w:rsid w:val="00196A35"/>
    <w:rsid w:val="00196D3B"/>
    <w:rsid w:val="001972EB"/>
    <w:rsid w:val="001975D8"/>
    <w:rsid w:val="001A0453"/>
    <w:rsid w:val="001A086B"/>
    <w:rsid w:val="001A0B71"/>
    <w:rsid w:val="001A13E4"/>
    <w:rsid w:val="001A178E"/>
    <w:rsid w:val="001A1B00"/>
    <w:rsid w:val="001A232C"/>
    <w:rsid w:val="001A2F1D"/>
    <w:rsid w:val="001A35EA"/>
    <w:rsid w:val="001A3D60"/>
    <w:rsid w:val="001A43FA"/>
    <w:rsid w:val="001A47C5"/>
    <w:rsid w:val="001A527C"/>
    <w:rsid w:val="001A590E"/>
    <w:rsid w:val="001A5991"/>
    <w:rsid w:val="001A59FB"/>
    <w:rsid w:val="001A5CE9"/>
    <w:rsid w:val="001A5D3A"/>
    <w:rsid w:val="001A5E9E"/>
    <w:rsid w:val="001A6354"/>
    <w:rsid w:val="001A6366"/>
    <w:rsid w:val="001A69AF"/>
    <w:rsid w:val="001A6AD8"/>
    <w:rsid w:val="001A6FC3"/>
    <w:rsid w:val="001A7901"/>
    <w:rsid w:val="001A7AE8"/>
    <w:rsid w:val="001B044F"/>
    <w:rsid w:val="001B1296"/>
    <w:rsid w:val="001B18B4"/>
    <w:rsid w:val="001B1B55"/>
    <w:rsid w:val="001B1E31"/>
    <w:rsid w:val="001B204E"/>
    <w:rsid w:val="001B2372"/>
    <w:rsid w:val="001B2B25"/>
    <w:rsid w:val="001B3443"/>
    <w:rsid w:val="001B489F"/>
    <w:rsid w:val="001B4D20"/>
    <w:rsid w:val="001B5303"/>
    <w:rsid w:val="001B6A18"/>
    <w:rsid w:val="001B6A87"/>
    <w:rsid w:val="001B7F84"/>
    <w:rsid w:val="001C07F2"/>
    <w:rsid w:val="001C174D"/>
    <w:rsid w:val="001C2747"/>
    <w:rsid w:val="001C2951"/>
    <w:rsid w:val="001C2A06"/>
    <w:rsid w:val="001C2A9B"/>
    <w:rsid w:val="001C3BDF"/>
    <w:rsid w:val="001C3DD6"/>
    <w:rsid w:val="001C4299"/>
    <w:rsid w:val="001C4874"/>
    <w:rsid w:val="001C4F4A"/>
    <w:rsid w:val="001C57FD"/>
    <w:rsid w:val="001C5B1C"/>
    <w:rsid w:val="001C5F94"/>
    <w:rsid w:val="001C622E"/>
    <w:rsid w:val="001C6E66"/>
    <w:rsid w:val="001C7741"/>
    <w:rsid w:val="001C790D"/>
    <w:rsid w:val="001D0E41"/>
    <w:rsid w:val="001D1100"/>
    <w:rsid w:val="001D1391"/>
    <w:rsid w:val="001D1B57"/>
    <w:rsid w:val="001D1C1C"/>
    <w:rsid w:val="001D2073"/>
    <w:rsid w:val="001D25D7"/>
    <w:rsid w:val="001D27E5"/>
    <w:rsid w:val="001D28AC"/>
    <w:rsid w:val="001D29EF"/>
    <w:rsid w:val="001D305F"/>
    <w:rsid w:val="001D50B2"/>
    <w:rsid w:val="001D5918"/>
    <w:rsid w:val="001D6216"/>
    <w:rsid w:val="001D6B26"/>
    <w:rsid w:val="001D71F4"/>
    <w:rsid w:val="001D743F"/>
    <w:rsid w:val="001D7645"/>
    <w:rsid w:val="001D777D"/>
    <w:rsid w:val="001E0172"/>
    <w:rsid w:val="001E163A"/>
    <w:rsid w:val="001E1876"/>
    <w:rsid w:val="001E1E86"/>
    <w:rsid w:val="001E238E"/>
    <w:rsid w:val="001E2483"/>
    <w:rsid w:val="001E24CD"/>
    <w:rsid w:val="001E2B1E"/>
    <w:rsid w:val="001E2CFF"/>
    <w:rsid w:val="001E2F24"/>
    <w:rsid w:val="001E30D4"/>
    <w:rsid w:val="001E3295"/>
    <w:rsid w:val="001E34DF"/>
    <w:rsid w:val="001E34F9"/>
    <w:rsid w:val="001E3BA6"/>
    <w:rsid w:val="001E3CE5"/>
    <w:rsid w:val="001E40B0"/>
    <w:rsid w:val="001E52EB"/>
    <w:rsid w:val="001E5544"/>
    <w:rsid w:val="001E61D2"/>
    <w:rsid w:val="001E740C"/>
    <w:rsid w:val="001E74C0"/>
    <w:rsid w:val="001E7F1A"/>
    <w:rsid w:val="001F1235"/>
    <w:rsid w:val="001F129B"/>
    <w:rsid w:val="001F1CB3"/>
    <w:rsid w:val="001F3032"/>
    <w:rsid w:val="001F3573"/>
    <w:rsid w:val="001F38B5"/>
    <w:rsid w:val="001F4013"/>
    <w:rsid w:val="001F4081"/>
    <w:rsid w:val="001F4105"/>
    <w:rsid w:val="001F6650"/>
    <w:rsid w:val="001F71DA"/>
    <w:rsid w:val="001F7361"/>
    <w:rsid w:val="001F7776"/>
    <w:rsid w:val="001F779A"/>
    <w:rsid w:val="001F7AF6"/>
    <w:rsid w:val="001F7D10"/>
    <w:rsid w:val="00200111"/>
    <w:rsid w:val="00200B21"/>
    <w:rsid w:val="002011B0"/>
    <w:rsid w:val="00201349"/>
    <w:rsid w:val="00201664"/>
    <w:rsid w:val="00203181"/>
    <w:rsid w:val="00203783"/>
    <w:rsid w:val="0020385F"/>
    <w:rsid w:val="00203B16"/>
    <w:rsid w:val="00203E4A"/>
    <w:rsid w:val="00203E9D"/>
    <w:rsid w:val="0020455C"/>
    <w:rsid w:val="002046C5"/>
    <w:rsid w:val="00205B6F"/>
    <w:rsid w:val="002060D3"/>
    <w:rsid w:val="002068A0"/>
    <w:rsid w:val="002068DC"/>
    <w:rsid w:val="00207021"/>
    <w:rsid w:val="0020732F"/>
    <w:rsid w:val="002075AF"/>
    <w:rsid w:val="0020798A"/>
    <w:rsid w:val="00207C51"/>
    <w:rsid w:val="00207D00"/>
    <w:rsid w:val="00207DCF"/>
    <w:rsid w:val="002105C1"/>
    <w:rsid w:val="00211380"/>
    <w:rsid w:val="002116FD"/>
    <w:rsid w:val="00211CC2"/>
    <w:rsid w:val="00212025"/>
    <w:rsid w:val="002129DD"/>
    <w:rsid w:val="00212B61"/>
    <w:rsid w:val="00213AB7"/>
    <w:rsid w:val="00213C32"/>
    <w:rsid w:val="00213EF5"/>
    <w:rsid w:val="00214072"/>
    <w:rsid w:val="002147CD"/>
    <w:rsid w:val="002153D1"/>
    <w:rsid w:val="00216BF5"/>
    <w:rsid w:val="00217692"/>
    <w:rsid w:val="00217A6F"/>
    <w:rsid w:val="002216F3"/>
    <w:rsid w:val="00221FB8"/>
    <w:rsid w:val="002222D8"/>
    <w:rsid w:val="00223203"/>
    <w:rsid w:val="00223B49"/>
    <w:rsid w:val="00223D5A"/>
    <w:rsid w:val="00223DFC"/>
    <w:rsid w:val="00224DD4"/>
    <w:rsid w:val="00225815"/>
    <w:rsid w:val="0022721F"/>
    <w:rsid w:val="002278A0"/>
    <w:rsid w:val="002279DD"/>
    <w:rsid w:val="00227F44"/>
    <w:rsid w:val="002309CC"/>
    <w:rsid w:val="0023102A"/>
    <w:rsid w:val="002318F2"/>
    <w:rsid w:val="00231BA9"/>
    <w:rsid w:val="00231DC6"/>
    <w:rsid w:val="00231FA5"/>
    <w:rsid w:val="0023209F"/>
    <w:rsid w:val="002324C7"/>
    <w:rsid w:val="00233C01"/>
    <w:rsid w:val="0023413C"/>
    <w:rsid w:val="002345F6"/>
    <w:rsid w:val="002346F0"/>
    <w:rsid w:val="00235AA2"/>
    <w:rsid w:val="00235C75"/>
    <w:rsid w:val="0023629D"/>
    <w:rsid w:val="002369FC"/>
    <w:rsid w:val="00237255"/>
    <w:rsid w:val="00237483"/>
    <w:rsid w:val="002377B5"/>
    <w:rsid w:val="0024040E"/>
    <w:rsid w:val="002424AF"/>
    <w:rsid w:val="002436DB"/>
    <w:rsid w:val="002439DC"/>
    <w:rsid w:val="00243A94"/>
    <w:rsid w:val="002441D2"/>
    <w:rsid w:val="0024479C"/>
    <w:rsid w:val="00244A81"/>
    <w:rsid w:val="00244DC8"/>
    <w:rsid w:val="002458BA"/>
    <w:rsid w:val="00245CE9"/>
    <w:rsid w:val="00245D71"/>
    <w:rsid w:val="0024636C"/>
    <w:rsid w:val="00246DD6"/>
    <w:rsid w:val="00246F68"/>
    <w:rsid w:val="00247925"/>
    <w:rsid w:val="00247AA7"/>
    <w:rsid w:val="00251006"/>
    <w:rsid w:val="0025150D"/>
    <w:rsid w:val="002524D5"/>
    <w:rsid w:val="00252958"/>
    <w:rsid w:val="0025383D"/>
    <w:rsid w:val="002539E2"/>
    <w:rsid w:val="00253B1D"/>
    <w:rsid w:val="00253EA2"/>
    <w:rsid w:val="002546C9"/>
    <w:rsid w:val="00254A32"/>
    <w:rsid w:val="00254DCF"/>
    <w:rsid w:val="0025534B"/>
    <w:rsid w:val="00255BB7"/>
    <w:rsid w:val="00257541"/>
    <w:rsid w:val="002575E1"/>
    <w:rsid w:val="00257A39"/>
    <w:rsid w:val="00257AC4"/>
    <w:rsid w:val="00257BBE"/>
    <w:rsid w:val="00257E3B"/>
    <w:rsid w:val="00257F66"/>
    <w:rsid w:val="0026149C"/>
    <w:rsid w:val="00261EEF"/>
    <w:rsid w:val="00262A1A"/>
    <w:rsid w:val="00262A87"/>
    <w:rsid w:val="00263041"/>
    <w:rsid w:val="002637C2"/>
    <w:rsid w:val="0026387B"/>
    <w:rsid w:val="00264D06"/>
    <w:rsid w:val="00264D26"/>
    <w:rsid w:val="002656E3"/>
    <w:rsid w:val="00265D4D"/>
    <w:rsid w:val="00265F5D"/>
    <w:rsid w:val="00265FFA"/>
    <w:rsid w:val="002665BC"/>
    <w:rsid w:val="002666D1"/>
    <w:rsid w:val="0026745A"/>
    <w:rsid w:val="00267642"/>
    <w:rsid w:val="00267A44"/>
    <w:rsid w:val="00267AEA"/>
    <w:rsid w:val="002700E6"/>
    <w:rsid w:val="002706D1"/>
    <w:rsid w:val="00270CFF"/>
    <w:rsid w:val="002714FD"/>
    <w:rsid w:val="0027294B"/>
    <w:rsid w:val="00273172"/>
    <w:rsid w:val="00273DB9"/>
    <w:rsid w:val="00273EB4"/>
    <w:rsid w:val="00274682"/>
    <w:rsid w:val="00275032"/>
    <w:rsid w:val="00275158"/>
    <w:rsid w:val="0027550D"/>
    <w:rsid w:val="00275C5A"/>
    <w:rsid w:val="0027649C"/>
    <w:rsid w:val="00277A1A"/>
    <w:rsid w:val="00280102"/>
    <w:rsid w:val="00281014"/>
    <w:rsid w:val="002816B4"/>
    <w:rsid w:val="00282035"/>
    <w:rsid w:val="00282E40"/>
    <w:rsid w:val="00282FDD"/>
    <w:rsid w:val="00283B46"/>
    <w:rsid w:val="00283FF1"/>
    <w:rsid w:val="002845A2"/>
    <w:rsid w:val="00284BE4"/>
    <w:rsid w:val="00284E26"/>
    <w:rsid w:val="002858F2"/>
    <w:rsid w:val="00285BCE"/>
    <w:rsid w:val="0028665D"/>
    <w:rsid w:val="00286D33"/>
    <w:rsid w:val="00286DBD"/>
    <w:rsid w:val="00287C88"/>
    <w:rsid w:val="0029002A"/>
    <w:rsid w:val="00290155"/>
    <w:rsid w:val="00290980"/>
    <w:rsid w:val="00290BAB"/>
    <w:rsid w:val="002911EB"/>
    <w:rsid w:val="002930AC"/>
    <w:rsid w:val="002940DF"/>
    <w:rsid w:val="00294A5F"/>
    <w:rsid w:val="00296107"/>
    <w:rsid w:val="00296ADC"/>
    <w:rsid w:val="00297290"/>
    <w:rsid w:val="002974BC"/>
    <w:rsid w:val="002979D5"/>
    <w:rsid w:val="00297A2A"/>
    <w:rsid w:val="00297B19"/>
    <w:rsid w:val="00297F1F"/>
    <w:rsid w:val="002A14AB"/>
    <w:rsid w:val="002A1D4B"/>
    <w:rsid w:val="002A2ADE"/>
    <w:rsid w:val="002A2F50"/>
    <w:rsid w:val="002A3034"/>
    <w:rsid w:val="002A3757"/>
    <w:rsid w:val="002A3E33"/>
    <w:rsid w:val="002A569D"/>
    <w:rsid w:val="002A6697"/>
    <w:rsid w:val="002A6809"/>
    <w:rsid w:val="002A6C68"/>
    <w:rsid w:val="002A7943"/>
    <w:rsid w:val="002B05A1"/>
    <w:rsid w:val="002B06A7"/>
    <w:rsid w:val="002B09A4"/>
    <w:rsid w:val="002B1105"/>
    <w:rsid w:val="002B1B08"/>
    <w:rsid w:val="002B1C1F"/>
    <w:rsid w:val="002B1DC1"/>
    <w:rsid w:val="002B1E30"/>
    <w:rsid w:val="002B2C49"/>
    <w:rsid w:val="002B391D"/>
    <w:rsid w:val="002B3CD8"/>
    <w:rsid w:val="002B432F"/>
    <w:rsid w:val="002B46CB"/>
    <w:rsid w:val="002B49E1"/>
    <w:rsid w:val="002B55A0"/>
    <w:rsid w:val="002B62B3"/>
    <w:rsid w:val="002B671C"/>
    <w:rsid w:val="002B6754"/>
    <w:rsid w:val="002B6812"/>
    <w:rsid w:val="002B6CCE"/>
    <w:rsid w:val="002C0393"/>
    <w:rsid w:val="002C08CA"/>
    <w:rsid w:val="002C08E6"/>
    <w:rsid w:val="002C1187"/>
    <w:rsid w:val="002C1646"/>
    <w:rsid w:val="002C1BD9"/>
    <w:rsid w:val="002C1E87"/>
    <w:rsid w:val="002C2510"/>
    <w:rsid w:val="002C2775"/>
    <w:rsid w:val="002C27C1"/>
    <w:rsid w:val="002C288A"/>
    <w:rsid w:val="002C2BC1"/>
    <w:rsid w:val="002C36BA"/>
    <w:rsid w:val="002C36E3"/>
    <w:rsid w:val="002C39CC"/>
    <w:rsid w:val="002C3F85"/>
    <w:rsid w:val="002C4225"/>
    <w:rsid w:val="002C4E7D"/>
    <w:rsid w:val="002C5099"/>
    <w:rsid w:val="002C55F3"/>
    <w:rsid w:val="002C5889"/>
    <w:rsid w:val="002C5998"/>
    <w:rsid w:val="002C6349"/>
    <w:rsid w:val="002C71CE"/>
    <w:rsid w:val="002D08F8"/>
    <w:rsid w:val="002D0F2A"/>
    <w:rsid w:val="002D152E"/>
    <w:rsid w:val="002D1697"/>
    <w:rsid w:val="002D3F23"/>
    <w:rsid w:val="002D48D6"/>
    <w:rsid w:val="002D51E9"/>
    <w:rsid w:val="002D53C9"/>
    <w:rsid w:val="002D5658"/>
    <w:rsid w:val="002D577C"/>
    <w:rsid w:val="002D7832"/>
    <w:rsid w:val="002D7EC6"/>
    <w:rsid w:val="002E1071"/>
    <w:rsid w:val="002E15B9"/>
    <w:rsid w:val="002E1B98"/>
    <w:rsid w:val="002E2158"/>
    <w:rsid w:val="002E22F2"/>
    <w:rsid w:val="002E4876"/>
    <w:rsid w:val="002E4A69"/>
    <w:rsid w:val="002E4F02"/>
    <w:rsid w:val="002E5B12"/>
    <w:rsid w:val="002E605F"/>
    <w:rsid w:val="002E74DA"/>
    <w:rsid w:val="002E74F1"/>
    <w:rsid w:val="002E7722"/>
    <w:rsid w:val="002F07BA"/>
    <w:rsid w:val="002F0DA9"/>
    <w:rsid w:val="002F0FDB"/>
    <w:rsid w:val="002F1014"/>
    <w:rsid w:val="002F1E3B"/>
    <w:rsid w:val="002F2B93"/>
    <w:rsid w:val="002F55EC"/>
    <w:rsid w:val="002F635F"/>
    <w:rsid w:val="002F643C"/>
    <w:rsid w:val="002F71C0"/>
    <w:rsid w:val="002F74F1"/>
    <w:rsid w:val="002F77BA"/>
    <w:rsid w:val="002F7984"/>
    <w:rsid w:val="002F79C4"/>
    <w:rsid w:val="002F7D51"/>
    <w:rsid w:val="003001D7"/>
    <w:rsid w:val="00300449"/>
    <w:rsid w:val="00300679"/>
    <w:rsid w:val="003008A7"/>
    <w:rsid w:val="00300D22"/>
    <w:rsid w:val="00301017"/>
    <w:rsid w:val="00301067"/>
    <w:rsid w:val="0030155F"/>
    <w:rsid w:val="00301C75"/>
    <w:rsid w:val="00302101"/>
    <w:rsid w:val="00303ADB"/>
    <w:rsid w:val="00304D35"/>
    <w:rsid w:val="00304FAF"/>
    <w:rsid w:val="0030587B"/>
    <w:rsid w:val="003064AE"/>
    <w:rsid w:val="00306D98"/>
    <w:rsid w:val="003072D1"/>
    <w:rsid w:val="003077CE"/>
    <w:rsid w:val="0030786C"/>
    <w:rsid w:val="00307AAD"/>
    <w:rsid w:val="0031031A"/>
    <w:rsid w:val="00310981"/>
    <w:rsid w:val="003113D6"/>
    <w:rsid w:val="00311D3F"/>
    <w:rsid w:val="00311D9B"/>
    <w:rsid w:val="003120EA"/>
    <w:rsid w:val="00312283"/>
    <w:rsid w:val="003124D9"/>
    <w:rsid w:val="00312594"/>
    <w:rsid w:val="00313122"/>
    <w:rsid w:val="003135F8"/>
    <w:rsid w:val="003153FC"/>
    <w:rsid w:val="00315498"/>
    <w:rsid w:val="00315965"/>
    <w:rsid w:val="00316474"/>
    <w:rsid w:val="003171E5"/>
    <w:rsid w:val="00317F5D"/>
    <w:rsid w:val="00320313"/>
    <w:rsid w:val="00320711"/>
    <w:rsid w:val="00321312"/>
    <w:rsid w:val="00322107"/>
    <w:rsid w:val="00322355"/>
    <w:rsid w:val="00322846"/>
    <w:rsid w:val="0032302C"/>
    <w:rsid w:val="00323C8A"/>
    <w:rsid w:val="00323F70"/>
    <w:rsid w:val="003243C5"/>
    <w:rsid w:val="00325706"/>
    <w:rsid w:val="003263F5"/>
    <w:rsid w:val="00326DA7"/>
    <w:rsid w:val="003270E4"/>
    <w:rsid w:val="0032751B"/>
    <w:rsid w:val="0032788C"/>
    <w:rsid w:val="003304D8"/>
    <w:rsid w:val="00330DAA"/>
    <w:rsid w:val="00330E09"/>
    <w:rsid w:val="00330F5C"/>
    <w:rsid w:val="00331D04"/>
    <w:rsid w:val="00331E1E"/>
    <w:rsid w:val="003325AA"/>
    <w:rsid w:val="00332614"/>
    <w:rsid w:val="00335E76"/>
    <w:rsid w:val="003366C9"/>
    <w:rsid w:val="00336C3A"/>
    <w:rsid w:val="00336D3B"/>
    <w:rsid w:val="003371B0"/>
    <w:rsid w:val="00340923"/>
    <w:rsid w:val="00340DF1"/>
    <w:rsid w:val="0034218E"/>
    <w:rsid w:val="00342F2D"/>
    <w:rsid w:val="00344CD1"/>
    <w:rsid w:val="00344FA1"/>
    <w:rsid w:val="003452F2"/>
    <w:rsid w:val="00345A51"/>
    <w:rsid w:val="003472AB"/>
    <w:rsid w:val="003479D3"/>
    <w:rsid w:val="003517F9"/>
    <w:rsid w:val="00351BA9"/>
    <w:rsid w:val="00352D1C"/>
    <w:rsid w:val="003534D2"/>
    <w:rsid w:val="00353C1C"/>
    <w:rsid w:val="0035433E"/>
    <w:rsid w:val="00354F2F"/>
    <w:rsid w:val="00354F64"/>
    <w:rsid w:val="0035620E"/>
    <w:rsid w:val="00357307"/>
    <w:rsid w:val="003575BE"/>
    <w:rsid w:val="00360345"/>
    <w:rsid w:val="00360987"/>
    <w:rsid w:val="00361A05"/>
    <w:rsid w:val="00361FF9"/>
    <w:rsid w:val="003624C4"/>
    <w:rsid w:val="003626F5"/>
    <w:rsid w:val="00362A91"/>
    <w:rsid w:val="00363B00"/>
    <w:rsid w:val="003641E4"/>
    <w:rsid w:val="00365371"/>
    <w:rsid w:val="0036545E"/>
    <w:rsid w:val="003654AC"/>
    <w:rsid w:val="003670D2"/>
    <w:rsid w:val="00370982"/>
    <w:rsid w:val="00370C52"/>
    <w:rsid w:val="00370F17"/>
    <w:rsid w:val="003710CF"/>
    <w:rsid w:val="003727C6"/>
    <w:rsid w:val="00372AC7"/>
    <w:rsid w:val="00372B5D"/>
    <w:rsid w:val="0037300E"/>
    <w:rsid w:val="0037358A"/>
    <w:rsid w:val="00373E47"/>
    <w:rsid w:val="0037472F"/>
    <w:rsid w:val="003750F6"/>
    <w:rsid w:val="00375ED8"/>
    <w:rsid w:val="003760FC"/>
    <w:rsid w:val="003768D4"/>
    <w:rsid w:val="00377089"/>
    <w:rsid w:val="0037751B"/>
    <w:rsid w:val="0037BE35"/>
    <w:rsid w:val="003807B9"/>
    <w:rsid w:val="00380D06"/>
    <w:rsid w:val="00380D74"/>
    <w:rsid w:val="003818E7"/>
    <w:rsid w:val="00381ED4"/>
    <w:rsid w:val="0038266C"/>
    <w:rsid w:val="00382C25"/>
    <w:rsid w:val="00382D87"/>
    <w:rsid w:val="0038365C"/>
    <w:rsid w:val="0038369B"/>
    <w:rsid w:val="00383B78"/>
    <w:rsid w:val="00383BCD"/>
    <w:rsid w:val="00384AB7"/>
    <w:rsid w:val="00384EEB"/>
    <w:rsid w:val="00385A9D"/>
    <w:rsid w:val="00385C4B"/>
    <w:rsid w:val="00386C13"/>
    <w:rsid w:val="00387121"/>
    <w:rsid w:val="003879D3"/>
    <w:rsid w:val="003902B1"/>
    <w:rsid w:val="0039031C"/>
    <w:rsid w:val="00390619"/>
    <w:rsid w:val="0039174C"/>
    <w:rsid w:val="0039179C"/>
    <w:rsid w:val="00393DB0"/>
    <w:rsid w:val="0039487F"/>
    <w:rsid w:val="0039549D"/>
    <w:rsid w:val="00395B0F"/>
    <w:rsid w:val="003967A2"/>
    <w:rsid w:val="003967F3"/>
    <w:rsid w:val="00396896"/>
    <w:rsid w:val="00396A60"/>
    <w:rsid w:val="00396EAE"/>
    <w:rsid w:val="00396FD0"/>
    <w:rsid w:val="00397946"/>
    <w:rsid w:val="00397B09"/>
    <w:rsid w:val="00397E72"/>
    <w:rsid w:val="003A1A7A"/>
    <w:rsid w:val="003A2392"/>
    <w:rsid w:val="003A23D2"/>
    <w:rsid w:val="003A27D8"/>
    <w:rsid w:val="003A2831"/>
    <w:rsid w:val="003A29AD"/>
    <w:rsid w:val="003A2B50"/>
    <w:rsid w:val="003A3499"/>
    <w:rsid w:val="003A384E"/>
    <w:rsid w:val="003A38B3"/>
    <w:rsid w:val="003A3CB6"/>
    <w:rsid w:val="003A3ED1"/>
    <w:rsid w:val="003A44DB"/>
    <w:rsid w:val="003A4714"/>
    <w:rsid w:val="003A4C14"/>
    <w:rsid w:val="003A5462"/>
    <w:rsid w:val="003A5B6D"/>
    <w:rsid w:val="003A6787"/>
    <w:rsid w:val="003A68E1"/>
    <w:rsid w:val="003A6D7E"/>
    <w:rsid w:val="003A72D2"/>
    <w:rsid w:val="003A75D5"/>
    <w:rsid w:val="003A77C5"/>
    <w:rsid w:val="003B26AB"/>
    <w:rsid w:val="003B2DD3"/>
    <w:rsid w:val="003B3971"/>
    <w:rsid w:val="003B3D0C"/>
    <w:rsid w:val="003B3E8B"/>
    <w:rsid w:val="003B3FFF"/>
    <w:rsid w:val="003B53AA"/>
    <w:rsid w:val="003B55D1"/>
    <w:rsid w:val="003B5B61"/>
    <w:rsid w:val="003B5EB2"/>
    <w:rsid w:val="003B6BF6"/>
    <w:rsid w:val="003B7CAE"/>
    <w:rsid w:val="003B7E9B"/>
    <w:rsid w:val="003C1654"/>
    <w:rsid w:val="003C1D85"/>
    <w:rsid w:val="003C32CD"/>
    <w:rsid w:val="003C5333"/>
    <w:rsid w:val="003C5542"/>
    <w:rsid w:val="003C589A"/>
    <w:rsid w:val="003C66D5"/>
    <w:rsid w:val="003C7C15"/>
    <w:rsid w:val="003C7D19"/>
    <w:rsid w:val="003C7D2F"/>
    <w:rsid w:val="003D064F"/>
    <w:rsid w:val="003D0C5A"/>
    <w:rsid w:val="003D16EB"/>
    <w:rsid w:val="003D1828"/>
    <w:rsid w:val="003D1A7B"/>
    <w:rsid w:val="003D1D98"/>
    <w:rsid w:val="003D1DE4"/>
    <w:rsid w:val="003D1E9A"/>
    <w:rsid w:val="003D2422"/>
    <w:rsid w:val="003D3669"/>
    <w:rsid w:val="003D37CB"/>
    <w:rsid w:val="003D39A1"/>
    <w:rsid w:val="003D3F36"/>
    <w:rsid w:val="003D3FBF"/>
    <w:rsid w:val="003D4A30"/>
    <w:rsid w:val="003D4DCE"/>
    <w:rsid w:val="003D595F"/>
    <w:rsid w:val="003D5BCF"/>
    <w:rsid w:val="003D6EEA"/>
    <w:rsid w:val="003D70C5"/>
    <w:rsid w:val="003D7452"/>
    <w:rsid w:val="003D7970"/>
    <w:rsid w:val="003D79BB"/>
    <w:rsid w:val="003D7C98"/>
    <w:rsid w:val="003D7D9D"/>
    <w:rsid w:val="003E0543"/>
    <w:rsid w:val="003E1132"/>
    <w:rsid w:val="003E148A"/>
    <w:rsid w:val="003E31DE"/>
    <w:rsid w:val="003E3D61"/>
    <w:rsid w:val="003E5603"/>
    <w:rsid w:val="003E631C"/>
    <w:rsid w:val="003E70F2"/>
    <w:rsid w:val="003E71F9"/>
    <w:rsid w:val="003E749E"/>
    <w:rsid w:val="003F0CD8"/>
    <w:rsid w:val="003F0EF6"/>
    <w:rsid w:val="003F300D"/>
    <w:rsid w:val="003F332D"/>
    <w:rsid w:val="003F36A7"/>
    <w:rsid w:val="003F40D9"/>
    <w:rsid w:val="003F4156"/>
    <w:rsid w:val="003F418D"/>
    <w:rsid w:val="003F5ADF"/>
    <w:rsid w:val="003F5B70"/>
    <w:rsid w:val="003F6159"/>
    <w:rsid w:val="003F75A7"/>
    <w:rsid w:val="003F786B"/>
    <w:rsid w:val="003F7E4D"/>
    <w:rsid w:val="004009AA"/>
    <w:rsid w:val="00400A4E"/>
    <w:rsid w:val="00400B29"/>
    <w:rsid w:val="0040127A"/>
    <w:rsid w:val="00401C57"/>
    <w:rsid w:val="00402812"/>
    <w:rsid w:val="00402F4C"/>
    <w:rsid w:val="0040504B"/>
    <w:rsid w:val="004055A1"/>
    <w:rsid w:val="00405638"/>
    <w:rsid w:val="00405710"/>
    <w:rsid w:val="004059F4"/>
    <w:rsid w:val="00407FE5"/>
    <w:rsid w:val="004101B0"/>
    <w:rsid w:val="00410326"/>
    <w:rsid w:val="00410428"/>
    <w:rsid w:val="00410708"/>
    <w:rsid w:val="00410EC7"/>
    <w:rsid w:val="00411B39"/>
    <w:rsid w:val="00411B82"/>
    <w:rsid w:val="004127A7"/>
    <w:rsid w:val="00412AD8"/>
    <w:rsid w:val="00412B90"/>
    <w:rsid w:val="00413A1E"/>
    <w:rsid w:val="00414476"/>
    <w:rsid w:val="00414C2E"/>
    <w:rsid w:val="004151CF"/>
    <w:rsid w:val="00416364"/>
    <w:rsid w:val="0041690B"/>
    <w:rsid w:val="004169AE"/>
    <w:rsid w:val="00416B2D"/>
    <w:rsid w:val="0041725E"/>
    <w:rsid w:val="0042047F"/>
    <w:rsid w:val="00420AA6"/>
    <w:rsid w:val="00420B9F"/>
    <w:rsid w:val="00420E9D"/>
    <w:rsid w:val="00420F7B"/>
    <w:rsid w:val="0042192C"/>
    <w:rsid w:val="00421BBE"/>
    <w:rsid w:val="00422260"/>
    <w:rsid w:val="0042293F"/>
    <w:rsid w:val="004235B8"/>
    <w:rsid w:val="00423E59"/>
    <w:rsid w:val="0042413F"/>
    <w:rsid w:val="004242A0"/>
    <w:rsid w:val="00424D37"/>
    <w:rsid w:val="00425611"/>
    <w:rsid w:val="00425C1B"/>
    <w:rsid w:val="0042637A"/>
    <w:rsid w:val="004303D6"/>
    <w:rsid w:val="004316DD"/>
    <w:rsid w:val="004319F8"/>
    <w:rsid w:val="00431E55"/>
    <w:rsid w:val="004321F6"/>
    <w:rsid w:val="004322A6"/>
    <w:rsid w:val="00432859"/>
    <w:rsid w:val="00433044"/>
    <w:rsid w:val="004333B0"/>
    <w:rsid w:val="00433764"/>
    <w:rsid w:val="00433F31"/>
    <w:rsid w:val="00434088"/>
    <w:rsid w:val="004344AD"/>
    <w:rsid w:val="004350C5"/>
    <w:rsid w:val="0043615C"/>
    <w:rsid w:val="004375B9"/>
    <w:rsid w:val="0044190C"/>
    <w:rsid w:val="004428D0"/>
    <w:rsid w:val="00442A68"/>
    <w:rsid w:val="00443A03"/>
    <w:rsid w:val="0044401B"/>
    <w:rsid w:val="00444185"/>
    <w:rsid w:val="004443A7"/>
    <w:rsid w:val="0044442C"/>
    <w:rsid w:val="00445941"/>
    <w:rsid w:val="00445DF8"/>
    <w:rsid w:val="004464EB"/>
    <w:rsid w:val="00447D26"/>
    <w:rsid w:val="00447DFC"/>
    <w:rsid w:val="0045009A"/>
    <w:rsid w:val="00452CD8"/>
    <w:rsid w:val="00452F46"/>
    <w:rsid w:val="00454AF8"/>
    <w:rsid w:val="004551A9"/>
    <w:rsid w:val="00455D45"/>
    <w:rsid w:val="0045694B"/>
    <w:rsid w:val="00457C4E"/>
    <w:rsid w:val="00457DEC"/>
    <w:rsid w:val="004602F4"/>
    <w:rsid w:val="00461031"/>
    <w:rsid w:val="00461273"/>
    <w:rsid w:val="004614F0"/>
    <w:rsid w:val="00461C55"/>
    <w:rsid w:val="00462521"/>
    <w:rsid w:val="00463132"/>
    <w:rsid w:val="004640FC"/>
    <w:rsid w:val="00464595"/>
    <w:rsid w:val="00464ED0"/>
    <w:rsid w:val="004658B5"/>
    <w:rsid w:val="00465E79"/>
    <w:rsid w:val="0046706B"/>
    <w:rsid w:val="00470347"/>
    <w:rsid w:val="004706B1"/>
    <w:rsid w:val="004707B2"/>
    <w:rsid w:val="00470A3E"/>
    <w:rsid w:val="00470B3D"/>
    <w:rsid w:val="00471198"/>
    <w:rsid w:val="0047164E"/>
    <w:rsid w:val="004717C9"/>
    <w:rsid w:val="00471EA5"/>
    <w:rsid w:val="00472662"/>
    <w:rsid w:val="00472A79"/>
    <w:rsid w:val="00472E3A"/>
    <w:rsid w:val="00472FB5"/>
    <w:rsid w:val="00473195"/>
    <w:rsid w:val="00473CD4"/>
    <w:rsid w:val="00473F19"/>
    <w:rsid w:val="00474372"/>
    <w:rsid w:val="00474CBF"/>
    <w:rsid w:val="00475AEE"/>
    <w:rsid w:val="00475E22"/>
    <w:rsid w:val="00476083"/>
    <w:rsid w:val="004762F4"/>
    <w:rsid w:val="00476AFF"/>
    <w:rsid w:val="00476F21"/>
    <w:rsid w:val="004772D5"/>
    <w:rsid w:val="004804CC"/>
    <w:rsid w:val="0048088E"/>
    <w:rsid w:val="00480F2B"/>
    <w:rsid w:val="0048199B"/>
    <w:rsid w:val="0048244B"/>
    <w:rsid w:val="00482720"/>
    <w:rsid w:val="004835E7"/>
    <w:rsid w:val="00483933"/>
    <w:rsid w:val="004843C0"/>
    <w:rsid w:val="00484872"/>
    <w:rsid w:val="004859E1"/>
    <w:rsid w:val="00485DF0"/>
    <w:rsid w:val="00485EA1"/>
    <w:rsid w:val="00486278"/>
    <w:rsid w:val="00486433"/>
    <w:rsid w:val="004867E2"/>
    <w:rsid w:val="00487528"/>
    <w:rsid w:val="0048780C"/>
    <w:rsid w:val="00487C4B"/>
    <w:rsid w:val="004907DD"/>
    <w:rsid w:val="004908CF"/>
    <w:rsid w:val="00490B17"/>
    <w:rsid w:val="004911BF"/>
    <w:rsid w:val="00491B3A"/>
    <w:rsid w:val="00491CC6"/>
    <w:rsid w:val="00492CFD"/>
    <w:rsid w:val="00493A66"/>
    <w:rsid w:val="00493E72"/>
    <w:rsid w:val="00494207"/>
    <w:rsid w:val="00494DD5"/>
    <w:rsid w:val="00496297"/>
    <w:rsid w:val="004962D2"/>
    <w:rsid w:val="0049692F"/>
    <w:rsid w:val="00496C88"/>
    <w:rsid w:val="00497818"/>
    <w:rsid w:val="004979C1"/>
    <w:rsid w:val="004A0DA1"/>
    <w:rsid w:val="004A13D6"/>
    <w:rsid w:val="004A189C"/>
    <w:rsid w:val="004A3469"/>
    <w:rsid w:val="004A44A7"/>
    <w:rsid w:val="004A52E9"/>
    <w:rsid w:val="004A6040"/>
    <w:rsid w:val="004A62EA"/>
    <w:rsid w:val="004A6597"/>
    <w:rsid w:val="004A7848"/>
    <w:rsid w:val="004A7864"/>
    <w:rsid w:val="004A793B"/>
    <w:rsid w:val="004B00CE"/>
    <w:rsid w:val="004B0267"/>
    <w:rsid w:val="004B0443"/>
    <w:rsid w:val="004B0B51"/>
    <w:rsid w:val="004B0D37"/>
    <w:rsid w:val="004B1460"/>
    <w:rsid w:val="004B162E"/>
    <w:rsid w:val="004B1CB4"/>
    <w:rsid w:val="004B2F18"/>
    <w:rsid w:val="004B3884"/>
    <w:rsid w:val="004B3DDB"/>
    <w:rsid w:val="004B41D4"/>
    <w:rsid w:val="004B4492"/>
    <w:rsid w:val="004B44FD"/>
    <w:rsid w:val="004B5080"/>
    <w:rsid w:val="004B54C3"/>
    <w:rsid w:val="004B5CFC"/>
    <w:rsid w:val="004B6362"/>
    <w:rsid w:val="004B6472"/>
    <w:rsid w:val="004B6CB4"/>
    <w:rsid w:val="004B6F79"/>
    <w:rsid w:val="004B76AB"/>
    <w:rsid w:val="004B774D"/>
    <w:rsid w:val="004B7DD2"/>
    <w:rsid w:val="004C0E9E"/>
    <w:rsid w:val="004C1469"/>
    <w:rsid w:val="004C1B87"/>
    <w:rsid w:val="004C1FC4"/>
    <w:rsid w:val="004C23BC"/>
    <w:rsid w:val="004C26B4"/>
    <w:rsid w:val="004C2AC2"/>
    <w:rsid w:val="004C2F8C"/>
    <w:rsid w:val="004C2FE8"/>
    <w:rsid w:val="004C35B3"/>
    <w:rsid w:val="004C38E1"/>
    <w:rsid w:val="004C3B02"/>
    <w:rsid w:val="004C4AED"/>
    <w:rsid w:val="004C5F99"/>
    <w:rsid w:val="004C6263"/>
    <w:rsid w:val="004C6445"/>
    <w:rsid w:val="004D092C"/>
    <w:rsid w:val="004D0B77"/>
    <w:rsid w:val="004D0FC4"/>
    <w:rsid w:val="004D11E6"/>
    <w:rsid w:val="004D194C"/>
    <w:rsid w:val="004D1EAA"/>
    <w:rsid w:val="004D23A6"/>
    <w:rsid w:val="004D291B"/>
    <w:rsid w:val="004D2922"/>
    <w:rsid w:val="004D2962"/>
    <w:rsid w:val="004D2C2D"/>
    <w:rsid w:val="004D2F4C"/>
    <w:rsid w:val="004D3CDF"/>
    <w:rsid w:val="004D3ED1"/>
    <w:rsid w:val="004D44CB"/>
    <w:rsid w:val="004D5779"/>
    <w:rsid w:val="004D5852"/>
    <w:rsid w:val="004D5C07"/>
    <w:rsid w:val="004D5D10"/>
    <w:rsid w:val="004D656F"/>
    <w:rsid w:val="004D69B5"/>
    <w:rsid w:val="004D7227"/>
    <w:rsid w:val="004D7233"/>
    <w:rsid w:val="004D77E0"/>
    <w:rsid w:val="004D7ADC"/>
    <w:rsid w:val="004D7B5E"/>
    <w:rsid w:val="004D7C6B"/>
    <w:rsid w:val="004D7D24"/>
    <w:rsid w:val="004E09FC"/>
    <w:rsid w:val="004E0A93"/>
    <w:rsid w:val="004E0D39"/>
    <w:rsid w:val="004E0E61"/>
    <w:rsid w:val="004E0E7F"/>
    <w:rsid w:val="004E0EB8"/>
    <w:rsid w:val="004E18D0"/>
    <w:rsid w:val="004E18E9"/>
    <w:rsid w:val="004E2ADC"/>
    <w:rsid w:val="004E34E0"/>
    <w:rsid w:val="004E43B2"/>
    <w:rsid w:val="004E468A"/>
    <w:rsid w:val="004E4CFC"/>
    <w:rsid w:val="004E6715"/>
    <w:rsid w:val="004E69E2"/>
    <w:rsid w:val="004E6D3C"/>
    <w:rsid w:val="004E6E18"/>
    <w:rsid w:val="004E77F0"/>
    <w:rsid w:val="004F1D02"/>
    <w:rsid w:val="004F2679"/>
    <w:rsid w:val="004F2C02"/>
    <w:rsid w:val="004F2F21"/>
    <w:rsid w:val="004F3DE5"/>
    <w:rsid w:val="004F3FC3"/>
    <w:rsid w:val="004F41E0"/>
    <w:rsid w:val="004F509A"/>
    <w:rsid w:val="004F51A9"/>
    <w:rsid w:val="004F6913"/>
    <w:rsid w:val="004F7865"/>
    <w:rsid w:val="004F7CC6"/>
    <w:rsid w:val="005008B2"/>
    <w:rsid w:val="00501628"/>
    <w:rsid w:val="0050174E"/>
    <w:rsid w:val="00501854"/>
    <w:rsid w:val="0050219B"/>
    <w:rsid w:val="00502723"/>
    <w:rsid w:val="00502A7E"/>
    <w:rsid w:val="00502E7F"/>
    <w:rsid w:val="00502EB3"/>
    <w:rsid w:val="00503F17"/>
    <w:rsid w:val="00503F3A"/>
    <w:rsid w:val="00504A02"/>
    <w:rsid w:val="0050576E"/>
    <w:rsid w:val="005060AC"/>
    <w:rsid w:val="00506928"/>
    <w:rsid w:val="00506F68"/>
    <w:rsid w:val="0050726A"/>
    <w:rsid w:val="00507508"/>
    <w:rsid w:val="005077EF"/>
    <w:rsid w:val="005077F5"/>
    <w:rsid w:val="00507D6A"/>
    <w:rsid w:val="00507FE6"/>
    <w:rsid w:val="00510BD1"/>
    <w:rsid w:val="00511AD5"/>
    <w:rsid w:val="00511D3A"/>
    <w:rsid w:val="00511DC7"/>
    <w:rsid w:val="00512442"/>
    <w:rsid w:val="00512BA3"/>
    <w:rsid w:val="00513774"/>
    <w:rsid w:val="005137D2"/>
    <w:rsid w:val="005140DF"/>
    <w:rsid w:val="005142C5"/>
    <w:rsid w:val="0051501B"/>
    <w:rsid w:val="0051514D"/>
    <w:rsid w:val="005152B5"/>
    <w:rsid w:val="00515886"/>
    <w:rsid w:val="005170F4"/>
    <w:rsid w:val="00517B39"/>
    <w:rsid w:val="005211C1"/>
    <w:rsid w:val="0052123C"/>
    <w:rsid w:val="00521319"/>
    <w:rsid w:val="005225D4"/>
    <w:rsid w:val="00522764"/>
    <w:rsid w:val="00522BC8"/>
    <w:rsid w:val="00523C28"/>
    <w:rsid w:val="00524F05"/>
    <w:rsid w:val="00525F74"/>
    <w:rsid w:val="005267D6"/>
    <w:rsid w:val="005269BC"/>
    <w:rsid w:val="005272ED"/>
    <w:rsid w:val="00527366"/>
    <w:rsid w:val="005308EC"/>
    <w:rsid w:val="00530913"/>
    <w:rsid w:val="00530E5B"/>
    <w:rsid w:val="00530FE2"/>
    <w:rsid w:val="0053104C"/>
    <w:rsid w:val="005312AB"/>
    <w:rsid w:val="00531669"/>
    <w:rsid w:val="0053176B"/>
    <w:rsid w:val="005317D6"/>
    <w:rsid w:val="00533643"/>
    <w:rsid w:val="005341B3"/>
    <w:rsid w:val="0053457E"/>
    <w:rsid w:val="00535966"/>
    <w:rsid w:val="00536C09"/>
    <w:rsid w:val="00536F42"/>
    <w:rsid w:val="00537103"/>
    <w:rsid w:val="00537182"/>
    <w:rsid w:val="00537259"/>
    <w:rsid w:val="00541BE1"/>
    <w:rsid w:val="00541EDD"/>
    <w:rsid w:val="00542743"/>
    <w:rsid w:val="00542981"/>
    <w:rsid w:val="00542C2D"/>
    <w:rsid w:val="00543269"/>
    <w:rsid w:val="005442E3"/>
    <w:rsid w:val="00544382"/>
    <w:rsid w:val="005448EA"/>
    <w:rsid w:val="00545964"/>
    <w:rsid w:val="00546461"/>
    <w:rsid w:val="0054676B"/>
    <w:rsid w:val="00546959"/>
    <w:rsid w:val="00546E50"/>
    <w:rsid w:val="005475C3"/>
    <w:rsid w:val="005478BD"/>
    <w:rsid w:val="005479E3"/>
    <w:rsid w:val="0055094D"/>
    <w:rsid w:val="00550C1E"/>
    <w:rsid w:val="00551985"/>
    <w:rsid w:val="00552BD3"/>
    <w:rsid w:val="00552BF8"/>
    <w:rsid w:val="005530D6"/>
    <w:rsid w:val="005532A0"/>
    <w:rsid w:val="00553E29"/>
    <w:rsid w:val="00554009"/>
    <w:rsid w:val="00555109"/>
    <w:rsid w:val="005554D5"/>
    <w:rsid w:val="00555D73"/>
    <w:rsid w:val="0055651A"/>
    <w:rsid w:val="005569BD"/>
    <w:rsid w:val="00556B35"/>
    <w:rsid w:val="00556F78"/>
    <w:rsid w:val="0055741A"/>
    <w:rsid w:val="00557889"/>
    <w:rsid w:val="005611B7"/>
    <w:rsid w:val="005618D4"/>
    <w:rsid w:val="00562147"/>
    <w:rsid w:val="0056292E"/>
    <w:rsid w:val="00562973"/>
    <w:rsid w:val="0056398E"/>
    <w:rsid w:val="005644F6"/>
    <w:rsid w:val="00564867"/>
    <w:rsid w:val="005650CE"/>
    <w:rsid w:val="0056534F"/>
    <w:rsid w:val="005655A9"/>
    <w:rsid w:val="00565C79"/>
    <w:rsid w:val="00565DF0"/>
    <w:rsid w:val="0056649A"/>
    <w:rsid w:val="0056696F"/>
    <w:rsid w:val="0057093C"/>
    <w:rsid w:val="00571283"/>
    <w:rsid w:val="005712DA"/>
    <w:rsid w:val="00571901"/>
    <w:rsid w:val="00571DF2"/>
    <w:rsid w:val="00572269"/>
    <w:rsid w:val="0057244A"/>
    <w:rsid w:val="00572F26"/>
    <w:rsid w:val="00573158"/>
    <w:rsid w:val="005733D8"/>
    <w:rsid w:val="00574233"/>
    <w:rsid w:val="005746C5"/>
    <w:rsid w:val="00574912"/>
    <w:rsid w:val="00574C7B"/>
    <w:rsid w:val="005750C5"/>
    <w:rsid w:val="005752DE"/>
    <w:rsid w:val="00575A62"/>
    <w:rsid w:val="00575D60"/>
    <w:rsid w:val="00575D8D"/>
    <w:rsid w:val="00576972"/>
    <w:rsid w:val="00577248"/>
    <w:rsid w:val="005773DB"/>
    <w:rsid w:val="00577D95"/>
    <w:rsid w:val="005806C5"/>
    <w:rsid w:val="00580D33"/>
    <w:rsid w:val="00581580"/>
    <w:rsid w:val="00581CA9"/>
    <w:rsid w:val="0058328A"/>
    <w:rsid w:val="00583699"/>
    <w:rsid w:val="00583B5E"/>
    <w:rsid w:val="00584595"/>
    <w:rsid w:val="005845CF"/>
    <w:rsid w:val="00584E87"/>
    <w:rsid w:val="00585951"/>
    <w:rsid w:val="00585987"/>
    <w:rsid w:val="00585CDD"/>
    <w:rsid w:val="00586755"/>
    <w:rsid w:val="00587058"/>
    <w:rsid w:val="005874C7"/>
    <w:rsid w:val="0059021C"/>
    <w:rsid w:val="00590B50"/>
    <w:rsid w:val="00591957"/>
    <w:rsid w:val="00591C8E"/>
    <w:rsid w:val="00592086"/>
    <w:rsid w:val="00592370"/>
    <w:rsid w:val="00592C58"/>
    <w:rsid w:val="005932E8"/>
    <w:rsid w:val="00593814"/>
    <w:rsid w:val="00594A93"/>
    <w:rsid w:val="00594D73"/>
    <w:rsid w:val="005951AF"/>
    <w:rsid w:val="00595564"/>
    <w:rsid w:val="0059636D"/>
    <w:rsid w:val="00597BF9"/>
    <w:rsid w:val="00597D8C"/>
    <w:rsid w:val="00597FFC"/>
    <w:rsid w:val="005A02C4"/>
    <w:rsid w:val="005A0C11"/>
    <w:rsid w:val="005A16CF"/>
    <w:rsid w:val="005A2BA7"/>
    <w:rsid w:val="005A2F33"/>
    <w:rsid w:val="005A309A"/>
    <w:rsid w:val="005A33F6"/>
    <w:rsid w:val="005A373D"/>
    <w:rsid w:val="005A5B61"/>
    <w:rsid w:val="005A67EC"/>
    <w:rsid w:val="005A71A8"/>
    <w:rsid w:val="005A7A37"/>
    <w:rsid w:val="005B06ED"/>
    <w:rsid w:val="005B0B58"/>
    <w:rsid w:val="005B1945"/>
    <w:rsid w:val="005B28CD"/>
    <w:rsid w:val="005B3DAF"/>
    <w:rsid w:val="005B4E53"/>
    <w:rsid w:val="005B57E2"/>
    <w:rsid w:val="005B5857"/>
    <w:rsid w:val="005B68B2"/>
    <w:rsid w:val="005B6E96"/>
    <w:rsid w:val="005B70B4"/>
    <w:rsid w:val="005C03F3"/>
    <w:rsid w:val="005C0F08"/>
    <w:rsid w:val="005C13DF"/>
    <w:rsid w:val="005C1762"/>
    <w:rsid w:val="005C19C4"/>
    <w:rsid w:val="005C1B83"/>
    <w:rsid w:val="005C241D"/>
    <w:rsid w:val="005C25FF"/>
    <w:rsid w:val="005C2CA1"/>
    <w:rsid w:val="005C2D33"/>
    <w:rsid w:val="005C2D55"/>
    <w:rsid w:val="005C346B"/>
    <w:rsid w:val="005C397B"/>
    <w:rsid w:val="005C474C"/>
    <w:rsid w:val="005C4901"/>
    <w:rsid w:val="005C5ABC"/>
    <w:rsid w:val="005C7F1D"/>
    <w:rsid w:val="005D0068"/>
    <w:rsid w:val="005D0352"/>
    <w:rsid w:val="005D044D"/>
    <w:rsid w:val="005D0A1B"/>
    <w:rsid w:val="005D0ABD"/>
    <w:rsid w:val="005D108A"/>
    <w:rsid w:val="005D18AD"/>
    <w:rsid w:val="005D1B80"/>
    <w:rsid w:val="005D1C5E"/>
    <w:rsid w:val="005D26B4"/>
    <w:rsid w:val="005D2E90"/>
    <w:rsid w:val="005D314F"/>
    <w:rsid w:val="005D3458"/>
    <w:rsid w:val="005D3E22"/>
    <w:rsid w:val="005D4181"/>
    <w:rsid w:val="005D6E44"/>
    <w:rsid w:val="005D6E8A"/>
    <w:rsid w:val="005D7287"/>
    <w:rsid w:val="005E01CD"/>
    <w:rsid w:val="005E1995"/>
    <w:rsid w:val="005E2CBD"/>
    <w:rsid w:val="005E34DD"/>
    <w:rsid w:val="005E3D66"/>
    <w:rsid w:val="005E4B65"/>
    <w:rsid w:val="005E55DF"/>
    <w:rsid w:val="005E5EC8"/>
    <w:rsid w:val="005E6246"/>
    <w:rsid w:val="005E6CBC"/>
    <w:rsid w:val="005E72FF"/>
    <w:rsid w:val="005E7365"/>
    <w:rsid w:val="005E73C0"/>
    <w:rsid w:val="005F07ED"/>
    <w:rsid w:val="005F16B5"/>
    <w:rsid w:val="005F22BD"/>
    <w:rsid w:val="005F22DD"/>
    <w:rsid w:val="005F2706"/>
    <w:rsid w:val="005F2AD4"/>
    <w:rsid w:val="005F3931"/>
    <w:rsid w:val="005F3E2D"/>
    <w:rsid w:val="005F4268"/>
    <w:rsid w:val="005F50E1"/>
    <w:rsid w:val="005F6A10"/>
    <w:rsid w:val="005F6A8F"/>
    <w:rsid w:val="005F6BB7"/>
    <w:rsid w:val="005F7058"/>
    <w:rsid w:val="005F7588"/>
    <w:rsid w:val="00600359"/>
    <w:rsid w:val="006009AC"/>
    <w:rsid w:val="00600EEC"/>
    <w:rsid w:val="006028D3"/>
    <w:rsid w:val="00603043"/>
    <w:rsid w:val="00603229"/>
    <w:rsid w:val="006035A3"/>
    <w:rsid w:val="00603DB9"/>
    <w:rsid w:val="00604480"/>
    <w:rsid w:val="00605BDC"/>
    <w:rsid w:val="006063A1"/>
    <w:rsid w:val="00606FBA"/>
    <w:rsid w:val="0060746E"/>
    <w:rsid w:val="0060760C"/>
    <w:rsid w:val="00607669"/>
    <w:rsid w:val="006076F4"/>
    <w:rsid w:val="00607AFD"/>
    <w:rsid w:val="006100C7"/>
    <w:rsid w:val="00610388"/>
    <w:rsid w:val="006104F9"/>
    <w:rsid w:val="00610A24"/>
    <w:rsid w:val="00611479"/>
    <w:rsid w:val="00611B12"/>
    <w:rsid w:val="00611E90"/>
    <w:rsid w:val="006124CE"/>
    <w:rsid w:val="006129FB"/>
    <w:rsid w:val="00612F97"/>
    <w:rsid w:val="0061345D"/>
    <w:rsid w:val="00613780"/>
    <w:rsid w:val="006139D8"/>
    <w:rsid w:val="00613BB5"/>
    <w:rsid w:val="00613C3B"/>
    <w:rsid w:val="0061502A"/>
    <w:rsid w:val="006151CE"/>
    <w:rsid w:val="0061549B"/>
    <w:rsid w:val="00615DDB"/>
    <w:rsid w:val="00616802"/>
    <w:rsid w:val="006169F0"/>
    <w:rsid w:val="00617E12"/>
    <w:rsid w:val="0062070D"/>
    <w:rsid w:val="00620833"/>
    <w:rsid w:val="00620B4D"/>
    <w:rsid w:val="00620C25"/>
    <w:rsid w:val="00620E2C"/>
    <w:rsid w:val="00621477"/>
    <w:rsid w:val="00621ADA"/>
    <w:rsid w:val="00622568"/>
    <w:rsid w:val="00622DE6"/>
    <w:rsid w:val="00622FA0"/>
    <w:rsid w:val="00623F7B"/>
    <w:rsid w:val="0062431D"/>
    <w:rsid w:val="00624781"/>
    <w:rsid w:val="006248E8"/>
    <w:rsid w:val="00624BD4"/>
    <w:rsid w:val="0062527F"/>
    <w:rsid w:val="006254E4"/>
    <w:rsid w:val="00626647"/>
    <w:rsid w:val="00627A59"/>
    <w:rsid w:val="00630A77"/>
    <w:rsid w:val="00630C88"/>
    <w:rsid w:val="00630F7D"/>
    <w:rsid w:val="0063158F"/>
    <w:rsid w:val="00631D6B"/>
    <w:rsid w:val="00632183"/>
    <w:rsid w:val="006330A1"/>
    <w:rsid w:val="0063325B"/>
    <w:rsid w:val="0063375C"/>
    <w:rsid w:val="00633F1E"/>
    <w:rsid w:val="00634044"/>
    <w:rsid w:val="006340D8"/>
    <w:rsid w:val="0063479F"/>
    <w:rsid w:val="0063527D"/>
    <w:rsid w:val="006353F0"/>
    <w:rsid w:val="006357B5"/>
    <w:rsid w:val="006357C4"/>
    <w:rsid w:val="006364A1"/>
    <w:rsid w:val="0063678E"/>
    <w:rsid w:val="00637BFD"/>
    <w:rsid w:val="00637C5C"/>
    <w:rsid w:val="00640333"/>
    <w:rsid w:val="00640EED"/>
    <w:rsid w:val="006414F8"/>
    <w:rsid w:val="00641C4E"/>
    <w:rsid w:val="00641FB3"/>
    <w:rsid w:val="00643244"/>
    <w:rsid w:val="0064434C"/>
    <w:rsid w:val="006452B3"/>
    <w:rsid w:val="00645343"/>
    <w:rsid w:val="0064563F"/>
    <w:rsid w:val="00645C7B"/>
    <w:rsid w:val="00646258"/>
    <w:rsid w:val="00646B55"/>
    <w:rsid w:val="00646FBE"/>
    <w:rsid w:val="006471CC"/>
    <w:rsid w:val="006472FE"/>
    <w:rsid w:val="00647838"/>
    <w:rsid w:val="00647A29"/>
    <w:rsid w:val="00650255"/>
    <w:rsid w:val="0065079F"/>
    <w:rsid w:val="0065173F"/>
    <w:rsid w:val="00651C1B"/>
    <w:rsid w:val="00651DA6"/>
    <w:rsid w:val="006521FA"/>
    <w:rsid w:val="00652233"/>
    <w:rsid w:val="00652777"/>
    <w:rsid w:val="00652A28"/>
    <w:rsid w:val="0065379F"/>
    <w:rsid w:val="00653A32"/>
    <w:rsid w:val="00654535"/>
    <w:rsid w:val="0065578F"/>
    <w:rsid w:val="00656188"/>
    <w:rsid w:val="00656F8F"/>
    <w:rsid w:val="0065715A"/>
    <w:rsid w:val="0065799B"/>
    <w:rsid w:val="0066059E"/>
    <w:rsid w:val="00660776"/>
    <w:rsid w:val="006610F1"/>
    <w:rsid w:val="00661621"/>
    <w:rsid w:val="00661C6B"/>
    <w:rsid w:val="00661D28"/>
    <w:rsid w:val="00662D3E"/>
    <w:rsid w:val="00662F09"/>
    <w:rsid w:val="00663723"/>
    <w:rsid w:val="00663929"/>
    <w:rsid w:val="00663D32"/>
    <w:rsid w:val="006647C9"/>
    <w:rsid w:val="006655DC"/>
    <w:rsid w:val="006674F9"/>
    <w:rsid w:val="00667844"/>
    <w:rsid w:val="00667BE3"/>
    <w:rsid w:val="00671004"/>
    <w:rsid w:val="00671119"/>
    <w:rsid w:val="00671FDC"/>
    <w:rsid w:val="00672646"/>
    <w:rsid w:val="00672C2D"/>
    <w:rsid w:val="00674245"/>
    <w:rsid w:val="006746A4"/>
    <w:rsid w:val="00674E42"/>
    <w:rsid w:val="0067557A"/>
    <w:rsid w:val="00675710"/>
    <w:rsid w:val="00676563"/>
    <w:rsid w:val="00677688"/>
    <w:rsid w:val="00677A2B"/>
    <w:rsid w:val="006813F8"/>
    <w:rsid w:val="00681BF3"/>
    <w:rsid w:val="00682112"/>
    <w:rsid w:val="00682BA6"/>
    <w:rsid w:val="0068334D"/>
    <w:rsid w:val="00684EA1"/>
    <w:rsid w:val="00684F1F"/>
    <w:rsid w:val="0068626B"/>
    <w:rsid w:val="0068639E"/>
    <w:rsid w:val="00686957"/>
    <w:rsid w:val="006872BA"/>
    <w:rsid w:val="00687D7F"/>
    <w:rsid w:val="00690091"/>
    <w:rsid w:val="00690135"/>
    <w:rsid w:val="00690795"/>
    <w:rsid w:val="00690950"/>
    <w:rsid w:val="00691648"/>
    <w:rsid w:val="00691660"/>
    <w:rsid w:val="00691779"/>
    <w:rsid w:val="006917D7"/>
    <w:rsid w:val="00692865"/>
    <w:rsid w:val="00693A0F"/>
    <w:rsid w:val="0069434C"/>
    <w:rsid w:val="00694C0F"/>
    <w:rsid w:val="00694F44"/>
    <w:rsid w:val="006950B2"/>
    <w:rsid w:val="00695263"/>
    <w:rsid w:val="0069598B"/>
    <w:rsid w:val="00696ECA"/>
    <w:rsid w:val="00696EF9"/>
    <w:rsid w:val="00696F51"/>
    <w:rsid w:val="0069749C"/>
    <w:rsid w:val="006979A5"/>
    <w:rsid w:val="006A0070"/>
    <w:rsid w:val="006A016F"/>
    <w:rsid w:val="006A0D22"/>
    <w:rsid w:val="006A0DF7"/>
    <w:rsid w:val="006A4321"/>
    <w:rsid w:val="006A43D9"/>
    <w:rsid w:val="006A4482"/>
    <w:rsid w:val="006A4AC0"/>
    <w:rsid w:val="006A5236"/>
    <w:rsid w:val="006A53CE"/>
    <w:rsid w:val="006A56D9"/>
    <w:rsid w:val="006A647C"/>
    <w:rsid w:val="006A6B99"/>
    <w:rsid w:val="006A6E17"/>
    <w:rsid w:val="006A75C2"/>
    <w:rsid w:val="006A7A75"/>
    <w:rsid w:val="006A7E5F"/>
    <w:rsid w:val="006B05D1"/>
    <w:rsid w:val="006B11E9"/>
    <w:rsid w:val="006B261B"/>
    <w:rsid w:val="006B2C90"/>
    <w:rsid w:val="006B35E6"/>
    <w:rsid w:val="006B3611"/>
    <w:rsid w:val="006B3BD0"/>
    <w:rsid w:val="006B3C89"/>
    <w:rsid w:val="006B3FB8"/>
    <w:rsid w:val="006B44D2"/>
    <w:rsid w:val="006B465A"/>
    <w:rsid w:val="006B4A3C"/>
    <w:rsid w:val="006B4A9A"/>
    <w:rsid w:val="006B5310"/>
    <w:rsid w:val="006B56CC"/>
    <w:rsid w:val="006B67BE"/>
    <w:rsid w:val="006B68D7"/>
    <w:rsid w:val="006B6DD0"/>
    <w:rsid w:val="006B6F24"/>
    <w:rsid w:val="006C0399"/>
    <w:rsid w:val="006C0D33"/>
    <w:rsid w:val="006C0F24"/>
    <w:rsid w:val="006C0F30"/>
    <w:rsid w:val="006C18AE"/>
    <w:rsid w:val="006C21B4"/>
    <w:rsid w:val="006C2A8E"/>
    <w:rsid w:val="006C3255"/>
    <w:rsid w:val="006C3A0C"/>
    <w:rsid w:val="006C3F26"/>
    <w:rsid w:val="006C4FB7"/>
    <w:rsid w:val="006C5319"/>
    <w:rsid w:val="006C5AE4"/>
    <w:rsid w:val="006C6332"/>
    <w:rsid w:val="006C6BFE"/>
    <w:rsid w:val="006C7EEA"/>
    <w:rsid w:val="006D0CBD"/>
    <w:rsid w:val="006D0D17"/>
    <w:rsid w:val="006D1724"/>
    <w:rsid w:val="006D26EC"/>
    <w:rsid w:val="006D3C7D"/>
    <w:rsid w:val="006D4659"/>
    <w:rsid w:val="006D4CA6"/>
    <w:rsid w:val="006D5D5F"/>
    <w:rsid w:val="006D68FB"/>
    <w:rsid w:val="006D6C04"/>
    <w:rsid w:val="006D7AC5"/>
    <w:rsid w:val="006E0D74"/>
    <w:rsid w:val="006E0D84"/>
    <w:rsid w:val="006E13FF"/>
    <w:rsid w:val="006E1B9C"/>
    <w:rsid w:val="006E2072"/>
    <w:rsid w:val="006E23EE"/>
    <w:rsid w:val="006E2868"/>
    <w:rsid w:val="006E2C56"/>
    <w:rsid w:val="006E4A8C"/>
    <w:rsid w:val="006E698C"/>
    <w:rsid w:val="006F17FD"/>
    <w:rsid w:val="006F1847"/>
    <w:rsid w:val="006F1DE2"/>
    <w:rsid w:val="006F306C"/>
    <w:rsid w:val="006F3C20"/>
    <w:rsid w:val="006F5B00"/>
    <w:rsid w:val="006F5B6E"/>
    <w:rsid w:val="006F63A5"/>
    <w:rsid w:val="006F7B37"/>
    <w:rsid w:val="00700E7E"/>
    <w:rsid w:val="0070142B"/>
    <w:rsid w:val="0070251C"/>
    <w:rsid w:val="0070276E"/>
    <w:rsid w:val="00702F78"/>
    <w:rsid w:val="00702F8F"/>
    <w:rsid w:val="007031AC"/>
    <w:rsid w:val="00703573"/>
    <w:rsid w:val="007047A8"/>
    <w:rsid w:val="007054EF"/>
    <w:rsid w:val="007072C8"/>
    <w:rsid w:val="007076CB"/>
    <w:rsid w:val="007079FC"/>
    <w:rsid w:val="00707E82"/>
    <w:rsid w:val="00710360"/>
    <w:rsid w:val="00710383"/>
    <w:rsid w:val="0071128A"/>
    <w:rsid w:val="00711A36"/>
    <w:rsid w:val="007125D3"/>
    <w:rsid w:val="00712918"/>
    <w:rsid w:val="007130E5"/>
    <w:rsid w:val="0071484C"/>
    <w:rsid w:val="00714C26"/>
    <w:rsid w:val="0071529C"/>
    <w:rsid w:val="00715A95"/>
    <w:rsid w:val="007170DA"/>
    <w:rsid w:val="007172AD"/>
    <w:rsid w:val="00717546"/>
    <w:rsid w:val="00717872"/>
    <w:rsid w:val="007201F7"/>
    <w:rsid w:val="007207D3"/>
    <w:rsid w:val="00720801"/>
    <w:rsid w:val="00720D37"/>
    <w:rsid w:val="00721ACA"/>
    <w:rsid w:val="00721D24"/>
    <w:rsid w:val="00722B1B"/>
    <w:rsid w:val="00722F4A"/>
    <w:rsid w:val="0072342C"/>
    <w:rsid w:val="0072416F"/>
    <w:rsid w:val="007245E1"/>
    <w:rsid w:val="00725809"/>
    <w:rsid w:val="00727C3C"/>
    <w:rsid w:val="00727C94"/>
    <w:rsid w:val="00727EE3"/>
    <w:rsid w:val="00730A3E"/>
    <w:rsid w:val="00731AC1"/>
    <w:rsid w:val="00731B0A"/>
    <w:rsid w:val="00731EAE"/>
    <w:rsid w:val="007324E2"/>
    <w:rsid w:val="00733073"/>
    <w:rsid w:val="007343A6"/>
    <w:rsid w:val="0073455C"/>
    <w:rsid w:val="00735033"/>
    <w:rsid w:val="00735328"/>
    <w:rsid w:val="00735F41"/>
    <w:rsid w:val="0073685B"/>
    <w:rsid w:val="00736A6F"/>
    <w:rsid w:val="00736CB5"/>
    <w:rsid w:val="0073758A"/>
    <w:rsid w:val="00737C5E"/>
    <w:rsid w:val="00740597"/>
    <w:rsid w:val="0074063C"/>
    <w:rsid w:val="00741566"/>
    <w:rsid w:val="00741B76"/>
    <w:rsid w:val="00741D04"/>
    <w:rsid w:val="00741EDC"/>
    <w:rsid w:val="007433FE"/>
    <w:rsid w:val="00743D58"/>
    <w:rsid w:val="007449BF"/>
    <w:rsid w:val="007451A9"/>
    <w:rsid w:val="00745360"/>
    <w:rsid w:val="007463FE"/>
    <w:rsid w:val="00746BC0"/>
    <w:rsid w:val="00746C6A"/>
    <w:rsid w:val="00746DB6"/>
    <w:rsid w:val="0074718F"/>
    <w:rsid w:val="007471FD"/>
    <w:rsid w:val="00750DE0"/>
    <w:rsid w:val="00750EC1"/>
    <w:rsid w:val="00750EF5"/>
    <w:rsid w:val="007510B4"/>
    <w:rsid w:val="0075130C"/>
    <w:rsid w:val="00751852"/>
    <w:rsid w:val="00752142"/>
    <w:rsid w:val="007523F9"/>
    <w:rsid w:val="00752EF4"/>
    <w:rsid w:val="0075357E"/>
    <w:rsid w:val="00753B29"/>
    <w:rsid w:val="00753B60"/>
    <w:rsid w:val="00753EF8"/>
    <w:rsid w:val="007573E8"/>
    <w:rsid w:val="00757477"/>
    <w:rsid w:val="00757565"/>
    <w:rsid w:val="00757A86"/>
    <w:rsid w:val="00757E9C"/>
    <w:rsid w:val="00760695"/>
    <w:rsid w:val="00760AD3"/>
    <w:rsid w:val="00760C4E"/>
    <w:rsid w:val="00760DA4"/>
    <w:rsid w:val="00760F9E"/>
    <w:rsid w:val="00761230"/>
    <w:rsid w:val="007616E6"/>
    <w:rsid w:val="007627BE"/>
    <w:rsid w:val="00762F3D"/>
    <w:rsid w:val="00763898"/>
    <w:rsid w:val="0076407E"/>
    <w:rsid w:val="007640D7"/>
    <w:rsid w:val="007646DD"/>
    <w:rsid w:val="007647FE"/>
    <w:rsid w:val="007648DE"/>
    <w:rsid w:val="00764969"/>
    <w:rsid w:val="00764F03"/>
    <w:rsid w:val="00764F51"/>
    <w:rsid w:val="00765B1A"/>
    <w:rsid w:val="00765DC1"/>
    <w:rsid w:val="00766512"/>
    <w:rsid w:val="00767FD8"/>
    <w:rsid w:val="007717A3"/>
    <w:rsid w:val="007718A0"/>
    <w:rsid w:val="007720F3"/>
    <w:rsid w:val="00775047"/>
    <w:rsid w:val="0077595C"/>
    <w:rsid w:val="00775E1B"/>
    <w:rsid w:val="007763D2"/>
    <w:rsid w:val="00776A29"/>
    <w:rsid w:val="00777335"/>
    <w:rsid w:val="00780276"/>
    <w:rsid w:val="00780FB2"/>
    <w:rsid w:val="007818E8"/>
    <w:rsid w:val="00781CBD"/>
    <w:rsid w:val="007821EB"/>
    <w:rsid w:val="0078282B"/>
    <w:rsid w:val="00782F30"/>
    <w:rsid w:val="00783A4A"/>
    <w:rsid w:val="007843F2"/>
    <w:rsid w:val="007846FA"/>
    <w:rsid w:val="0078472E"/>
    <w:rsid w:val="00784755"/>
    <w:rsid w:val="00784F05"/>
    <w:rsid w:val="00785A9F"/>
    <w:rsid w:val="00785F2B"/>
    <w:rsid w:val="00786F02"/>
    <w:rsid w:val="007874E8"/>
    <w:rsid w:val="00787BAD"/>
    <w:rsid w:val="00791C98"/>
    <w:rsid w:val="00791F96"/>
    <w:rsid w:val="007925DF"/>
    <w:rsid w:val="00793AC1"/>
    <w:rsid w:val="00793B19"/>
    <w:rsid w:val="00793C49"/>
    <w:rsid w:val="00793E47"/>
    <w:rsid w:val="00794C20"/>
    <w:rsid w:val="00796576"/>
    <w:rsid w:val="00796C84"/>
    <w:rsid w:val="007977A2"/>
    <w:rsid w:val="00797AAE"/>
    <w:rsid w:val="00797C89"/>
    <w:rsid w:val="007A0590"/>
    <w:rsid w:val="007A08AA"/>
    <w:rsid w:val="007A0A12"/>
    <w:rsid w:val="007A0E68"/>
    <w:rsid w:val="007A132D"/>
    <w:rsid w:val="007A1345"/>
    <w:rsid w:val="007A266C"/>
    <w:rsid w:val="007A2D6A"/>
    <w:rsid w:val="007A2DDB"/>
    <w:rsid w:val="007A4384"/>
    <w:rsid w:val="007A4BC2"/>
    <w:rsid w:val="007A5746"/>
    <w:rsid w:val="007A5C26"/>
    <w:rsid w:val="007A5E79"/>
    <w:rsid w:val="007A607D"/>
    <w:rsid w:val="007A64F7"/>
    <w:rsid w:val="007A6C46"/>
    <w:rsid w:val="007A70BA"/>
    <w:rsid w:val="007A7728"/>
    <w:rsid w:val="007B0442"/>
    <w:rsid w:val="007B0B27"/>
    <w:rsid w:val="007B0D68"/>
    <w:rsid w:val="007B10EF"/>
    <w:rsid w:val="007B1817"/>
    <w:rsid w:val="007B1949"/>
    <w:rsid w:val="007B1CB6"/>
    <w:rsid w:val="007B2155"/>
    <w:rsid w:val="007B218A"/>
    <w:rsid w:val="007B2199"/>
    <w:rsid w:val="007B2470"/>
    <w:rsid w:val="007B251D"/>
    <w:rsid w:val="007B28C9"/>
    <w:rsid w:val="007B34E5"/>
    <w:rsid w:val="007B3533"/>
    <w:rsid w:val="007B3542"/>
    <w:rsid w:val="007B4F58"/>
    <w:rsid w:val="007B5270"/>
    <w:rsid w:val="007B528D"/>
    <w:rsid w:val="007B6348"/>
    <w:rsid w:val="007B63CA"/>
    <w:rsid w:val="007B77D1"/>
    <w:rsid w:val="007B79F3"/>
    <w:rsid w:val="007C07C7"/>
    <w:rsid w:val="007C11E8"/>
    <w:rsid w:val="007C1CD9"/>
    <w:rsid w:val="007C2562"/>
    <w:rsid w:val="007C2AD8"/>
    <w:rsid w:val="007C2E00"/>
    <w:rsid w:val="007C32EF"/>
    <w:rsid w:val="007C361D"/>
    <w:rsid w:val="007C37DE"/>
    <w:rsid w:val="007C3B79"/>
    <w:rsid w:val="007C4927"/>
    <w:rsid w:val="007C4B84"/>
    <w:rsid w:val="007C70FF"/>
    <w:rsid w:val="007C7C25"/>
    <w:rsid w:val="007D004F"/>
    <w:rsid w:val="007D035F"/>
    <w:rsid w:val="007D061D"/>
    <w:rsid w:val="007D06B2"/>
    <w:rsid w:val="007D0B38"/>
    <w:rsid w:val="007D1507"/>
    <w:rsid w:val="007D3657"/>
    <w:rsid w:val="007D36DF"/>
    <w:rsid w:val="007D3709"/>
    <w:rsid w:val="007D375D"/>
    <w:rsid w:val="007D383B"/>
    <w:rsid w:val="007D3A24"/>
    <w:rsid w:val="007D414B"/>
    <w:rsid w:val="007D5440"/>
    <w:rsid w:val="007D561A"/>
    <w:rsid w:val="007D649B"/>
    <w:rsid w:val="007D69EB"/>
    <w:rsid w:val="007D6B72"/>
    <w:rsid w:val="007D75B4"/>
    <w:rsid w:val="007E0036"/>
    <w:rsid w:val="007E01CD"/>
    <w:rsid w:val="007E1222"/>
    <w:rsid w:val="007E128F"/>
    <w:rsid w:val="007E1290"/>
    <w:rsid w:val="007E16A9"/>
    <w:rsid w:val="007E2EDB"/>
    <w:rsid w:val="007E38F9"/>
    <w:rsid w:val="007E58A0"/>
    <w:rsid w:val="007E7EE8"/>
    <w:rsid w:val="007F0F68"/>
    <w:rsid w:val="007F1017"/>
    <w:rsid w:val="007F17FF"/>
    <w:rsid w:val="007F3B96"/>
    <w:rsid w:val="007F3BDF"/>
    <w:rsid w:val="007F413C"/>
    <w:rsid w:val="007F4A3F"/>
    <w:rsid w:val="007F4A61"/>
    <w:rsid w:val="007F5255"/>
    <w:rsid w:val="007F56CC"/>
    <w:rsid w:val="007F615B"/>
    <w:rsid w:val="007F61C2"/>
    <w:rsid w:val="00800416"/>
    <w:rsid w:val="00801F9C"/>
    <w:rsid w:val="008021F0"/>
    <w:rsid w:val="00802A27"/>
    <w:rsid w:val="008036E2"/>
    <w:rsid w:val="00805142"/>
    <w:rsid w:val="0080566B"/>
    <w:rsid w:val="00805D81"/>
    <w:rsid w:val="00805FCE"/>
    <w:rsid w:val="00806249"/>
    <w:rsid w:val="00806EBF"/>
    <w:rsid w:val="00807A8B"/>
    <w:rsid w:val="00807B1C"/>
    <w:rsid w:val="00807D96"/>
    <w:rsid w:val="00810256"/>
    <w:rsid w:val="0081046A"/>
    <w:rsid w:val="00811383"/>
    <w:rsid w:val="00812149"/>
    <w:rsid w:val="00812B51"/>
    <w:rsid w:val="00812CAC"/>
    <w:rsid w:val="0081338E"/>
    <w:rsid w:val="00814B09"/>
    <w:rsid w:val="00814DD1"/>
    <w:rsid w:val="008150D8"/>
    <w:rsid w:val="00816259"/>
    <w:rsid w:val="00816361"/>
    <w:rsid w:val="008166EF"/>
    <w:rsid w:val="00816FEF"/>
    <w:rsid w:val="0082072D"/>
    <w:rsid w:val="00820A8C"/>
    <w:rsid w:val="008215FB"/>
    <w:rsid w:val="008216D4"/>
    <w:rsid w:val="00821E20"/>
    <w:rsid w:val="00821ECB"/>
    <w:rsid w:val="008220CC"/>
    <w:rsid w:val="00822594"/>
    <w:rsid w:val="00823174"/>
    <w:rsid w:val="008232D4"/>
    <w:rsid w:val="00825751"/>
    <w:rsid w:val="008264EB"/>
    <w:rsid w:val="008268CE"/>
    <w:rsid w:val="00826E08"/>
    <w:rsid w:val="00827B0E"/>
    <w:rsid w:val="00827C23"/>
    <w:rsid w:val="0083031A"/>
    <w:rsid w:val="0083121B"/>
    <w:rsid w:val="00831BA4"/>
    <w:rsid w:val="0083299A"/>
    <w:rsid w:val="00833355"/>
    <w:rsid w:val="00833B05"/>
    <w:rsid w:val="008341ED"/>
    <w:rsid w:val="00834653"/>
    <w:rsid w:val="008362B4"/>
    <w:rsid w:val="0083721E"/>
    <w:rsid w:val="00837AB2"/>
    <w:rsid w:val="0084086E"/>
    <w:rsid w:val="008408C3"/>
    <w:rsid w:val="00840CA2"/>
    <w:rsid w:val="008418EB"/>
    <w:rsid w:val="0084239C"/>
    <w:rsid w:val="00842DB0"/>
    <w:rsid w:val="0084374F"/>
    <w:rsid w:val="00844516"/>
    <w:rsid w:val="00844A22"/>
    <w:rsid w:val="00847617"/>
    <w:rsid w:val="00847703"/>
    <w:rsid w:val="00847BBD"/>
    <w:rsid w:val="00847DF5"/>
    <w:rsid w:val="008503AC"/>
    <w:rsid w:val="00850698"/>
    <w:rsid w:val="008521ED"/>
    <w:rsid w:val="008523AE"/>
    <w:rsid w:val="008524C7"/>
    <w:rsid w:val="00852AF0"/>
    <w:rsid w:val="0085309D"/>
    <w:rsid w:val="00853B22"/>
    <w:rsid w:val="00854289"/>
    <w:rsid w:val="00854D6B"/>
    <w:rsid w:val="008565B3"/>
    <w:rsid w:val="00856897"/>
    <w:rsid w:val="00856E9A"/>
    <w:rsid w:val="00856EF1"/>
    <w:rsid w:val="00857913"/>
    <w:rsid w:val="00857DDE"/>
    <w:rsid w:val="0086075D"/>
    <w:rsid w:val="00861623"/>
    <w:rsid w:val="00861B65"/>
    <w:rsid w:val="00862502"/>
    <w:rsid w:val="00862CC1"/>
    <w:rsid w:val="00862F47"/>
    <w:rsid w:val="0086380B"/>
    <w:rsid w:val="00863EC6"/>
    <w:rsid w:val="008642A7"/>
    <w:rsid w:val="00864D29"/>
    <w:rsid w:val="008660D4"/>
    <w:rsid w:val="008666C6"/>
    <w:rsid w:val="00870DC9"/>
    <w:rsid w:val="008711F6"/>
    <w:rsid w:val="00871911"/>
    <w:rsid w:val="00871D0C"/>
    <w:rsid w:val="00871FA9"/>
    <w:rsid w:val="008720B5"/>
    <w:rsid w:val="0087269D"/>
    <w:rsid w:val="008728E9"/>
    <w:rsid w:val="00872DAD"/>
    <w:rsid w:val="0087365D"/>
    <w:rsid w:val="008736E4"/>
    <w:rsid w:val="00874E51"/>
    <w:rsid w:val="0087535D"/>
    <w:rsid w:val="00876959"/>
    <w:rsid w:val="00877715"/>
    <w:rsid w:val="00877A17"/>
    <w:rsid w:val="00882874"/>
    <w:rsid w:val="00882A55"/>
    <w:rsid w:val="00882E3C"/>
    <w:rsid w:val="0088308A"/>
    <w:rsid w:val="00883787"/>
    <w:rsid w:val="00883C2F"/>
    <w:rsid w:val="00883E30"/>
    <w:rsid w:val="00885282"/>
    <w:rsid w:val="008855E4"/>
    <w:rsid w:val="00885AB1"/>
    <w:rsid w:val="008865F8"/>
    <w:rsid w:val="0088665C"/>
    <w:rsid w:val="00886CD2"/>
    <w:rsid w:val="0088715D"/>
    <w:rsid w:val="00890549"/>
    <w:rsid w:val="00890DB2"/>
    <w:rsid w:val="00891922"/>
    <w:rsid w:val="008919D8"/>
    <w:rsid w:val="00891BFC"/>
    <w:rsid w:val="00891E6F"/>
    <w:rsid w:val="008924F4"/>
    <w:rsid w:val="0089275D"/>
    <w:rsid w:val="0089288B"/>
    <w:rsid w:val="00892A36"/>
    <w:rsid w:val="00893239"/>
    <w:rsid w:val="0089420E"/>
    <w:rsid w:val="00894489"/>
    <w:rsid w:val="008945EE"/>
    <w:rsid w:val="00894CD6"/>
    <w:rsid w:val="00894E89"/>
    <w:rsid w:val="00895622"/>
    <w:rsid w:val="008963A5"/>
    <w:rsid w:val="00896998"/>
    <w:rsid w:val="00896D5D"/>
    <w:rsid w:val="00897773"/>
    <w:rsid w:val="00897E3E"/>
    <w:rsid w:val="008A048F"/>
    <w:rsid w:val="008A2BF9"/>
    <w:rsid w:val="008A3158"/>
    <w:rsid w:val="008A3363"/>
    <w:rsid w:val="008A3371"/>
    <w:rsid w:val="008A365E"/>
    <w:rsid w:val="008A3798"/>
    <w:rsid w:val="008A3C3E"/>
    <w:rsid w:val="008A4A18"/>
    <w:rsid w:val="008A4CCA"/>
    <w:rsid w:val="008A587E"/>
    <w:rsid w:val="008A58B6"/>
    <w:rsid w:val="008A5B41"/>
    <w:rsid w:val="008A6570"/>
    <w:rsid w:val="008A79DE"/>
    <w:rsid w:val="008B044B"/>
    <w:rsid w:val="008B0A22"/>
    <w:rsid w:val="008B0B97"/>
    <w:rsid w:val="008B1708"/>
    <w:rsid w:val="008B1757"/>
    <w:rsid w:val="008B1C33"/>
    <w:rsid w:val="008B1C61"/>
    <w:rsid w:val="008B2F0E"/>
    <w:rsid w:val="008B34DA"/>
    <w:rsid w:val="008B3921"/>
    <w:rsid w:val="008B4B6F"/>
    <w:rsid w:val="008B62F9"/>
    <w:rsid w:val="008B70AE"/>
    <w:rsid w:val="008B765B"/>
    <w:rsid w:val="008B77A6"/>
    <w:rsid w:val="008B7992"/>
    <w:rsid w:val="008B7D7E"/>
    <w:rsid w:val="008C03C5"/>
    <w:rsid w:val="008C1204"/>
    <w:rsid w:val="008C1531"/>
    <w:rsid w:val="008C1850"/>
    <w:rsid w:val="008C1F19"/>
    <w:rsid w:val="008C2406"/>
    <w:rsid w:val="008C27A1"/>
    <w:rsid w:val="008C2FB7"/>
    <w:rsid w:val="008C2FF4"/>
    <w:rsid w:val="008C30B9"/>
    <w:rsid w:val="008C39F6"/>
    <w:rsid w:val="008C5047"/>
    <w:rsid w:val="008C5140"/>
    <w:rsid w:val="008C541E"/>
    <w:rsid w:val="008C5610"/>
    <w:rsid w:val="008C5739"/>
    <w:rsid w:val="008C5C14"/>
    <w:rsid w:val="008C6708"/>
    <w:rsid w:val="008C7282"/>
    <w:rsid w:val="008C7ECB"/>
    <w:rsid w:val="008D0D38"/>
    <w:rsid w:val="008D1066"/>
    <w:rsid w:val="008D205C"/>
    <w:rsid w:val="008D26F5"/>
    <w:rsid w:val="008D271A"/>
    <w:rsid w:val="008D2756"/>
    <w:rsid w:val="008D2826"/>
    <w:rsid w:val="008D3017"/>
    <w:rsid w:val="008D3B18"/>
    <w:rsid w:val="008D3B86"/>
    <w:rsid w:val="008D3C48"/>
    <w:rsid w:val="008D3ED1"/>
    <w:rsid w:val="008D41C7"/>
    <w:rsid w:val="008D42B5"/>
    <w:rsid w:val="008D43FD"/>
    <w:rsid w:val="008D4755"/>
    <w:rsid w:val="008D4C3D"/>
    <w:rsid w:val="008D5122"/>
    <w:rsid w:val="008D5162"/>
    <w:rsid w:val="008D7315"/>
    <w:rsid w:val="008D743C"/>
    <w:rsid w:val="008D7BF9"/>
    <w:rsid w:val="008E089A"/>
    <w:rsid w:val="008E0BAA"/>
    <w:rsid w:val="008E0D3C"/>
    <w:rsid w:val="008E0F25"/>
    <w:rsid w:val="008E1B9E"/>
    <w:rsid w:val="008E1CA8"/>
    <w:rsid w:val="008E2507"/>
    <w:rsid w:val="008E2911"/>
    <w:rsid w:val="008E3330"/>
    <w:rsid w:val="008E4197"/>
    <w:rsid w:val="008E4657"/>
    <w:rsid w:val="008E4D8D"/>
    <w:rsid w:val="008E55AB"/>
    <w:rsid w:val="008E5932"/>
    <w:rsid w:val="008E600D"/>
    <w:rsid w:val="008E623F"/>
    <w:rsid w:val="008F120A"/>
    <w:rsid w:val="008F1CD0"/>
    <w:rsid w:val="008F1D66"/>
    <w:rsid w:val="008F1E2E"/>
    <w:rsid w:val="008F20CA"/>
    <w:rsid w:val="008F2269"/>
    <w:rsid w:val="008F27E0"/>
    <w:rsid w:val="008F29FD"/>
    <w:rsid w:val="008F42E8"/>
    <w:rsid w:val="008F4481"/>
    <w:rsid w:val="008F48EB"/>
    <w:rsid w:val="008F4F0B"/>
    <w:rsid w:val="008F52B6"/>
    <w:rsid w:val="008F5425"/>
    <w:rsid w:val="008F67B1"/>
    <w:rsid w:val="008F75CA"/>
    <w:rsid w:val="008F78FC"/>
    <w:rsid w:val="008F7A33"/>
    <w:rsid w:val="008F7F90"/>
    <w:rsid w:val="0090050F"/>
    <w:rsid w:val="0090108F"/>
    <w:rsid w:val="00901ACF"/>
    <w:rsid w:val="00901FEB"/>
    <w:rsid w:val="00902455"/>
    <w:rsid w:val="00902783"/>
    <w:rsid w:val="009033D5"/>
    <w:rsid w:val="009040CB"/>
    <w:rsid w:val="009046C4"/>
    <w:rsid w:val="00905923"/>
    <w:rsid w:val="009062A5"/>
    <w:rsid w:val="00906541"/>
    <w:rsid w:val="009065AD"/>
    <w:rsid w:val="00907699"/>
    <w:rsid w:val="009078D9"/>
    <w:rsid w:val="00910397"/>
    <w:rsid w:val="00910FA7"/>
    <w:rsid w:val="00911272"/>
    <w:rsid w:val="00911339"/>
    <w:rsid w:val="0091164F"/>
    <w:rsid w:val="009118DA"/>
    <w:rsid w:val="00911F53"/>
    <w:rsid w:val="009135D6"/>
    <w:rsid w:val="009141CB"/>
    <w:rsid w:val="009143AC"/>
    <w:rsid w:val="00914411"/>
    <w:rsid w:val="00914C77"/>
    <w:rsid w:val="0091603D"/>
    <w:rsid w:val="00916074"/>
    <w:rsid w:val="00917152"/>
    <w:rsid w:val="00917C39"/>
    <w:rsid w:val="00917EDC"/>
    <w:rsid w:val="00921ACB"/>
    <w:rsid w:val="00921D4D"/>
    <w:rsid w:val="0092216F"/>
    <w:rsid w:val="009223AE"/>
    <w:rsid w:val="00922553"/>
    <w:rsid w:val="009230A0"/>
    <w:rsid w:val="0092369B"/>
    <w:rsid w:val="00923B23"/>
    <w:rsid w:val="009241D1"/>
    <w:rsid w:val="00925E0E"/>
    <w:rsid w:val="009279F5"/>
    <w:rsid w:val="00931295"/>
    <w:rsid w:val="009314B1"/>
    <w:rsid w:val="00931C19"/>
    <w:rsid w:val="00934988"/>
    <w:rsid w:val="00934B6D"/>
    <w:rsid w:val="00934D8E"/>
    <w:rsid w:val="00934EFE"/>
    <w:rsid w:val="00934F96"/>
    <w:rsid w:val="009358CC"/>
    <w:rsid w:val="00936CC6"/>
    <w:rsid w:val="00937089"/>
    <w:rsid w:val="00937214"/>
    <w:rsid w:val="00937AD1"/>
    <w:rsid w:val="0094040F"/>
    <w:rsid w:val="0094053D"/>
    <w:rsid w:val="00940719"/>
    <w:rsid w:val="00942C45"/>
    <w:rsid w:val="009435C3"/>
    <w:rsid w:val="00944069"/>
    <w:rsid w:val="00944F8A"/>
    <w:rsid w:val="00945172"/>
    <w:rsid w:val="009451D8"/>
    <w:rsid w:val="0094577A"/>
    <w:rsid w:val="009463BA"/>
    <w:rsid w:val="009466FB"/>
    <w:rsid w:val="00947052"/>
    <w:rsid w:val="00947226"/>
    <w:rsid w:val="00947E2F"/>
    <w:rsid w:val="00947ECC"/>
    <w:rsid w:val="00950299"/>
    <w:rsid w:val="00950514"/>
    <w:rsid w:val="00950E18"/>
    <w:rsid w:val="0095107B"/>
    <w:rsid w:val="009510A2"/>
    <w:rsid w:val="00953257"/>
    <w:rsid w:val="00953985"/>
    <w:rsid w:val="009539EF"/>
    <w:rsid w:val="0095474C"/>
    <w:rsid w:val="0095549D"/>
    <w:rsid w:val="0095572D"/>
    <w:rsid w:val="00955B9D"/>
    <w:rsid w:val="00955C4D"/>
    <w:rsid w:val="0095683B"/>
    <w:rsid w:val="009569DF"/>
    <w:rsid w:val="0095718E"/>
    <w:rsid w:val="00957340"/>
    <w:rsid w:val="00957D92"/>
    <w:rsid w:val="00960029"/>
    <w:rsid w:val="009602AD"/>
    <w:rsid w:val="0096048B"/>
    <w:rsid w:val="00961EAC"/>
    <w:rsid w:val="00962124"/>
    <w:rsid w:val="00962CB9"/>
    <w:rsid w:val="00964312"/>
    <w:rsid w:val="009648B1"/>
    <w:rsid w:val="00965A4D"/>
    <w:rsid w:val="00965ACE"/>
    <w:rsid w:val="00965B8A"/>
    <w:rsid w:val="009674E7"/>
    <w:rsid w:val="009679F6"/>
    <w:rsid w:val="0097071F"/>
    <w:rsid w:val="009717AC"/>
    <w:rsid w:val="00972A00"/>
    <w:rsid w:val="00973073"/>
    <w:rsid w:val="0097313E"/>
    <w:rsid w:val="009736BB"/>
    <w:rsid w:val="00973975"/>
    <w:rsid w:val="00973A94"/>
    <w:rsid w:val="00973C25"/>
    <w:rsid w:val="00973E67"/>
    <w:rsid w:val="0097450E"/>
    <w:rsid w:val="00974E1F"/>
    <w:rsid w:val="009751C1"/>
    <w:rsid w:val="00975A19"/>
    <w:rsid w:val="00975D9B"/>
    <w:rsid w:val="00976C8C"/>
    <w:rsid w:val="00977EA3"/>
    <w:rsid w:val="00981152"/>
    <w:rsid w:val="009811F1"/>
    <w:rsid w:val="00981DAD"/>
    <w:rsid w:val="00982309"/>
    <w:rsid w:val="0098262F"/>
    <w:rsid w:val="00983B43"/>
    <w:rsid w:val="00983E57"/>
    <w:rsid w:val="00984511"/>
    <w:rsid w:val="00985DE2"/>
    <w:rsid w:val="00986402"/>
    <w:rsid w:val="0098660A"/>
    <w:rsid w:val="0098675D"/>
    <w:rsid w:val="0098677E"/>
    <w:rsid w:val="00986BAC"/>
    <w:rsid w:val="00987323"/>
    <w:rsid w:val="0098738B"/>
    <w:rsid w:val="00987BA4"/>
    <w:rsid w:val="00991694"/>
    <w:rsid w:val="009921DA"/>
    <w:rsid w:val="009926E0"/>
    <w:rsid w:val="0099451E"/>
    <w:rsid w:val="00995090"/>
    <w:rsid w:val="0099688C"/>
    <w:rsid w:val="00996B1A"/>
    <w:rsid w:val="00996D89"/>
    <w:rsid w:val="009972B5"/>
    <w:rsid w:val="0099758F"/>
    <w:rsid w:val="009979B1"/>
    <w:rsid w:val="009A0CF1"/>
    <w:rsid w:val="009A18F6"/>
    <w:rsid w:val="009A1AA9"/>
    <w:rsid w:val="009A2DCC"/>
    <w:rsid w:val="009A4083"/>
    <w:rsid w:val="009A4334"/>
    <w:rsid w:val="009A44B5"/>
    <w:rsid w:val="009A45AE"/>
    <w:rsid w:val="009A5ABC"/>
    <w:rsid w:val="009A656B"/>
    <w:rsid w:val="009A660B"/>
    <w:rsid w:val="009A7778"/>
    <w:rsid w:val="009A7EF5"/>
    <w:rsid w:val="009A7F10"/>
    <w:rsid w:val="009B146E"/>
    <w:rsid w:val="009B2AC4"/>
    <w:rsid w:val="009B3E26"/>
    <w:rsid w:val="009B4587"/>
    <w:rsid w:val="009B5738"/>
    <w:rsid w:val="009B5A6E"/>
    <w:rsid w:val="009B60FC"/>
    <w:rsid w:val="009B656C"/>
    <w:rsid w:val="009B6720"/>
    <w:rsid w:val="009B672D"/>
    <w:rsid w:val="009B701C"/>
    <w:rsid w:val="009B7541"/>
    <w:rsid w:val="009B7E81"/>
    <w:rsid w:val="009C08AF"/>
    <w:rsid w:val="009C1271"/>
    <w:rsid w:val="009C15F8"/>
    <w:rsid w:val="009C25BB"/>
    <w:rsid w:val="009C26F2"/>
    <w:rsid w:val="009C2F03"/>
    <w:rsid w:val="009C3706"/>
    <w:rsid w:val="009C3A3A"/>
    <w:rsid w:val="009C426B"/>
    <w:rsid w:val="009C454A"/>
    <w:rsid w:val="009C5022"/>
    <w:rsid w:val="009C6CEA"/>
    <w:rsid w:val="009C7791"/>
    <w:rsid w:val="009C7A77"/>
    <w:rsid w:val="009C7B85"/>
    <w:rsid w:val="009D01BD"/>
    <w:rsid w:val="009D0254"/>
    <w:rsid w:val="009D1488"/>
    <w:rsid w:val="009D1751"/>
    <w:rsid w:val="009D1A64"/>
    <w:rsid w:val="009D1DE9"/>
    <w:rsid w:val="009D2343"/>
    <w:rsid w:val="009D28BC"/>
    <w:rsid w:val="009D2EBE"/>
    <w:rsid w:val="009D546C"/>
    <w:rsid w:val="009D5B91"/>
    <w:rsid w:val="009D792E"/>
    <w:rsid w:val="009E02DE"/>
    <w:rsid w:val="009E0DFE"/>
    <w:rsid w:val="009E17E7"/>
    <w:rsid w:val="009E1834"/>
    <w:rsid w:val="009E2249"/>
    <w:rsid w:val="009E31F6"/>
    <w:rsid w:val="009E3D0C"/>
    <w:rsid w:val="009E3D86"/>
    <w:rsid w:val="009E4109"/>
    <w:rsid w:val="009E47E5"/>
    <w:rsid w:val="009E4803"/>
    <w:rsid w:val="009E4C07"/>
    <w:rsid w:val="009E4D46"/>
    <w:rsid w:val="009E5CB3"/>
    <w:rsid w:val="009E6212"/>
    <w:rsid w:val="009E7224"/>
    <w:rsid w:val="009E777F"/>
    <w:rsid w:val="009F060E"/>
    <w:rsid w:val="009F1198"/>
    <w:rsid w:val="009F13EB"/>
    <w:rsid w:val="009F2482"/>
    <w:rsid w:val="009F461C"/>
    <w:rsid w:val="009F4FB9"/>
    <w:rsid w:val="009F5639"/>
    <w:rsid w:val="009F6120"/>
    <w:rsid w:val="009F64A2"/>
    <w:rsid w:val="009F6BA1"/>
    <w:rsid w:val="009F6C0A"/>
    <w:rsid w:val="00A00017"/>
    <w:rsid w:val="00A00665"/>
    <w:rsid w:val="00A006DA"/>
    <w:rsid w:val="00A00D76"/>
    <w:rsid w:val="00A01184"/>
    <w:rsid w:val="00A01449"/>
    <w:rsid w:val="00A01505"/>
    <w:rsid w:val="00A01610"/>
    <w:rsid w:val="00A0243C"/>
    <w:rsid w:val="00A0266A"/>
    <w:rsid w:val="00A02E72"/>
    <w:rsid w:val="00A037C2"/>
    <w:rsid w:val="00A03D43"/>
    <w:rsid w:val="00A04380"/>
    <w:rsid w:val="00A04786"/>
    <w:rsid w:val="00A0530F"/>
    <w:rsid w:val="00A05472"/>
    <w:rsid w:val="00A05C32"/>
    <w:rsid w:val="00A0653F"/>
    <w:rsid w:val="00A072C8"/>
    <w:rsid w:val="00A075CD"/>
    <w:rsid w:val="00A07E88"/>
    <w:rsid w:val="00A10BEA"/>
    <w:rsid w:val="00A11062"/>
    <w:rsid w:val="00A11A33"/>
    <w:rsid w:val="00A11CD0"/>
    <w:rsid w:val="00A12C92"/>
    <w:rsid w:val="00A12EAE"/>
    <w:rsid w:val="00A13948"/>
    <w:rsid w:val="00A14343"/>
    <w:rsid w:val="00A1555B"/>
    <w:rsid w:val="00A155C5"/>
    <w:rsid w:val="00A161E3"/>
    <w:rsid w:val="00A16AD8"/>
    <w:rsid w:val="00A174B8"/>
    <w:rsid w:val="00A175FE"/>
    <w:rsid w:val="00A17FC8"/>
    <w:rsid w:val="00A2021E"/>
    <w:rsid w:val="00A20EED"/>
    <w:rsid w:val="00A20F18"/>
    <w:rsid w:val="00A21C91"/>
    <w:rsid w:val="00A21C95"/>
    <w:rsid w:val="00A21CF3"/>
    <w:rsid w:val="00A21E7B"/>
    <w:rsid w:val="00A2315D"/>
    <w:rsid w:val="00A235F9"/>
    <w:rsid w:val="00A23837"/>
    <w:rsid w:val="00A23C7D"/>
    <w:rsid w:val="00A24813"/>
    <w:rsid w:val="00A25C64"/>
    <w:rsid w:val="00A265A4"/>
    <w:rsid w:val="00A27AEC"/>
    <w:rsid w:val="00A27AF7"/>
    <w:rsid w:val="00A27E84"/>
    <w:rsid w:val="00A30032"/>
    <w:rsid w:val="00A305B1"/>
    <w:rsid w:val="00A314C1"/>
    <w:rsid w:val="00A320DB"/>
    <w:rsid w:val="00A345DE"/>
    <w:rsid w:val="00A347AF"/>
    <w:rsid w:val="00A3539C"/>
    <w:rsid w:val="00A35D16"/>
    <w:rsid w:val="00A365D1"/>
    <w:rsid w:val="00A366D5"/>
    <w:rsid w:val="00A37BCD"/>
    <w:rsid w:val="00A41689"/>
    <w:rsid w:val="00A417C4"/>
    <w:rsid w:val="00A418A3"/>
    <w:rsid w:val="00A421AE"/>
    <w:rsid w:val="00A42592"/>
    <w:rsid w:val="00A42D90"/>
    <w:rsid w:val="00A43C59"/>
    <w:rsid w:val="00A44535"/>
    <w:rsid w:val="00A45519"/>
    <w:rsid w:val="00A45A69"/>
    <w:rsid w:val="00A463B4"/>
    <w:rsid w:val="00A50195"/>
    <w:rsid w:val="00A50482"/>
    <w:rsid w:val="00A50E19"/>
    <w:rsid w:val="00A50ECD"/>
    <w:rsid w:val="00A5110D"/>
    <w:rsid w:val="00A518F3"/>
    <w:rsid w:val="00A521AA"/>
    <w:rsid w:val="00A52729"/>
    <w:rsid w:val="00A53355"/>
    <w:rsid w:val="00A53409"/>
    <w:rsid w:val="00A53607"/>
    <w:rsid w:val="00A53675"/>
    <w:rsid w:val="00A53719"/>
    <w:rsid w:val="00A53831"/>
    <w:rsid w:val="00A53DC6"/>
    <w:rsid w:val="00A55853"/>
    <w:rsid w:val="00A55DC9"/>
    <w:rsid w:val="00A562F5"/>
    <w:rsid w:val="00A564D7"/>
    <w:rsid w:val="00A56B6A"/>
    <w:rsid w:val="00A5768D"/>
    <w:rsid w:val="00A578DC"/>
    <w:rsid w:val="00A622FB"/>
    <w:rsid w:val="00A6236B"/>
    <w:rsid w:val="00A62F5A"/>
    <w:rsid w:val="00A63B0D"/>
    <w:rsid w:val="00A640E2"/>
    <w:rsid w:val="00A6484B"/>
    <w:rsid w:val="00A64AB3"/>
    <w:rsid w:val="00A64D65"/>
    <w:rsid w:val="00A64DEF"/>
    <w:rsid w:val="00A65226"/>
    <w:rsid w:val="00A6563D"/>
    <w:rsid w:val="00A66B0C"/>
    <w:rsid w:val="00A6710E"/>
    <w:rsid w:val="00A6725B"/>
    <w:rsid w:val="00A67931"/>
    <w:rsid w:val="00A67E3E"/>
    <w:rsid w:val="00A70250"/>
    <w:rsid w:val="00A70605"/>
    <w:rsid w:val="00A707BD"/>
    <w:rsid w:val="00A7101C"/>
    <w:rsid w:val="00A715CD"/>
    <w:rsid w:val="00A71B90"/>
    <w:rsid w:val="00A71CA5"/>
    <w:rsid w:val="00A723C7"/>
    <w:rsid w:val="00A7280B"/>
    <w:rsid w:val="00A72F7E"/>
    <w:rsid w:val="00A73134"/>
    <w:rsid w:val="00A734B7"/>
    <w:rsid w:val="00A7365A"/>
    <w:rsid w:val="00A737CB"/>
    <w:rsid w:val="00A73C93"/>
    <w:rsid w:val="00A74044"/>
    <w:rsid w:val="00A74E02"/>
    <w:rsid w:val="00A76001"/>
    <w:rsid w:val="00A76014"/>
    <w:rsid w:val="00A766E4"/>
    <w:rsid w:val="00A77573"/>
    <w:rsid w:val="00A777B2"/>
    <w:rsid w:val="00A77D18"/>
    <w:rsid w:val="00A80048"/>
    <w:rsid w:val="00A80CFC"/>
    <w:rsid w:val="00A8146C"/>
    <w:rsid w:val="00A81EF9"/>
    <w:rsid w:val="00A825D4"/>
    <w:rsid w:val="00A82639"/>
    <w:rsid w:val="00A828F6"/>
    <w:rsid w:val="00A82B73"/>
    <w:rsid w:val="00A834CA"/>
    <w:rsid w:val="00A84781"/>
    <w:rsid w:val="00A850BD"/>
    <w:rsid w:val="00A85FA0"/>
    <w:rsid w:val="00A85FC7"/>
    <w:rsid w:val="00A86E8B"/>
    <w:rsid w:val="00A87164"/>
    <w:rsid w:val="00A871A9"/>
    <w:rsid w:val="00A8747A"/>
    <w:rsid w:val="00A90050"/>
    <w:rsid w:val="00A91787"/>
    <w:rsid w:val="00A918DF"/>
    <w:rsid w:val="00A91D95"/>
    <w:rsid w:val="00A924D5"/>
    <w:rsid w:val="00A928B3"/>
    <w:rsid w:val="00A93072"/>
    <w:rsid w:val="00A938BD"/>
    <w:rsid w:val="00A93953"/>
    <w:rsid w:val="00A93ADA"/>
    <w:rsid w:val="00A94579"/>
    <w:rsid w:val="00A947B9"/>
    <w:rsid w:val="00A959D8"/>
    <w:rsid w:val="00A96055"/>
    <w:rsid w:val="00A9617E"/>
    <w:rsid w:val="00A9618B"/>
    <w:rsid w:val="00A96C36"/>
    <w:rsid w:val="00A97D8B"/>
    <w:rsid w:val="00AA1079"/>
    <w:rsid w:val="00AA113D"/>
    <w:rsid w:val="00AA1298"/>
    <w:rsid w:val="00AA14B2"/>
    <w:rsid w:val="00AA1D77"/>
    <w:rsid w:val="00AA227E"/>
    <w:rsid w:val="00AA25F6"/>
    <w:rsid w:val="00AA29C2"/>
    <w:rsid w:val="00AA30A3"/>
    <w:rsid w:val="00AA378D"/>
    <w:rsid w:val="00AA58E6"/>
    <w:rsid w:val="00AA5D2E"/>
    <w:rsid w:val="00AA6B87"/>
    <w:rsid w:val="00AA6BD5"/>
    <w:rsid w:val="00AA6BD8"/>
    <w:rsid w:val="00AA6C7D"/>
    <w:rsid w:val="00AA7FD6"/>
    <w:rsid w:val="00AB001F"/>
    <w:rsid w:val="00AB00AD"/>
    <w:rsid w:val="00AB042A"/>
    <w:rsid w:val="00AB0AC8"/>
    <w:rsid w:val="00AB0E0B"/>
    <w:rsid w:val="00AB11AD"/>
    <w:rsid w:val="00AB19EF"/>
    <w:rsid w:val="00AB2495"/>
    <w:rsid w:val="00AB2B65"/>
    <w:rsid w:val="00AB2D34"/>
    <w:rsid w:val="00AB3430"/>
    <w:rsid w:val="00AB37B9"/>
    <w:rsid w:val="00AB4748"/>
    <w:rsid w:val="00AB4AB0"/>
    <w:rsid w:val="00AB4AD1"/>
    <w:rsid w:val="00AB5D18"/>
    <w:rsid w:val="00AB5E07"/>
    <w:rsid w:val="00AB5EC7"/>
    <w:rsid w:val="00AB6465"/>
    <w:rsid w:val="00AB6909"/>
    <w:rsid w:val="00AB7091"/>
    <w:rsid w:val="00AB75CD"/>
    <w:rsid w:val="00AB7C9A"/>
    <w:rsid w:val="00AB7CFA"/>
    <w:rsid w:val="00AB7F10"/>
    <w:rsid w:val="00AC39B4"/>
    <w:rsid w:val="00AC3A34"/>
    <w:rsid w:val="00AC4799"/>
    <w:rsid w:val="00AC4986"/>
    <w:rsid w:val="00AC5A2B"/>
    <w:rsid w:val="00AC5B42"/>
    <w:rsid w:val="00AC5B48"/>
    <w:rsid w:val="00AC603D"/>
    <w:rsid w:val="00AC6198"/>
    <w:rsid w:val="00AC6D72"/>
    <w:rsid w:val="00AC7F65"/>
    <w:rsid w:val="00AD1450"/>
    <w:rsid w:val="00AD15E8"/>
    <w:rsid w:val="00AD201C"/>
    <w:rsid w:val="00AD2158"/>
    <w:rsid w:val="00AD2D7C"/>
    <w:rsid w:val="00AD3098"/>
    <w:rsid w:val="00AD3121"/>
    <w:rsid w:val="00AD356D"/>
    <w:rsid w:val="00AD367A"/>
    <w:rsid w:val="00AD4119"/>
    <w:rsid w:val="00AD4F7C"/>
    <w:rsid w:val="00AD53D3"/>
    <w:rsid w:val="00AD6502"/>
    <w:rsid w:val="00AD69AA"/>
    <w:rsid w:val="00AD7661"/>
    <w:rsid w:val="00AE0695"/>
    <w:rsid w:val="00AE0C9D"/>
    <w:rsid w:val="00AE1068"/>
    <w:rsid w:val="00AE1819"/>
    <w:rsid w:val="00AE1A01"/>
    <w:rsid w:val="00AE2048"/>
    <w:rsid w:val="00AE21B6"/>
    <w:rsid w:val="00AE2E11"/>
    <w:rsid w:val="00AE3E7E"/>
    <w:rsid w:val="00AE493F"/>
    <w:rsid w:val="00AE4CA7"/>
    <w:rsid w:val="00AE5238"/>
    <w:rsid w:val="00AE54F1"/>
    <w:rsid w:val="00AE5EF4"/>
    <w:rsid w:val="00AE6E57"/>
    <w:rsid w:val="00AE70AB"/>
    <w:rsid w:val="00AE72D0"/>
    <w:rsid w:val="00AE791A"/>
    <w:rsid w:val="00AE7E53"/>
    <w:rsid w:val="00AF1315"/>
    <w:rsid w:val="00AF13FE"/>
    <w:rsid w:val="00AF19BF"/>
    <w:rsid w:val="00AF2A1F"/>
    <w:rsid w:val="00AF2BF8"/>
    <w:rsid w:val="00AF2DC3"/>
    <w:rsid w:val="00AF5423"/>
    <w:rsid w:val="00AF6065"/>
    <w:rsid w:val="00AF6D24"/>
    <w:rsid w:val="00AF7A1E"/>
    <w:rsid w:val="00AF7ED5"/>
    <w:rsid w:val="00B0279A"/>
    <w:rsid w:val="00B02D8C"/>
    <w:rsid w:val="00B033E5"/>
    <w:rsid w:val="00B03503"/>
    <w:rsid w:val="00B03A63"/>
    <w:rsid w:val="00B03AA8"/>
    <w:rsid w:val="00B041D3"/>
    <w:rsid w:val="00B048BF"/>
    <w:rsid w:val="00B06F5C"/>
    <w:rsid w:val="00B07167"/>
    <w:rsid w:val="00B10C83"/>
    <w:rsid w:val="00B10CC7"/>
    <w:rsid w:val="00B12085"/>
    <w:rsid w:val="00B1225F"/>
    <w:rsid w:val="00B12325"/>
    <w:rsid w:val="00B127E0"/>
    <w:rsid w:val="00B129A4"/>
    <w:rsid w:val="00B14A7A"/>
    <w:rsid w:val="00B16092"/>
    <w:rsid w:val="00B1648A"/>
    <w:rsid w:val="00B16C64"/>
    <w:rsid w:val="00B17D98"/>
    <w:rsid w:val="00B201A4"/>
    <w:rsid w:val="00B201D1"/>
    <w:rsid w:val="00B20BDA"/>
    <w:rsid w:val="00B213A6"/>
    <w:rsid w:val="00B22A06"/>
    <w:rsid w:val="00B22A57"/>
    <w:rsid w:val="00B22C03"/>
    <w:rsid w:val="00B230B1"/>
    <w:rsid w:val="00B23599"/>
    <w:rsid w:val="00B235B0"/>
    <w:rsid w:val="00B23BA3"/>
    <w:rsid w:val="00B24000"/>
    <w:rsid w:val="00B24560"/>
    <w:rsid w:val="00B245A7"/>
    <w:rsid w:val="00B24DF6"/>
    <w:rsid w:val="00B25076"/>
    <w:rsid w:val="00B26768"/>
    <w:rsid w:val="00B27A61"/>
    <w:rsid w:val="00B27B05"/>
    <w:rsid w:val="00B27EA2"/>
    <w:rsid w:val="00B3017F"/>
    <w:rsid w:val="00B30517"/>
    <w:rsid w:val="00B3091D"/>
    <w:rsid w:val="00B313EB"/>
    <w:rsid w:val="00B314B3"/>
    <w:rsid w:val="00B31625"/>
    <w:rsid w:val="00B32373"/>
    <w:rsid w:val="00B329DA"/>
    <w:rsid w:val="00B337BA"/>
    <w:rsid w:val="00B348D2"/>
    <w:rsid w:val="00B34BF9"/>
    <w:rsid w:val="00B34FE2"/>
    <w:rsid w:val="00B35166"/>
    <w:rsid w:val="00B352CB"/>
    <w:rsid w:val="00B357D8"/>
    <w:rsid w:val="00B35E64"/>
    <w:rsid w:val="00B360F4"/>
    <w:rsid w:val="00B36A00"/>
    <w:rsid w:val="00B3752A"/>
    <w:rsid w:val="00B3792B"/>
    <w:rsid w:val="00B37A3F"/>
    <w:rsid w:val="00B37BFC"/>
    <w:rsid w:val="00B40358"/>
    <w:rsid w:val="00B403A0"/>
    <w:rsid w:val="00B409FE"/>
    <w:rsid w:val="00B40F88"/>
    <w:rsid w:val="00B41137"/>
    <w:rsid w:val="00B41614"/>
    <w:rsid w:val="00B41A76"/>
    <w:rsid w:val="00B41B8A"/>
    <w:rsid w:val="00B42851"/>
    <w:rsid w:val="00B42F80"/>
    <w:rsid w:val="00B435CB"/>
    <w:rsid w:val="00B44542"/>
    <w:rsid w:val="00B447AF"/>
    <w:rsid w:val="00B45B48"/>
    <w:rsid w:val="00B45F4D"/>
    <w:rsid w:val="00B465EC"/>
    <w:rsid w:val="00B46943"/>
    <w:rsid w:val="00B46D56"/>
    <w:rsid w:val="00B472CF"/>
    <w:rsid w:val="00B47785"/>
    <w:rsid w:val="00B505C8"/>
    <w:rsid w:val="00B50821"/>
    <w:rsid w:val="00B50A29"/>
    <w:rsid w:val="00B50BE4"/>
    <w:rsid w:val="00B50DB8"/>
    <w:rsid w:val="00B5356E"/>
    <w:rsid w:val="00B53654"/>
    <w:rsid w:val="00B53905"/>
    <w:rsid w:val="00B541D8"/>
    <w:rsid w:val="00B54423"/>
    <w:rsid w:val="00B546DB"/>
    <w:rsid w:val="00B54B5B"/>
    <w:rsid w:val="00B551C6"/>
    <w:rsid w:val="00B5562E"/>
    <w:rsid w:val="00B55862"/>
    <w:rsid w:val="00B55D65"/>
    <w:rsid w:val="00B55DF2"/>
    <w:rsid w:val="00B56305"/>
    <w:rsid w:val="00B568E7"/>
    <w:rsid w:val="00B569F3"/>
    <w:rsid w:val="00B57000"/>
    <w:rsid w:val="00B601C7"/>
    <w:rsid w:val="00B60939"/>
    <w:rsid w:val="00B60AFD"/>
    <w:rsid w:val="00B60EAA"/>
    <w:rsid w:val="00B61A0E"/>
    <w:rsid w:val="00B62715"/>
    <w:rsid w:val="00B62F1D"/>
    <w:rsid w:val="00B63CA6"/>
    <w:rsid w:val="00B63D72"/>
    <w:rsid w:val="00B655D0"/>
    <w:rsid w:val="00B655ED"/>
    <w:rsid w:val="00B65611"/>
    <w:rsid w:val="00B65E1D"/>
    <w:rsid w:val="00B65FD9"/>
    <w:rsid w:val="00B6785A"/>
    <w:rsid w:val="00B70E8E"/>
    <w:rsid w:val="00B71763"/>
    <w:rsid w:val="00B72BBC"/>
    <w:rsid w:val="00B733A4"/>
    <w:rsid w:val="00B73CC4"/>
    <w:rsid w:val="00B740A8"/>
    <w:rsid w:val="00B748CE"/>
    <w:rsid w:val="00B75C36"/>
    <w:rsid w:val="00B7633C"/>
    <w:rsid w:val="00B763F3"/>
    <w:rsid w:val="00B76674"/>
    <w:rsid w:val="00B76A89"/>
    <w:rsid w:val="00B76C92"/>
    <w:rsid w:val="00B7754F"/>
    <w:rsid w:val="00B77831"/>
    <w:rsid w:val="00B800E2"/>
    <w:rsid w:val="00B802CD"/>
    <w:rsid w:val="00B807CA"/>
    <w:rsid w:val="00B80EFD"/>
    <w:rsid w:val="00B818A4"/>
    <w:rsid w:val="00B82FA4"/>
    <w:rsid w:val="00B83739"/>
    <w:rsid w:val="00B83EF8"/>
    <w:rsid w:val="00B84117"/>
    <w:rsid w:val="00B8504D"/>
    <w:rsid w:val="00B8530B"/>
    <w:rsid w:val="00B85447"/>
    <w:rsid w:val="00B858F0"/>
    <w:rsid w:val="00B85AA2"/>
    <w:rsid w:val="00B8649C"/>
    <w:rsid w:val="00B8695D"/>
    <w:rsid w:val="00B876A8"/>
    <w:rsid w:val="00B87A5A"/>
    <w:rsid w:val="00B87F0A"/>
    <w:rsid w:val="00B90472"/>
    <w:rsid w:val="00B90557"/>
    <w:rsid w:val="00B911BB"/>
    <w:rsid w:val="00B92D0B"/>
    <w:rsid w:val="00B9441C"/>
    <w:rsid w:val="00B94945"/>
    <w:rsid w:val="00B94ABA"/>
    <w:rsid w:val="00B94DD6"/>
    <w:rsid w:val="00B951AB"/>
    <w:rsid w:val="00B952C2"/>
    <w:rsid w:val="00B95CEF"/>
    <w:rsid w:val="00B95EF1"/>
    <w:rsid w:val="00B96C1A"/>
    <w:rsid w:val="00B97BF3"/>
    <w:rsid w:val="00BA0C09"/>
    <w:rsid w:val="00BA130A"/>
    <w:rsid w:val="00BA22E6"/>
    <w:rsid w:val="00BA274C"/>
    <w:rsid w:val="00BA3033"/>
    <w:rsid w:val="00BA322D"/>
    <w:rsid w:val="00BA3382"/>
    <w:rsid w:val="00BA38EF"/>
    <w:rsid w:val="00BA40CD"/>
    <w:rsid w:val="00BA489C"/>
    <w:rsid w:val="00BA4D0D"/>
    <w:rsid w:val="00BA5839"/>
    <w:rsid w:val="00BA5F51"/>
    <w:rsid w:val="00BA63FA"/>
    <w:rsid w:val="00BA75CA"/>
    <w:rsid w:val="00BA7AA6"/>
    <w:rsid w:val="00BA7CBD"/>
    <w:rsid w:val="00BB00B3"/>
    <w:rsid w:val="00BB072C"/>
    <w:rsid w:val="00BB0BDD"/>
    <w:rsid w:val="00BB1142"/>
    <w:rsid w:val="00BB13A0"/>
    <w:rsid w:val="00BB176C"/>
    <w:rsid w:val="00BB1D26"/>
    <w:rsid w:val="00BB26C3"/>
    <w:rsid w:val="00BB2A73"/>
    <w:rsid w:val="00BB3A45"/>
    <w:rsid w:val="00BB3C82"/>
    <w:rsid w:val="00BB4ACC"/>
    <w:rsid w:val="00BB6BA3"/>
    <w:rsid w:val="00BB703E"/>
    <w:rsid w:val="00BB732D"/>
    <w:rsid w:val="00BB73E2"/>
    <w:rsid w:val="00BB7405"/>
    <w:rsid w:val="00BB7AE4"/>
    <w:rsid w:val="00BB7B35"/>
    <w:rsid w:val="00BC06B3"/>
    <w:rsid w:val="00BC07E4"/>
    <w:rsid w:val="00BC0934"/>
    <w:rsid w:val="00BC2899"/>
    <w:rsid w:val="00BC3631"/>
    <w:rsid w:val="00BC3B3B"/>
    <w:rsid w:val="00BC3CFC"/>
    <w:rsid w:val="00BC3D40"/>
    <w:rsid w:val="00BC424F"/>
    <w:rsid w:val="00BC4A60"/>
    <w:rsid w:val="00BC5397"/>
    <w:rsid w:val="00BC591F"/>
    <w:rsid w:val="00BC5B47"/>
    <w:rsid w:val="00BC761C"/>
    <w:rsid w:val="00BC7BD3"/>
    <w:rsid w:val="00BC7D6D"/>
    <w:rsid w:val="00BD053A"/>
    <w:rsid w:val="00BD08DB"/>
    <w:rsid w:val="00BD1806"/>
    <w:rsid w:val="00BD2108"/>
    <w:rsid w:val="00BD2526"/>
    <w:rsid w:val="00BD25D8"/>
    <w:rsid w:val="00BD2ACA"/>
    <w:rsid w:val="00BD2CCA"/>
    <w:rsid w:val="00BD3811"/>
    <w:rsid w:val="00BD4F34"/>
    <w:rsid w:val="00BD5BC4"/>
    <w:rsid w:val="00BD5E5D"/>
    <w:rsid w:val="00BD611D"/>
    <w:rsid w:val="00BD68A3"/>
    <w:rsid w:val="00BD6938"/>
    <w:rsid w:val="00BD6CF3"/>
    <w:rsid w:val="00BD7D02"/>
    <w:rsid w:val="00BD7E8F"/>
    <w:rsid w:val="00BD7F72"/>
    <w:rsid w:val="00BE0137"/>
    <w:rsid w:val="00BE0DA6"/>
    <w:rsid w:val="00BE0ECA"/>
    <w:rsid w:val="00BE1600"/>
    <w:rsid w:val="00BE1D32"/>
    <w:rsid w:val="00BE2180"/>
    <w:rsid w:val="00BE2197"/>
    <w:rsid w:val="00BE21F2"/>
    <w:rsid w:val="00BE2387"/>
    <w:rsid w:val="00BE242D"/>
    <w:rsid w:val="00BE268D"/>
    <w:rsid w:val="00BE2FD9"/>
    <w:rsid w:val="00BE4275"/>
    <w:rsid w:val="00BE4C99"/>
    <w:rsid w:val="00BE5EC2"/>
    <w:rsid w:val="00BF06AE"/>
    <w:rsid w:val="00BF0F95"/>
    <w:rsid w:val="00BF1089"/>
    <w:rsid w:val="00BF2433"/>
    <w:rsid w:val="00BF24C4"/>
    <w:rsid w:val="00BF2E6E"/>
    <w:rsid w:val="00BF36F6"/>
    <w:rsid w:val="00BF48D1"/>
    <w:rsid w:val="00BF4A15"/>
    <w:rsid w:val="00BF5379"/>
    <w:rsid w:val="00BF56D1"/>
    <w:rsid w:val="00BF5915"/>
    <w:rsid w:val="00BF5E22"/>
    <w:rsid w:val="00BF61C9"/>
    <w:rsid w:val="00BF6C94"/>
    <w:rsid w:val="00BF77B9"/>
    <w:rsid w:val="00C0027D"/>
    <w:rsid w:val="00C00424"/>
    <w:rsid w:val="00C00559"/>
    <w:rsid w:val="00C00BB0"/>
    <w:rsid w:val="00C00DC6"/>
    <w:rsid w:val="00C01162"/>
    <w:rsid w:val="00C014F9"/>
    <w:rsid w:val="00C0308B"/>
    <w:rsid w:val="00C03C49"/>
    <w:rsid w:val="00C045FB"/>
    <w:rsid w:val="00C04EB7"/>
    <w:rsid w:val="00C04F2B"/>
    <w:rsid w:val="00C05911"/>
    <w:rsid w:val="00C06CD4"/>
    <w:rsid w:val="00C07B07"/>
    <w:rsid w:val="00C07B81"/>
    <w:rsid w:val="00C1179F"/>
    <w:rsid w:val="00C127B9"/>
    <w:rsid w:val="00C128FA"/>
    <w:rsid w:val="00C12C14"/>
    <w:rsid w:val="00C12FB3"/>
    <w:rsid w:val="00C136BB"/>
    <w:rsid w:val="00C138DD"/>
    <w:rsid w:val="00C14A3C"/>
    <w:rsid w:val="00C152C7"/>
    <w:rsid w:val="00C15F04"/>
    <w:rsid w:val="00C1637F"/>
    <w:rsid w:val="00C1649A"/>
    <w:rsid w:val="00C16A04"/>
    <w:rsid w:val="00C16AC7"/>
    <w:rsid w:val="00C174F4"/>
    <w:rsid w:val="00C179B3"/>
    <w:rsid w:val="00C17B34"/>
    <w:rsid w:val="00C17E3F"/>
    <w:rsid w:val="00C200AA"/>
    <w:rsid w:val="00C202DE"/>
    <w:rsid w:val="00C203B7"/>
    <w:rsid w:val="00C21851"/>
    <w:rsid w:val="00C21A5E"/>
    <w:rsid w:val="00C21DAB"/>
    <w:rsid w:val="00C2328E"/>
    <w:rsid w:val="00C23410"/>
    <w:rsid w:val="00C237ED"/>
    <w:rsid w:val="00C23AA8"/>
    <w:rsid w:val="00C24632"/>
    <w:rsid w:val="00C248F0"/>
    <w:rsid w:val="00C24A50"/>
    <w:rsid w:val="00C25418"/>
    <w:rsid w:val="00C25D9C"/>
    <w:rsid w:val="00C25E9E"/>
    <w:rsid w:val="00C26355"/>
    <w:rsid w:val="00C26AD0"/>
    <w:rsid w:val="00C26AEB"/>
    <w:rsid w:val="00C27111"/>
    <w:rsid w:val="00C2778B"/>
    <w:rsid w:val="00C30A9B"/>
    <w:rsid w:val="00C31649"/>
    <w:rsid w:val="00C319FF"/>
    <w:rsid w:val="00C327C2"/>
    <w:rsid w:val="00C3434C"/>
    <w:rsid w:val="00C346B1"/>
    <w:rsid w:val="00C34C65"/>
    <w:rsid w:val="00C35840"/>
    <w:rsid w:val="00C35B32"/>
    <w:rsid w:val="00C35B43"/>
    <w:rsid w:val="00C35C05"/>
    <w:rsid w:val="00C35E56"/>
    <w:rsid w:val="00C367C4"/>
    <w:rsid w:val="00C36E89"/>
    <w:rsid w:val="00C40209"/>
    <w:rsid w:val="00C40385"/>
    <w:rsid w:val="00C40B62"/>
    <w:rsid w:val="00C40F04"/>
    <w:rsid w:val="00C415E0"/>
    <w:rsid w:val="00C41625"/>
    <w:rsid w:val="00C41768"/>
    <w:rsid w:val="00C41D93"/>
    <w:rsid w:val="00C42B72"/>
    <w:rsid w:val="00C42D00"/>
    <w:rsid w:val="00C42DF1"/>
    <w:rsid w:val="00C43064"/>
    <w:rsid w:val="00C450CC"/>
    <w:rsid w:val="00C4605F"/>
    <w:rsid w:val="00C4607C"/>
    <w:rsid w:val="00C475AA"/>
    <w:rsid w:val="00C50886"/>
    <w:rsid w:val="00C50A1E"/>
    <w:rsid w:val="00C50C71"/>
    <w:rsid w:val="00C51231"/>
    <w:rsid w:val="00C52609"/>
    <w:rsid w:val="00C527C7"/>
    <w:rsid w:val="00C52917"/>
    <w:rsid w:val="00C52FF8"/>
    <w:rsid w:val="00C531CB"/>
    <w:rsid w:val="00C53A96"/>
    <w:rsid w:val="00C53C98"/>
    <w:rsid w:val="00C54EA5"/>
    <w:rsid w:val="00C56B0E"/>
    <w:rsid w:val="00C56C71"/>
    <w:rsid w:val="00C56CE5"/>
    <w:rsid w:val="00C56FCF"/>
    <w:rsid w:val="00C572F6"/>
    <w:rsid w:val="00C57B6C"/>
    <w:rsid w:val="00C60B72"/>
    <w:rsid w:val="00C61A59"/>
    <w:rsid w:val="00C61CD9"/>
    <w:rsid w:val="00C62569"/>
    <w:rsid w:val="00C628A6"/>
    <w:rsid w:val="00C629C6"/>
    <w:rsid w:val="00C63273"/>
    <w:rsid w:val="00C6337D"/>
    <w:rsid w:val="00C64344"/>
    <w:rsid w:val="00C64761"/>
    <w:rsid w:val="00C65108"/>
    <w:rsid w:val="00C6540F"/>
    <w:rsid w:val="00C65576"/>
    <w:rsid w:val="00C65805"/>
    <w:rsid w:val="00C65941"/>
    <w:rsid w:val="00C66165"/>
    <w:rsid w:val="00C66270"/>
    <w:rsid w:val="00C66F9F"/>
    <w:rsid w:val="00C6708E"/>
    <w:rsid w:val="00C67840"/>
    <w:rsid w:val="00C678F3"/>
    <w:rsid w:val="00C7060A"/>
    <w:rsid w:val="00C7151A"/>
    <w:rsid w:val="00C717E3"/>
    <w:rsid w:val="00C71F60"/>
    <w:rsid w:val="00C72241"/>
    <w:rsid w:val="00C72537"/>
    <w:rsid w:val="00C72549"/>
    <w:rsid w:val="00C7271F"/>
    <w:rsid w:val="00C73BB7"/>
    <w:rsid w:val="00C73D7E"/>
    <w:rsid w:val="00C74299"/>
    <w:rsid w:val="00C74507"/>
    <w:rsid w:val="00C7460C"/>
    <w:rsid w:val="00C750C8"/>
    <w:rsid w:val="00C75416"/>
    <w:rsid w:val="00C7560F"/>
    <w:rsid w:val="00C771B7"/>
    <w:rsid w:val="00C778A0"/>
    <w:rsid w:val="00C80259"/>
    <w:rsid w:val="00C80810"/>
    <w:rsid w:val="00C80A0E"/>
    <w:rsid w:val="00C80B31"/>
    <w:rsid w:val="00C8147E"/>
    <w:rsid w:val="00C8161D"/>
    <w:rsid w:val="00C817D7"/>
    <w:rsid w:val="00C81A07"/>
    <w:rsid w:val="00C81AF9"/>
    <w:rsid w:val="00C8213F"/>
    <w:rsid w:val="00C8303F"/>
    <w:rsid w:val="00C8403C"/>
    <w:rsid w:val="00C8465A"/>
    <w:rsid w:val="00C85154"/>
    <w:rsid w:val="00C8537E"/>
    <w:rsid w:val="00C85A70"/>
    <w:rsid w:val="00C860EE"/>
    <w:rsid w:val="00C86896"/>
    <w:rsid w:val="00C868A4"/>
    <w:rsid w:val="00C8797A"/>
    <w:rsid w:val="00C9009A"/>
    <w:rsid w:val="00C900B8"/>
    <w:rsid w:val="00C90197"/>
    <w:rsid w:val="00C90C71"/>
    <w:rsid w:val="00C9161B"/>
    <w:rsid w:val="00C919FA"/>
    <w:rsid w:val="00C91B93"/>
    <w:rsid w:val="00C91FD1"/>
    <w:rsid w:val="00C9203C"/>
    <w:rsid w:val="00C9303C"/>
    <w:rsid w:val="00C931CF"/>
    <w:rsid w:val="00C9372A"/>
    <w:rsid w:val="00C938CF"/>
    <w:rsid w:val="00C93E13"/>
    <w:rsid w:val="00C94053"/>
    <w:rsid w:val="00C94E02"/>
    <w:rsid w:val="00C951AF"/>
    <w:rsid w:val="00C95D12"/>
    <w:rsid w:val="00C9624D"/>
    <w:rsid w:val="00C969DA"/>
    <w:rsid w:val="00C96E29"/>
    <w:rsid w:val="00C97C0A"/>
    <w:rsid w:val="00CA02A6"/>
    <w:rsid w:val="00CA0B6F"/>
    <w:rsid w:val="00CA0BD5"/>
    <w:rsid w:val="00CA1645"/>
    <w:rsid w:val="00CA16C9"/>
    <w:rsid w:val="00CA2C77"/>
    <w:rsid w:val="00CA444F"/>
    <w:rsid w:val="00CA4B5B"/>
    <w:rsid w:val="00CA5245"/>
    <w:rsid w:val="00CA572A"/>
    <w:rsid w:val="00CA71F4"/>
    <w:rsid w:val="00CA75D7"/>
    <w:rsid w:val="00CA7B09"/>
    <w:rsid w:val="00CB0392"/>
    <w:rsid w:val="00CB0F94"/>
    <w:rsid w:val="00CB12A5"/>
    <w:rsid w:val="00CB179D"/>
    <w:rsid w:val="00CB1B83"/>
    <w:rsid w:val="00CB1CAC"/>
    <w:rsid w:val="00CB1F04"/>
    <w:rsid w:val="00CB2211"/>
    <w:rsid w:val="00CB2BCC"/>
    <w:rsid w:val="00CB2ED9"/>
    <w:rsid w:val="00CB2F2A"/>
    <w:rsid w:val="00CB31EF"/>
    <w:rsid w:val="00CB4072"/>
    <w:rsid w:val="00CB439F"/>
    <w:rsid w:val="00CB5B1A"/>
    <w:rsid w:val="00CB613A"/>
    <w:rsid w:val="00CB61EE"/>
    <w:rsid w:val="00CB6B22"/>
    <w:rsid w:val="00CB72E1"/>
    <w:rsid w:val="00CB7F5F"/>
    <w:rsid w:val="00CC0D0A"/>
    <w:rsid w:val="00CC1315"/>
    <w:rsid w:val="00CC1B39"/>
    <w:rsid w:val="00CC1BFA"/>
    <w:rsid w:val="00CC1E82"/>
    <w:rsid w:val="00CC250E"/>
    <w:rsid w:val="00CC2589"/>
    <w:rsid w:val="00CC2E9F"/>
    <w:rsid w:val="00CC335C"/>
    <w:rsid w:val="00CC35EA"/>
    <w:rsid w:val="00CC3848"/>
    <w:rsid w:val="00CC456E"/>
    <w:rsid w:val="00CC5138"/>
    <w:rsid w:val="00CC5ED5"/>
    <w:rsid w:val="00CC627D"/>
    <w:rsid w:val="00CC660D"/>
    <w:rsid w:val="00CC6D5E"/>
    <w:rsid w:val="00CD0200"/>
    <w:rsid w:val="00CD10AD"/>
    <w:rsid w:val="00CD13E5"/>
    <w:rsid w:val="00CD1786"/>
    <w:rsid w:val="00CD1AD2"/>
    <w:rsid w:val="00CD1F2E"/>
    <w:rsid w:val="00CD20F5"/>
    <w:rsid w:val="00CD269C"/>
    <w:rsid w:val="00CD27FB"/>
    <w:rsid w:val="00CD30F5"/>
    <w:rsid w:val="00CD388A"/>
    <w:rsid w:val="00CD3B8D"/>
    <w:rsid w:val="00CD3F77"/>
    <w:rsid w:val="00CD41D2"/>
    <w:rsid w:val="00CD4937"/>
    <w:rsid w:val="00CD5D22"/>
    <w:rsid w:val="00CD5ECF"/>
    <w:rsid w:val="00CD6560"/>
    <w:rsid w:val="00CD6ACC"/>
    <w:rsid w:val="00CD6ADC"/>
    <w:rsid w:val="00CD7193"/>
    <w:rsid w:val="00CE15CC"/>
    <w:rsid w:val="00CE16C3"/>
    <w:rsid w:val="00CE2652"/>
    <w:rsid w:val="00CE28E1"/>
    <w:rsid w:val="00CE36A6"/>
    <w:rsid w:val="00CE38C8"/>
    <w:rsid w:val="00CE3D80"/>
    <w:rsid w:val="00CE4649"/>
    <w:rsid w:val="00CE5089"/>
    <w:rsid w:val="00CE524F"/>
    <w:rsid w:val="00CE58CC"/>
    <w:rsid w:val="00CE5E6F"/>
    <w:rsid w:val="00CE60F5"/>
    <w:rsid w:val="00CE6274"/>
    <w:rsid w:val="00CE6EC0"/>
    <w:rsid w:val="00CE6F4E"/>
    <w:rsid w:val="00CE77B6"/>
    <w:rsid w:val="00CE78BC"/>
    <w:rsid w:val="00CF1BDC"/>
    <w:rsid w:val="00CF2793"/>
    <w:rsid w:val="00CF2AA4"/>
    <w:rsid w:val="00CF2B8D"/>
    <w:rsid w:val="00CF2CF2"/>
    <w:rsid w:val="00CF3A1B"/>
    <w:rsid w:val="00CF42A3"/>
    <w:rsid w:val="00CF450F"/>
    <w:rsid w:val="00CF456B"/>
    <w:rsid w:val="00CF5526"/>
    <w:rsid w:val="00CF5A22"/>
    <w:rsid w:val="00CF5BB2"/>
    <w:rsid w:val="00CF70AD"/>
    <w:rsid w:val="00CF771F"/>
    <w:rsid w:val="00CF7DC2"/>
    <w:rsid w:val="00D01255"/>
    <w:rsid w:val="00D0262E"/>
    <w:rsid w:val="00D02E20"/>
    <w:rsid w:val="00D0338C"/>
    <w:rsid w:val="00D03679"/>
    <w:rsid w:val="00D03DEA"/>
    <w:rsid w:val="00D03F96"/>
    <w:rsid w:val="00D04605"/>
    <w:rsid w:val="00D048F1"/>
    <w:rsid w:val="00D050B5"/>
    <w:rsid w:val="00D05215"/>
    <w:rsid w:val="00D053B0"/>
    <w:rsid w:val="00D0546C"/>
    <w:rsid w:val="00D05E3D"/>
    <w:rsid w:val="00D05FB6"/>
    <w:rsid w:val="00D06139"/>
    <w:rsid w:val="00D06E6E"/>
    <w:rsid w:val="00D10CA3"/>
    <w:rsid w:val="00D110BD"/>
    <w:rsid w:val="00D114AE"/>
    <w:rsid w:val="00D12A64"/>
    <w:rsid w:val="00D12A6B"/>
    <w:rsid w:val="00D12AF0"/>
    <w:rsid w:val="00D13675"/>
    <w:rsid w:val="00D141E1"/>
    <w:rsid w:val="00D15314"/>
    <w:rsid w:val="00D15B48"/>
    <w:rsid w:val="00D15FEF"/>
    <w:rsid w:val="00D16727"/>
    <w:rsid w:val="00D17D6C"/>
    <w:rsid w:val="00D2006B"/>
    <w:rsid w:val="00D20172"/>
    <w:rsid w:val="00D20EC2"/>
    <w:rsid w:val="00D2155B"/>
    <w:rsid w:val="00D2184D"/>
    <w:rsid w:val="00D218E2"/>
    <w:rsid w:val="00D21ECB"/>
    <w:rsid w:val="00D22862"/>
    <w:rsid w:val="00D23D11"/>
    <w:rsid w:val="00D2444D"/>
    <w:rsid w:val="00D244B6"/>
    <w:rsid w:val="00D2475E"/>
    <w:rsid w:val="00D24C97"/>
    <w:rsid w:val="00D25B4B"/>
    <w:rsid w:val="00D266E8"/>
    <w:rsid w:val="00D26D6A"/>
    <w:rsid w:val="00D271C8"/>
    <w:rsid w:val="00D2754D"/>
    <w:rsid w:val="00D27905"/>
    <w:rsid w:val="00D27B27"/>
    <w:rsid w:val="00D27BFC"/>
    <w:rsid w:val="00D27D90"/>
    <w:rsid w:val="00D27E91"/>
    <w:rsid w:val="00D30225"/>
    <w:rsid w:val="00D30D5B"/>
    <w:rsid w:val="00D31253"/>
    <w:rsid w:val="00D31807"/>
    <w:rsid w:val="00D328C8"/>
    <w:rsid w:val="00D33BE9"/>
    <w:rsid w:val="00D33F93"/>
    <w:rsid w:val="00D34B18"/>
    <w:rsid w:val="00D3507A"/>
    <w:rsid w:val="00D3558D"/>
    <w:rsid w:val="00D357FF"/>
    <w:rsid w:val="00D35EE2"/>
    <w:rsid w:val="00D374FA"/>
    <w:rsid w:val="00D40024"/>
    <w:rsid w:val="00D4005C"/>
    <w:rsid w:val="00D40142"/>
    <w:rsid w:val="00D421F1"/>
    <w:rsid w:val="00D42200"/>
    <w:rsid w:val="00D424C7"/>
    <w:rsid w:val="00D43B2A"/>
    <w:rsid w:val="00D43CF1"/>
    <w:rsid w:val="00D43D83"/>
    <w:rsid w:val="00D44C6C"/>
    <w:rsid w:val="00D455A1"/>
    <w:rsid w:val="00D46C2B"/>
    <w:rsid w:val="00D47575"/>
    <w:rsid w:val="00D513E7"/>
    <w:rsid w:val="00D5243B"/>
    <w:rsid w:val="00D52442"/>
    <w:rsid w:val="00D5328F"/>
    <w:rsid w:val="00D533EC"/>
    <w:rsid w:val="00D5454F"/>
    <w:rsid w:val="00D54698"/>
    <w:rsid w:val="00D54834"/>
    <w:rsid w:val="00D55340"/>
    <w:rsid w:val="00D55556"/>
    <w:rsid w:val="00D55F84"/>
    <w:rsid w:val="00D56A95"/>
    <w:rsid w:val="00D60421"/>
    <w:rsid w:val="00D6076E"/>
    <w:rsid w:val="00D60D79"/>
    <w:rsid w:val="00D61312"/>
    <w:rsid w:val="00D615A6"/>
    <w:rsid w:val="00D61F2D"/>
    <w:rsid w:val="00D620E2"/>
    <w:rsid w:val="00D634B1"/>
    <w:rsid w:val="00D640DA"/>
    <w:rsid w:val="00D65659"/>
    <w:rsid w:val="00D66088"/>
    <w:rsid w:val="00D66951"/>
    <w:rsid w:val="00D671E6"/>
    <w:rsid w:val="00D67B00"/>
    <w:rsid w:val="00D70B48"/>
    <w:rsid w:val="00D70F16"/>
    <w:rsid w:val="00D70FD3"/>
    <w:rsid w:val="00D71AE7"/>
    <w:rsid w:val="00D71E08"/>
    <w:rsid w:val="00D72617"/>
    <w:rsid w:val="00D72F57"/>
    <w:rsid w:val="00D751E3"/>
    <w:rsid w:val="00D7535E"/>
    <w:rsid w:val="00D75836"/>
    <w:rsid w:val="00D76A44"/>
    <w:rsid w:val="00D805B1"/>
    <w:rsid w:val="00D80916"/>
    <w:rsid w:val="00D80B2F"/>
    <w:rsid w:val="00D80EA2"/>
    <w:rsid w:val="00D81192"/>
    <w:rsid w:val="00D815EF"/>
    <w:rsid w:val="00D8188C"/>
    <w:rsid w:val="00D81949"/>
    <w:rsid w:val="00D81F26"/>
    <w:rsid w:val="00D822E2"/>
    <w:rsid w:val="00D82737"/>
    <w:rsid w:val="00D83D07"/>
    <w:rsid w:val="00D83DA7"/>
    <w:rsid w:val="00D843F2"/>
    <w:rsid w:val="00D86231"/>
    <w:rsid w:val="00D86481"/>
    <w:rsid w:val="00D8730F"/>
    <w:rsid w:val="00D912AB"/>
    <w:rsid w:val="00D91923"/>
    <w:rsid w:val="00D92565"/>
    <w:rsid w:val="00D929F1"/>
    <w:rsid w:val="00D92D9D"/>
    <w:rsid w:val="00D93753"/>
    <w:rsid w:val="00D948BD"/>
    <w:rsid w:val="00D94BC1"/>
    <w:rsid w:val="00D95EAE"/>
    <w:rsid w:val="00D96233"/>
    <w:rsid w:val="00D97095"/>
    <w:rsid w:val="00D97573"/>
    <w:rsid w:val="00D97B97"/>
    <w:rsid w:val="00DA0BC6"/>
    <w:rsid w:val="00DA0BE3"/>
    <w:rsid w:val="00DA0F96"/>
    <w:rsid w:val="00DA1822"/>
    <w:rsid w:val="00DA25D2"/>
    <w:rsid w:val="00DA25D9"/>
    <w:rsid w:val="00DA3167"/>
    <w:rsid w:val="00DA3988"/>
    <w:rsid w:val="00DA4024"/>
    <w:rsid w:val="00DA4476"/>
    <w:rsid w:val="00DA4DC3"/>
    <w:rsid w:val="00DA5C45"/>
    <w:rsid w:val="00DA5E2E"/>
    <w:rsid w:val="00DA60D1"/>
    <w:rsid w:val="00DA77A5"/>
    <w:rsid w:val="00DB003F"/>
    <w:rsid w:val="00DB0E36"/>
    <w:rsid w:val="00DB13C5"/>
    <w:rsid w:val="00DB1954"/>
    <w:rsid w:val="00DB2723"/>
    <w:rsid w:val="00DB38F6"/>
    <w:rsid w:val="00DB3B10"/>
    <w:rsid w:val="00DB3BF2"/>
    <w:rsid w:val="00DB3DBF"/>
    <w:rsid w:val="00DB4740"/>
    <w:rsid w:val="00DB4830"/>
    <w:rsid w:val="00DB484F"/>
    <w:rsid w:val="00DB4EFA"/>
    <w:rsid w:val="00DB535E"/>
    <w:rsid w:val="00DB55F1"/>
    <w:rsid w:val="00DB58A0"/>
    <w:rsid w:val="00DB6269"/>
    <w:rsid w:val="00DB6B2A"/>
    <w:rsid w:val="00DB7B3F"/>
    <w:rsid w:val="00DC04F6"/>
    <w:rsid w:val="00DC05F9"/>
    <w:rsid w:val="00DC0690"/>
    <w:rsid w:val="00DC06FE"/>
    <w:rsid w:val="00DC14C8"/>
    <w:rsid w:val="00DC1A2A"/>
    <w:rsid w:val="00DC1D1C"/>
    <w:rsid w:val="00DC1D65"/>
    <w:rsid w:val="00DC37B7"/>
    <w:rsid w:val="00DC3A6C"/>
    <w:rsid w:val="00DC3C57"/>
    <w:rsid w:val="00DC4393"/>
    <w:rsid w:val="00DC4E9C"/>
    <w:rsid w:val="00DC5501"/>
    <w:rsid w:val="00DC5503"/>
    <w:rsid w:val="00DC5933"/>
    <w:rsid w:val="00DC5DE4"/>
    <w:rsid w:val="00DC7154"/>
    <w:rsid w:val="00DC72BD"/>
    <w:rsid w:val="00DC7B06"/>
    <w:rsid w:val="00DC7DEF"/>
    <w:rsid w:val="00DC7E8A"/>
    <w:rsid w:val="00DD048E"/>
    <w:rsid w:val="00DD0F78"/>
    <w:rsid w:val="00DD1B15"/>
    <w:rsid w:val="00DD2232"/>
    <w:rsid w:val="00DD22D5"/>
    <w:rsid w:val="00DD273C"/>
    <w:rsid w:val="00DD3690"/>
    <w:rsid w:val="00DD3DC4"/>
    <w:rsid w:val="00DD3F28"/>
    <w:rsid w:val="00DD40EE"/>
    <w:rsid w:val="00DD4446"/>
    <w:rsid w:val="00DD4537"/>
    <w:rsid w:val="00DD4C5C"/>
    <w:rsid w:val="00DD4E15"/>
    <w:rsid w:val="00DD582C"/>
    <w:rsid w:val="00DD66EF"/>
    <w:rsid w:val="00DE0897"/>
    <w:rsid w:val="00DE214D"/>
    <w:rsid w:val="00DE2304"/>
    <w:rsid w:val="00DE2506"/>
    <w:rsid w:val="00DE2C69"/>
    <w:rsid w:val="00DE3138"/>
    <w:rsid w:val="00DE37F8"/>
    <w:rsid w:val="00DE4273"/>
    <w:rsid w:val="00DE4FCB"/>
    <w:rsid w:val="00DE5B62"/>
    <w:rsid w:val="00DE5D07"/>
    <w:rsid w:val="00DE6F46"/>
    <w:rsid w:val="00DE72A7"/>
    <w:rsid w:val="00DE7832"/>
    <w:rsid w:val="00DF0E81"/>
    <w:rsid w:val="00DF137D"/>
    <w:rsid w:val="00DF18FC"/>
    <w:rsid w:val="00DF21E6"/>
    <w:rsid w:val="00DF2713"/>
    <w:rsid w:val="00DF2D63"/>
    <w:rsid w:val="00DF3A5F"/>
    <w:rsid w:val="00DF3BBA"/>
    <w:rsid w:val="00DF424C"/>
    <w:rsid w:val="00DF5D2B"/>
    <w:rsid w:val="00DF6341"/>
    <w:rsid w:val="00DF6360"/>
    <w:rsid w:val="00DF7389"/>
    <w:rsid w:val="00DF7C26"/>
    <w:rsid w:val="00E00481"/>
    <w:rsid w:val="00E0053C"/>
    <w:rsid w:val="00E00A3F"/>
    <w:rsid w:val="00E00E8E"/>
    <w:rsid w:val="00E0179E"/>
    <w:rsid w:val="00E019F3"/>
    <w:rsid w:val="00E021A9"/>
    <w:rsid w:val="00E03225"/>
    <w:rsid w:val="00E03680"/>
    <w:rsid w:val="00E03854"/>
    <w:rsid w:val="00E03CD1"/>
    <w:rsid w:val="00E05630"/>
    <w:rsid w:val="00E05B73"/>
    <w:rsid w:val="00E06DBB"/>
    <w:rsid w:val="00E10149"/>
    <w:rsid w:val="00E11340"/>
    <w:rsid w:val="00E122A1"/>
    <w:rsid w:val="00E125F8"/>
    <w:rsid w:val="00E148F7"/>
    <w:rsid w:val="00E15423"/>
    <w:rsid w:val="00E16372"/>
    <w:rsid w:val="00E16917"/>
    <w:rsid w:val="00E16AD8"/>
    <w:rsid w:val="00E173C9"/>
    <w:rsid w:val="00E17714"/>
    <w:rsid w:val="00E17886"/>
    <w:rsid w:val="00E17CFD"/>
    <w:rsid w:val="00E17FFA"/>
    <w:rsid w:val="00E2041E"/>
    <w:rsid w:val="00E20E4D"/>
    <w:rsid w:val="00E20ED6"/>
    <w:rsid w:val="00E20EEB"/>
    <w:rsid w:val="00E20FD3"/>
    <w:rsid w:val="00E21358"/>
    <w:rsid w:val="00E21438"/>
    <w:rsid w:val="00E2249B"/>
    <w:rsid w:val="00E22A0D"/>
    <w:rsid w:val="00E23C73"/>
    <w:rsid w:val="00E244F6"/>
    <w:rsid w:val="00E258DB"/>
    <w:rsid w:val="00E25A26"/>
    <w:rsid w:val="00E26021"/>
    <w:rsid w:val="00E26460"/>
    <w:rsid w:val="00E26519"/>
    <w:rsid w:val="00E27146"/>
    <w:rsid w:val="00E2771E"/>
    <w:rsid w:val="00E3026E"/>
    <w:rsid w:val="00E30A2F"/>
    <w:rsid w:val="00E30AE0"/>
    <w:rsid w:val="00E30C83"/>
    <w:rsid w:val="00E311EF"/>
    <w:rsid w:val="00E31502"/>
    <w:rsid w:val="00E320D2"/>
    <w:rsid w:val="00E32180"/>
    <w:rsid w:val="00E3450F"/>
    <w:rsid w:val="00E34948"/>
    <w:rsid w:val="00E349AA"/>
    <w:rsid w:val="00E34E17"/>
    <w:rsid w:val="00E356B2"/>
    <w:rsid w:val="00E359AA"/>
    <w:rsid w:val="00E36B75"/>
    <w:rsid w:val="00E37569"/>
    <w:rsid w:val="00E37913"/>
    <w:rsid w:val="00E37E53"/>
    <w:rsid w:val="00E401B2"/>
    <w:rsid w:val="00E40472"/>
    <w:rsid w:val="00E40730"/>
    <w:rsid w:val="00E409A5"/>
    <w:rsid w:val="00E41029"/>
    <w:rsid w:val="00E419AC"/>
    <w:rsid w:val="00E41E30"/>
    <w:rsid w:val="00E427BD"/>
    <w:rsid w:val="00E4295A"/>
    <w:rsid w:val="00E42F73"/>
    <w:rsid w:val="00E4369F"/>
    <w:rsid w:val="00E43BFC"/>
    <w:rsid w:val="00E43D70"/>
    <w:rsid w:val="00E444C0"/>
    <w:rsid w:val="00E458EE"/>
    <w:rsid w:val="00E465C0"/>
    <w:rsid w:val="00E466F3"/>
    <w:rsid w:val="00E46F79"/>
    <w:rsid w:val="00E47B2C"/>
    <w:rsid w:val="00E5132A"/>
    <w:rsid w:val="00E51560"/>
    <w:rsid w:val="00E51821"/>
    <w:rsid w:val="00E5230E"/>
    <w:rsid w:val="00E52344"/>
    <w:rsid w:val="00E53FC8"/>
    <w:rsid w:val="00E54347"/>
    <w:rsid w:val="00E54685"/>
    <w:rsid w:val="00E54932"/>
    <w:rsid w:val="00E54B0A"/>
    <w:rsid w:val="00E553FF"/>
    <w:rsid w:val="00E55424"/>
    <w:rsid w:val="00E55915"/>
    <w:rsid w:val="00E55BB5"/>
    <w:rsid w:val="00E55EB3"/>
    <w:rsid w:val="00E56016"/>
    <w:rsid w:val="00E56431"/>
    <w:rsid w:val="00E56B46"/>
    <w:rsid w:val="00E56F28"/>
    <w:rsid w:val="00E601C2"/>
    <w:rsid w:val="00E60207"/>
    <w:rsid w:val="00E611DF"/>
    <w:rsid w:val="00E61F9A"/>
    <w:rsid w:val="00E6219F"/>
    <w:rsid w:val="00E64C85"/>
    <w:rsid w:val="00E65E79"/>
    <w:rsid w:val="00E664EF"/>
    <w:rsid w:val="00E66776"/>
    <w:rsid w:val="00E66BA2"/>
    <w:rsid w:val="00E67416"/>
    <w:rsid w:val="00E67E9B"/>
    <w:rsid w:val="00E70882"/>
    <w:rsid w:val="00E718B6"/>
    <w:rsid w:val="00E71C83"/>
    <w:rsid w:val="00E71EE3"/>
    <w:rsid w:val="00E723BA"/>
    <w:rsid w:val="00E7248A"/>
    <w:rsid w:val="00E73107"/>
    <w:rsid w:val="00E73581"/>
    <w:rsid w:val="00E7375A"/>
    <w:rsid w:val="00E73BFD"/>
    <w:rsid w:val="00E73EEC"/>
    <w:rsid w:val="00E740DF"/>
    <w:rsid w:val="00E75908"/>
    <w:rsid w:val="00E75A36"/>
    <w:rsid w:val="00E76B15"/>
    <w:rsid w:val="00E76F8D"/>
    <w:rsid w:val="00E77D79"/>
    <w:rsid w:val="00E803C5"/>
    <w:rsid w:val="00E81A14"/>
    <w:rsid w:val="00E81DBB"/>
    <w:rsid w:val="00E833F7"/>
    <w:rsid w:val="00E83801"/>
    <w:rsid w:val="00E83BDF"/>
    <w:rsid w:val="00E84D51"/>
    <w:rsid w:val="00E84E03"/>
    <w:rsid w:val="00E85639"/>
    <w:rsid w:val="00E86FCC"/>
    <w:rsid w:val="00E8700F"/>
    <w:rsid w:val="00E876AD"/>
    <w:rsid w:val="00E8791C"/>
    <w:rsid w:val="00E87A1D"/>
    <w:rsid w:val="00E9094A"/>
    <w:rsid w:val="00E90D94"/>
    <w:rsid w:val="00E91467"/>
    <w:rsid w:val="00E919B7"/>
    <w:rsid w:val="00E91D35"/>
    <w:rsid w:val="00E926A5"/>
    <w:rsid w:val="00E9334F"/>
    <w:rsid w:val="00E9382F"/>
    <w:rsid w:val="00E9394A"/>
    <w:rsid w:val="00E93EF4"/>
    <w:rsid w:val="00E962CC"/>
    <w:rsid w:val="00E96521"/>
    <w:rsid w:val="00E965F7"/>
    <w:rsid w:val="00E9736B"/>
    <w:rsid w:val="00E97612"/>
    <w:rsid w:val="00EA12AF"/>
    <w:rsid w:val="00EA157C"/>
    <w:rsid w:val="00EA17C3"/>
    <w:rsid w:val="00EA18D8"/>
    <w:rsid w:val="00EA1E27"/>
    <w:rsid w:val="00EA2CAA"/>
    <w:rsid w:val="00EA3864"/>
    <w:rsid w:val="00EA5A1F"/>
    <w:rsid w:val="00EA6FE5"/>
    <w:rsid w:val="00EA70F2"/>
    <w:rsid w:val="00EA7206"/>
    <w:rsid w:val="00EA7747"/>
    <w:rsid w:val="00EA7D76"/>
    <w:rsid w:val="00EA7F1C"/>
    <w:rsid w:val="00EB0839"/>
    <w:rsid w:val="00EB15B6"/>
    <w:rsid w:val="00EB3D06"/>
    <w:rsid w:val="00EB3D57"/>
    <w:rsid w:val="00EB4916"/>
    <w:rsid w:val="00EB62AE"/>
    <w:rsid w:val="00EB7028"/>
    <w:rsid w:val="00EB7829"/>
    <w:rsid w:val="00EC00C9"/>
    <w:rsid w:val="00EC0646"/>
    <w:rsid w:val="00EC0820"/>
    <w:rsid w:val="00EC0942"/>
    <w:rsid w:val="00EC0B1C"/>
    <w:rsid w:val="00EC0B1E"/>
    <w:rsid w:val="00EC0DD9"/>
    <w:rsid w:val="00EC1279"/>
    <w:rsid w:val="00EC1759"/>
    <w:rsid w:val="00EC20FE"/>
    <w:rsid w:val="00EC2363"/>
    <w:rsid w:val="00EC2649"/>
    <w:rsid w:val="00EC26AC"/>
    <w:rsid w:val="00EC31ED"/>
    <w:rsid w:val="00EC3817"/>
    <w:rsid w:val="00EC5470"/>
    <w:rsid w:val="00EC5836"/>
    <w:rsid w:val="00EC5E11"/>
    <w:rsid w:val="00EC64C1"/>
    <w:rsid w:val="00EC688C"/>
    <w:rsid w:val="00EC6BD5"/>
    <w:rsid w:val="00EC6EFA"/>
    <w:rsid w:val="00EC7C47"/>
    <w:rsid w:val="00ED0A86"/>
    <w:rsid w:val="00ED0BFD"/>
    <w:rsid w:val="00ED0CBB"/>
    <w:rsid w:val="00ED12E3"/>
    <w:rsid w:val="00ED14DA"/>
    <w:rsid w:val="00ED1CDC"/>
    <w:rsid w:val="00ED2EDF"/>
    <w:rsid w:val="00ED3399"/>
    <w:rsid w:val="00ED3DE3"/>
    <w:rsid w:val="00ED3EC5"/>
    <w:rsid w:val="00ED4665"/>
    <w:rsid w:val="00ED489E"/>
    <w:rsid w:val="00ED49C0"/>
    <w:rsid w:val="00ED4B04"/>
    <w:rsid w:val="00ED4BDA"/>
    <w:rsid w:val="00ED5359"/>
    <w:rsid w:val="00ED5440"/>
    <w:rsid w:val="00ED5793"/>
    <w:rsid w:val="00ED57EA"/>
    <w:rsid w:val="00ED5BD4"/>
    <w:rsid w:val="00ED68CE"/>
    <w:rsid w:val="00ED69B7"/>
    <w:rsid w:val="00EE004C"/>
    <w:rsid w:val="00EE00D1"/>
    <w:rsid w:val="00EE07D3"/>
    <w:rsid w:val="00EE0824"/>
    <w:rsid w:val="00EE1818"/>
    <w:rsid w:val="00EE1996"/>
    <w:rsid w:val="00EE1C01"/>
    <w:rsid w:val="00EE22AF"/>
    <w:rsid w:val="00EE5323"/>
    <w:rsid w:val="00EE5824"/>
    <w:rsid w:val="00EE70DE"/>
    <w:rsid w:val="00EE7236"/>
    <w:rsid w:val="00EE7455"/>
    <w:rsid w:val="00EE7663"/>
    <w:rsid w:val="00EF0171"/>
    <w:rsid w:val="00EF0595"/>
    <w:rsid w:val="00EF17F1"/>
    <w:rsid w:val="00EF1B25"/>
    <w:rsid w:val="00EF1DA0"/>
    <w:rsid w:val="00EF206C"/>
    <w:rsid w:val="00EF240A"/>
    <w:rsid w:val="00EF2827"/>
    <w:rsid w:val="00EF3658"/>
    <w:rsid w:val="00EF3B33"/>
    <w:rsid w:val="00EF4747"/>
    <w:rsid w:val="00EF47E6"/>
    <w:rsid w:val="00EF4ABB"/>
    <w:rsid w:val="00EF4BF8"/>
    <w:rsid w:val="00EF69E4"/>
    <w:rsid w:val="00EF6D09"/>
    <w:rsid w:val="00EF6FF8"/>
    <w:rsid w:val="00F02253"/>
    <w:rsid w:val="00F02432"/>
    <w:rsid w:val="00F03C2E"/>
    <w:rsid w:val="00F04A66"/>
    <w:rsid w:val="00F04B4B"/>
    <w:rsid w:val="00F0516C"/>
    <w:rsid w:val="00F0521A"/>
    <w:rsid w:val="00F0616A"/>
    <w:rsid w:val="00F06551"/>
    <w:rsid w:val="00F067A2"/>
    <w:rsid w:val="00F07823"/>
    <w:rsid w:val="00F07B9E"/>
    <w:rsid w:val="00F10DD4"/>
    <w:rsid w:val="00F1116F"/>
    <w:rsid w:val="00F11245"/>
    <w:rsid w:val="00F1263A"/>
    <w:rsid w:val="00F12CB4"/>
    <w:rsid w:val="00F13693"/>
    <w:rsid w:val="00F139C5"/>
    <w:rsid w:val="00F14793"/>
    <w:rsid w:val="00F14CFF"/>
    <w:rsid w:val="00F14D76"/>
    <w:rsid w:val="00F1521E"/>
    <w:rsid w:val="00F15B77"/>
    <w:rsid w:val="00F15F2B"/>
    <w:rsid w:val="00F160A9"/>
    <w:rsid w:val="00F16C3C"/>
    <w:rsid w:val="00F17A14"/>
    <w:rsid w:val="00F17CFF"/>
    <w:rsid w:val="00F21236"/>
    <w:rsid w:val="00F21322"/>
    <w:rsid w:val="00F21CAD"/>
    <w:rsid w:val="00F21FBD"/>
    <w:rsid w:val="00F2261B"/>
    <w:rsid w:val="00F22A70"/>
    <w:rsid w:val="00F22D14"/>
    <w:rsid w:val="00F233C6"/>
    <w:rsid w:val="00F239DF"/>
    <w:rsid w:val="00F240E7"/>
    <w:rsid w:val="00F24837"/>
    <w:rsid w:val="00F253C3"/>
    <w:rsid w:val="00F25711"/>
    <w:rsid w:val="00F2575F"/>
    <w:rsid w:val="00F25868"/>
    <w:rsid w:val="00F26A7E"/>
    <w:rsid w:val="00F26B5B"/>
    <w:rsid w:val="00F27349"/>
    <w:rsid w:val="00F27565"/>
    <w:rsid w:val="00F275CA"/>
    <w:rsid w:val="00F27618"/>
    <w:rsid w:val="00F27B43"/>
    <w:rsid w:val="00F303FB"/>
    <w:rsid w:val="00F307D6"/>
    <w:rsid w:val="00F310D4"/>
    <w:rsid w:val="00F31D5A"/>
    <w:rsid w:val="00F31E75"/>
    <w:rsid w:val="00F32ACD"/>
    <w:rsid w:val="00F33827"/>
    <w:rsid w:val="00F33975"/>
    <w:rsid w:val="00F33ABE"/>
    <w:rsid w:val="00F33DE9"/>
    <w:rsid w:val="00F34B9C"/>
    <w:rsid w:val="00F35E6D"/>
    <w:rsid w:val="00F3619A"/>
    <w:rsid w:val="00F36304"/>
    <w:rsid w:val="00F40AAA"/>
    <w:rsid w:val="00F40BA7"/>
    <w:rsid w:val="00F40C61"/>
    <w:rsid w:val="00F40F9D"/>
    <w:rsid w:val="00F41ACD"/>
    <w:rsid w:val="00F43387"/>
    <w:rsid w:val="00F437F2"/>
    <w:rsid w:val="00F44B1E"/>
    <w:rsid w:val="00F46C59"/>
    <w:rsid w:val="00F46CB6"/>
    <w:rsid w:val="00F4756D"/>
    <w:rsid w:val="00F477D6"/>
    <w:rsid w:val="00F47DE8"/>
    <w:rsid w:val="00F50324"/>
    <w:rsid w:val="00F50A3B"/>
    <w:rsid w:val="00F51054"/>
    <w:rsid w:val="00F510D1"/>
    <w:rsid w:val="00F511E0"/>
    <w:rsid w:val="00F51275"/>
    <w:rsid w:val="00F52229"/>
    <w:rsid w:val="00F53E26"/>
    <w:rsid w:val="00F542C1"/>
    <w:rsid w:val="00F54863"/>
    <w:rsid w:val="00F54F1D"/>
    <w:rsid w:val="00F550E3"/>
    <w:rsid w:val="00F55B24"/>
    <w:rsid w:val="00F55E73"/>
    <w:rsid w:val="00F55EDA"/>
    <w:rsid w:val="00F564BC"/>
    <w:rsid w:val="00F56A3A"/>
    <w:rsid w:val="00F56C80"/>
    <w:rsid w:val="00F57571"/>
    <w:rsid w:val="00F60092"/>
    <w:rsid w:val="00F601AF"/>
    <w:rsid w:val="00F60264"/>
    <w:rsid w:val="00F61719"/>
    <w:rsid w:val="00F61C18"/>
    <w:rsid w:val="00F62743"/>
    <w:rsid w:val="00F63046"/>
    <w:rsid w:val="00F64349"/>
    <w:rsid w:val="00F65381"/>
    <w:rsid w:val="00F65F4B"/>
    <w:rsid w:val="00F660F6"/>
    <w:rsid w:val="00F67708"/>
    <w:rsid w:val="00F6790E"/>
    <w:rsid w:val="00F67A69"/>
    <w:rsid w:val="00F70BFF"/>
    <w:rsid w:val="00F70C9D"/>
    <w:rsid w:val="00F71D0B"/>
    <w:rsid w:val="00F7237E"/>
    <w:rsid w:val="00F72F3E"/>
    <w:rsid w:val="00F73E08"/>
    <w:rsid w:val="00F74CD9"/>
    <w:rsid w:val="00F75546"/>
    <w:rsid w:val="00F75DD4"/>
    <w:rsid w:val="00F7666B"/>
    <w:rsid w:val="00F76DF9"/>
    <w:rsid w:val="00F77322"/>
    <w:rsid w:val="00F80672"/>
    <w:rsid w:val="00F80A7B"/>
    <w:rsid w:val="00F80E5D"/>
    <w:rsid w:val="00F80EB5"/>
    <w:rsid w:val="00F81E78"/>
    <w:rsid w:val="00F81FCF"/>
    <w:rsid w:val="00F83438"/>
    <w:rsid w:val="00F83569"/>
    <w:rsid w:val="00F8362C"/>
    <w:rsid w:val="00F83916"/>
    <w:rsid w:val="00F84639"/>
    <w:rsid w:val="00F84785"/>
    <w:rsid w:val="00F84DEC"/>
    <w:rsid w:val="00F851CE"/>
    <w:rsid w:val="00F8635E"/>
    <w:rsid w:val="00F87823"/>
    <w:rsid w:val="00F9041F"/>
    <w:rsid w:val="00F90997"/>
    <w:rsid w:val="00F90D20"/>
    <w:rsid w:val="00F91219"/>
    <w:rsid w:val="00F92444"/>
    <w:rsid w:val="00F92D87"/>
    <w:rsid w:val="00F9393E"/>
    <w:rsid w:val="00F9417F"/>
    <w:rsid w:val="00F94C18"/>
    <w:rsid w:val="00F96FD0"/>
    <w:rsid w:val="00F971E3"/>
    <w:rsid w:val="00F97A78"/>
    <w:rsid w:val="00FA0366"/>
    <w:rsid w:val="00FA0B20"/>
    <w:rsid w:val="00FA13CE"/>
    <w:rsid w:val="00FA1ECD"/>
    <w:rsid w:val="00FA24E7"/>
    <w:rsid w:val="00FA278B"/>
    <w:rsid w:val="00FA337E"/>
    <w:rsid w:val="00FA4813"/>
    <w:rsid w:val="00FA49B8"/>
    <w:rsid w:val="00FA50D2"/>
    <w:rsid w:val="00FA5EE6"/>
    <w:rsid w:val="00FA64BD"/>
    <w:rsid w:val="00FA667D"/>
    <w:rsid w:val="00FA6964"/>
    <w:rsid w:val="00FA6FEA"/>
    <w:rsid w:val="00FA7094"/>
    <w:rsid w:val="00FA74CA"/>
    <w:rsid w:val="00FA7956"/>
    <w:rsid w:val="00FA7DD3"/>
    <w:rsid w:val="00FB0560"/>
    <w:rsid w:val="00FB0824"/>
    <w:rsid w:val="00FB0E77"/>
    <w:rsid w:val="00FB11E3"/>
    <w:rsid w:val="00FB19C6"/>
    <w:rsid w:val="00FB1E60"/>
    <w:rsid w:val="00FB2075"/>
    <w:rsid w:val="00FB271E"/>
    <w:rsid w:val="00FB2FCB"/>
    <w:rsid w:val="00FB31AC"/>
    <w:rsid w:val="00FB3E1D"/>
    <w:rsid w:val="00FB40F1"/>
    <w:rsid w:val="00FB4AA0"/>
    <w:rsid w:val="00FB4C9C"/>
    <w:rsid w:val="00FB55CB"/>
    <w:rsid w:val="00FB72D1"/>
    <w:rsid w:val="00FB7BEA"/>
    <w:rsid w:val="00FB7C55"/>
    <w:rsid w:val="00FC0A5A"/>
    <w:rsid w:val="00FC1074"/>
    <w:rsid w:val="00FC1884"/>
    <w:rsid w:val="00FC371D"/>
    <w:rsid w:val="00FC373A"/>
    <w:rsid w:val="00FC3FCF"/>
    <w:rsid w:val="00FC4128"/>
    <w:rsid w:val="00FC4173"/>
    <w:rsid w:val="00FC4FBE"/>
    <w:rsid w:val="00FC5142"/>
    <w:rsid w:val="00FC569B"/>
    <w:rsid w:val="00FC5A8D"/>
    <w:rsid w:val="00FC5F0B"/>
    <w:rsid w:val="00FC72F4"/>
    <w:rsid w:val="00FC77D4"/>
    <w:rsid w:val="00FD097A"/>
    <w:rsid w:val="00FD1C39"/>
    <w:rsid w:val="00FD1C97"/>
    <w:rsid w:val="00FD2100"/>
    <w:rsid w:val="00FD365A"/>
    <w:rsid w:val="00FD436C"/>
    <w:rsid w:val="00FD446D"/>
    <w:rsid w:val="00FD4750"/>
    <w:rsid w:val="00FD4CCF"/>
    <w:rsid w:val="00FD4F2C"/>
    <w:rsid w:val="00FD624E"/>
    <w:rsid w:val="00FD6394"/>
    <w:rsid w:val="00FD658A"/>
    <w:rsid w:val="00FD662C"/>
    <w:rsid w:val="00FD7AC0"/>
    <w:rsid w:val="00FD7CEC"/>
    <w:rsid w:val="00FD7EAE"/>
    <w:rsid w:val="00FE0E6C"/>
    <w:rsid w:val="00FE15BB"/>
    <w:rsid w:val="00FE1CDC"/>
    <w:rsid w:val="00FE1D22"/>
    <w:rsid w:val="00FE4CC5"/>
    <w:rsid w:val="00FE557F"/>
    <w:rsid w:val="00FE6F87"/>
    <w:rsid w:val="00FE6FCE"/>
    <w:rsid w:val="00FE70C3"/>
    <w:rsid w:val="00FE718A"/>
    <w:rsid w:val="00FE7430"/>
    <w:rsid w:val="00FE7DDA"/>
    <w:rsid w:val="00FF1A8B"/>
    <w:rsid w:val="00FF2AD9"/>
    <w:rsid w:val="00FF359F"/>
    <w:rsid w:val="00FF3DCF"/>
    <w:rsid w:val="00FF4283"/>
    <w:rsid w:val="00FF492C"/>
    <w:rsid w:val="00FF4A21"/>
    <w:rsid w:val="00FF4DF9"/>
    <w:rsid w:val="00FF5AA3"/>
    <w:rsid w:val="00FF5AD8"/>
    <w:rsid w:val="00FF5B88"/>
    <w:rsid w:val="00FF6321"/>
    <w:rsid w:val="00FF7FD8"/>
    <w:rsid w:val="00FFAD29"/>
    <w:rsid w:val="010467B4"/>
    <w:rsid w:val="03098634"/>
    <w:rsid w:val="0406AB02"/>
    <w:rsid w:val="06026522"/>
    <w:rsid w:val="09A05731"/>
    <w:rsid w:val="0AA1F8BB"/>
    <w:rsid w:val="0BD43BB0"/>
    <w:rsid w:val="0C404F1F"/>
    <w:rsid w:val="0E8545CB"/>
    <w:rsid w:val="117BA001"/>
    <w:rsid w:val="11E28AD1"/>
    <w:rsid w:val="1242E277"/>
    <w:rsid w:val="149BEE6B"/>
    <w:rsid w:val="16B04834"/>
    <w:rsid w:val="18CA8D4C"/>
    <w:rsid w:val="1B4AEE8C"/>
    <w:rsid w:val="1B8F9C8B"/>
    <w:rsid w:val="20098976"/>
    <w:rsid w:val="239DE8DC"/>
    <w:rsid w:val="2684F726"/>
    <w:rsid w:val="296E6011"/>
    <w:rsid w:val="2A434F01"/>
    <w:rsid w:val="31B10542"/>
    <w:rsid w:val="35E220F5"/>
    <w:rsid w:val="3C56F9FF"/>
    <w:rsid w:val="3F1C7B57"/>
    <w:rsid w:val="3FDCD68E"/>
    <w:rsid w:val="42B958E1"/>
    <w:rsid w:val="43997063"/>
    <w:rsid w:val="45BD8267"/>
    <w:rsid w:val="48420E6A"/>
    <w:rsid w:val="484BD421"/>
    <w:rsid w:val="4AC6F321"/>
    <w:rsid w:val="4B9739AF"/>
    <w:rsid w:val="51A4B722"/>
    <w:rsid w:val="53F05969"/>
    <w:rsid w:val="5583FD96"/>
    <w:rsid w:val="5816551D"/>
    <w:rsid w:val="5A5322FA"/>
    <w:rsid w:val="5B42B51E"/>
    <w:rsid w:val="5E9AC675"/>
    <w:rsid w:val="629D3588"/>
    <w:rsid w:val="6397004D"/>
    <w:rsid w:val="66816777"/>
    <w:rsid w:val="67D0E968"/>
    <w:rsid w:val="683EDB9F"/>
    <w:rsid w:val="6C634749"/>
    <w:rsid w:val="6DAB80D6"/>
    <w:rsid w:val="717056BA"/>
    <w:rsid w:val="7283B020"/>
    <w:rsid w:val="73048E08"/>
    <w:rsid w:val="73969221"/>
    <w:rsid w:val="73DDFFCF"/>
    <w:rsid w:val="745206AD"/>
    <w:rsid w:val="7C30EB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7B7"/>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basedOn w:val="Normal"/>
    <w:next w:val="Normal"/>
    <w:link w:val="Heading2Char"/>
    <w:uiPriority w:val="9"/>
    <w:qFormat/>
    <w:rsid w:val="001B204E"/>
    <w:pPr>
      <w:outlineLvl w:val="1"/>
    </w:pPr>
    <w:rPr>
      <w:b/>
      <w:i/>
      <w:sz w:val="28"/>
    </w:rPr>
  </w:style>
  <w:style w:type="paragraph" w:styleId="Heading3">
    <w:name w:val="heading 3"/>
    <w:basedOn w:val="Normal"/>
    <w:next w:val="Normal"/>
    <w:link w:val="Heading3Char"/>
    <w:uiPriority w:val="9"/>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H1"/>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H1 Char"/>
    <w:link w:val="Caption"/>
    <w:uiPriority w:val="35"/>
    <w:rsid w:val="00E16AD8"/>
    <w:rPr>
      <w:rFonts w:ascii="Arial Narrow" w:hAnsi="Arial Narrow" w:cs="Arial"/>
      <w:b/>
      <w:bCs/>
      <w:szCs w:val="18"/>
    </w:rPr>
  </w:style>
  <w:style w:type="paragraph" w:styleId="Title">
    <w:name w:val="Title"/>
    <w:basedOn w:val="Normal"/>
    <w:next w:val="Normal"/>
    <w:link w:val="TitleChar"/>
    <w:uiPriority w:val="10"/>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MSD Table Grid,RTI AMCP Table,new style,PBAC table,Legemiddelverket 3,HTAtableplain,Table Grid nm,Dossier table,Summary Table,HealthConsult,Section 3- footnotes,Conclusion box,Header Tab"/>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uiPriority w:val="11"/>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E6F46"/>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7F3B96"/>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A3469"/>
    <w:pPr>
      <w:numPr>
        <w:ilvl w:val="1"/>
        <w:numId w:val="6"/>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A3469"/>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908CF"/>
    <w:pPr>
      <w:keepNext/>
      <w:keepLines/>
      <w:spacing w:before="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908CF"/>
    <w:rPr>
      <w:rFonts w:asciiTheme="minorHAnsi" w:eastAsiaTheme="majorEastAsia" w:hAnsiTheme="minorHAnsi" w:cstheme="majorBidi"/>
      <w:b/>
      <w:color w:val="000000" w:themeColor="text1"/>
      <w:sz w:val="24"/>
      <w:szCs w:val="24"/>
    </w:rPr>
  </w:style>
  <w:style w:type="paragraph" w:styleId="ListBullet">
    <w:name w:val="List Bullet"/>
    <w:basedOn w:val="Normal"/>
    <w:link w:val="ListBulletChar"/>
    <w:unhideWhenUsed/>
    <w:rsid w:val="00EE1996"/>
    <w:pPr>
      <w:numPr>
        <w:numId w:val="3"/>
      </w:numPr>
      <w:contextualSpacing/>
    </w:pPr>
  </w:style>
  <w:style w:type="character" w:customStyle="1" w:styleId="TableTextChar0">
    <w:name w:val="Table Text Char"/>
    <w:basedOn w:val="DefaultParagraphFont"/>
    <w:link w:val="TableText0"/>
    <w:rsid w:val="00DE6F46"/>
    <w:rPr>
      <w:rFonts w:ascii="Arial Narrow" w:eastAsiaTheme="majorEastAsia" w:hAnsi="Arial Narrow" w:cstheme="majorBidi"/>
      <w:bCs/>
      <w:szCs w:val="24"/>
    </w:rPr>
  </w:style>
  <w:style w:type="paragraph" w:customStyle="1" w:styleId="ExecSumBodyText">
    <w:name w:val="Exec Sum Body Text"/>
    <w:basedOn w:val="Normal"/>
    <w:link w:val="ExecSumBodyTextChar"/>
    <w:qFormat/>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0">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0"/>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A50195"/>
    <w:pPr>
      <w:keepLines/>
      <w:contextualSpacing/>
    </w:pPr>
    <w:rPr>
      <w:rFonts w:ascii="Arial Narrow" w:hAnsi="Arial Narrow"/>
      <w:snapToGrid w:val="0"/>
      <w:sz w:val="18"/>
      <w:szCs w:val="22"/>
    </w:rPr>
  </w:style>
  <w:style w:type="character" w:customStyle="1" w:styleId="TableFigureFooterChar">
    <w:name w:val="Table/Figure Footer Char"/>
    <w:link w:val="TableFigureFooter"/>
    <w:rsid w:val="00A50195"/>
    <w:rPr>
      <w:rFonts w:ascii="Arial Narrow" w:hAnsi="Arial Narrow" w:cs="Arial"/>
      <w:snapToGrid w:val="0"/>
      <w:sz w:val="18"/>
      <w:szCs w:val="22"/>
    </w:rPr>
  </w:style>
  <w:style w:type="character" w:styleId="UnresolvedMention">
    <w:name w:val="Unresolved Mention"/>
    <w:basedOn w:val="DefaultParagraphFont"/>
    <w:uiPriority w:val="99"/>
    <w:unhideWhenUsed/>
    <w:rsid w:val="0048199B"/>
    <w:rPr>
      <w:color w:val="605E5C"/>
      <w:shd w:val="clear" w:color="auto" w:fill="E1DFDD"/>
    </w:rPr>
  </w:style>
  <w:style w:type="paragraph" w:styleId="FootnoteText">
    <w:name w:val="footnote text"/>
    <w:basedOn w:val="Normal"/>
    <w:link w:val="FootnoteTextChar"/>
    <w:semiHidden/>
    <w:unhideWhenUsed/>
    <w:rsid w:val="002C6349"/>
    <w:rPr>
      <w:sz w:val="20"/>
      <w:szCs w:val="20"/>
    </w:rPr>
  </w:style>
  <w:style w:type="character" w:customStyle="1" w:styleId="FootnoteTextChar">
    <w:name w:val="Footnote Text Char"/>
    <w:basedOn w:val="DefaultParagraphFont"/>
    <w:link w:val="FootnoteText"/>
    <w:semiHidden/>
    <w:rsid w:val="002C6349"/>
    <w:rPr>
      <w:rFonts w:ascii="Calibri" w:hAnsi="Calibri" w:cs="Arial"/>
    </w:rPr>
  </w:style>
  <w:style w:type="character" w:styleId="FootnoteReference">
    <w:name w:val="footnote reference"/>
    <w:basedOn w:val="DefaultParagraphFont"/>
    <w:unhideWhenUsed/>
    <w:rsid w:val="002C6349"/>
    <w:rPr>
      <w:vertAlign w:val="superscript"/>
    </w:rPr>
  </w:style>
  <w:style w:type="paragraph" w:customStyle="1" w:styleId="Bullet">
    <w:name w:val="Bullet"/>
    <w:basedOn w:val="Normal"/>
    <w:qFormat/>
    <w:rsid w:val="002F0FDB"/>
    <w:pPr>
      <w:numPr>
        <w:numId w:val="8"/>
      </w:numPr>
      <w:spacing w:before="120" w:after="120"/>
      <w:jc w:val="left"/>
    </w:pPr>
    <w:rPr>
      <w:rFonts w:asciiTheme="minorHAnsi" w:eastAsiaTheme="minorHAnsi" w:hAnsiTheme="minorHAnsi" w:cstheme="minorBidi"/>
      <w:sz w:val="22"/>
      <w:szCs w:val="22"/>
      <w:lang w:eastAsia="en-US"/>
    </w:rPr>
  </w:style>
  <w:style w:type="paragraph" w:customStyle="1" w:styleId="Tabletext9pt">
    <w:name w:val="Table text 9pt"/>
    <w:basedOn w:val="Normal"/>
    <w:qFormat/>
    <w:rsid w:val="005B57E2"/>
    <w:pPr>
      <w:keepNext/>
      <w:keepLines/>
      <w:spacing w:before="20" w:after="20"/>
      <w:jc w:val="left"/>
    </w:pPr>
    <w:rPr>
      <w:rFonts w:ascii="Montserrat" w:eastAsia="Calibri" w:hAnsi="Montserrat" w:cs="Calibri"/>
      <w:sz w:val="16"/>
      <w:szCs w:val="16"/>
      <w:lang w:eastAsia="en-US"/>
    </w:rPr>
  </w:style>
  <w:style w:type="paragraph" w:customStyle="1" w:styleId="Tabletext8pt">
    <w:name w:val="Table text 8pt"/>
    <w:basedOn w:val="TableText0"/>
    <w:link w:val="Tabletext8ptChar"/>
    <w:qFormat/>
    <w:rsid w:val="00F971E3"/>
    <w:pPr>
      <w:spacing w:before="20" w:after="20"/>
    </w:pPr>
    <w:rPr>
      <w:rFonts w:ascii="Montserrat" w:eastAsia="Calibri" w:hAnsi="Montserrat" w:cs="Calibri"/>
      <w:bCs w:val="0"/>
      <w:sz w:val="16"/>
      <w:szCs w:val="16"/>
      <w:lang w:eastAsia="en-US"/>
    </w:rPr>
  </w:style>
  <w:style w:type="table" w:styleId="PlainTable2">
    <w:name w:val="Plain Table 2"/>
    <w:basedOn w:val="TableNormal"/>
    <w:uiPriority w:val="42"/>
    <w:rsid w:val="000D4F81"/>
    <w:rPr>
      <w:rFonts w:asciiTheme="minorHAnsi" w:eastAsia="Calibri" w:hAnsiTheme="minorHAnsi" w:cstheme="minorBidi"/>
      <w:sz w:val="22"/>
      <w:szCs w:val="22"/>
      <w:lang w:val="de-DE"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H28pt">
    <w:name w:val="Table H2 8pt"/>
    <w:basedOn w:val="Normal"/>
    <w:qFormat/>
    <w:rsid w:val="000D4F81"/>
    <w:pPr>
      <w:keepNext/>
      <w:keepLines/>
      <w:spacing w:before="20" w:after="20"/>
      <w:contextualSpacing/>
      <w:jc w:val="left"/>
    </w:pPr>
    <w:rPr>
      <w:rFonts w:ascii="Montserrat" w:eastAsia="Calibri" w:hAnsi="Montserrat" w:cs="Calibri"/>
      <w:b/>
      <w:sz w:val="16"/>
      <w:szCs w:val="20"/>
      <w:lang w:eastAsia="en-US"/>
    </w:rPr>
  </w:style>
  <w:style w:type="character" w:customStyle="1" w:styleId="Tabletext8ptChar">
    <w:name w:val="Table text 8pt Char"/>
    <w:basedOn w:val="TabletextChar"/>
    <w:link w:val="Tabletext8pt"/>
    <w:rsid w:val="000D4F81"/>
    <w:rPr>
      <w:rFonts w:ascii="Montserrat" w:eastAsia="Calibri" w:hAnsi="Montserrat" w:cs="Calibri"/>
      <w:sz w:val="16"/>
      <w:szCs w:val="16"/>
      <w:lang w:eastAsia="en-US"/>
    </w:rPr>
  </w:style>
  <w:style w:type="paragraph" w:styleId="ListBullet2">
    <w:name w:val="List Bullet 2"/>
    <w:basedOn w:val="Normal"/>
    <w:semiHidden/>
    <w:unhideWhenUsed/>
    <w:rsid w:val="00E03CD1"/>
    <w:pPr>
      <w:numPr>
        <w:numId w:val="9"/>
      </w:numPr>
      <w:contextualSpacing/>
    </w:pPr>
  </w:style>
  <w:style w:type="paragraph" w:customStyle="1" w:styleId="C-BodyText">
    <w:name w:val="C-Body Text"/>
    <w:link w:val="C-BodyTextChar"/>
    <w:rsid w:val="00897773"/>
    <w:pPr>
      <w:spacing w:before="120" w:after="120" w:line="280" w:lineRule="atLeast"/>
    </w:pPr>
    <w:rPr>
      <w:rFonts w:eastAsia="SimSun"/>
      <w:sz w:val="24"/>
      <w:szCs w:val="24"/>
      <w:lang w:val="en-US" w:eastAsia="en-US"/>
    </w:rPr>
  </w:style>
  <w:style w:type="paragraph" w:customStyle="1" w:styleId="C-Bullet">
    <w:name w:val="C-Bullet"/>
    <w:rsid w:val="00897773"/>
    <w:pPr>
      <w:numPr>
        <w:numId w:val="10"/>
      </w:numPr>
      <w:spacing w:before="120" w:after="120" w:line="280" w:lineRule="atLeast"/>
    </w:pPr>
    <w:rPr>
      <w:rFonts w:eastAsia="SimSun"/>
      <w:sz w:val="24"/>
      <w:szCs w:val="24"/>
      <w:lang w:val="en-US" w:eastAsia="en-US"/>
    </w:rPr>
  </w:style>
  <w:style w:type="paragraph" w:customStyle="1" w:styleId="C-BulletIndented">
    <w:name w:val="C-Bullet Indented"/>
    <w:rsid w:val="00897773"/>
    <w:pPr>
      <w:numPr>
        <w:ilvl w:val="1"/>
        <w:numId w:val="10"/>
      </w:numPr>
      <w:spacing w:before="120" w:after="120" w:line="280" w:lineRule="atLeast"/>
    </w:pPr>
    <w:rPr>
      <w:rFonts w:cs="Arial"/>
      <w:sz w:val="24"/>
      <w:szCs w:val="24"/>
      <w:lang w:val="en-US" w:eastAsia="en-US"/>
    </w:rPr>
  </w:style>
  <w:style w:type="character" w:customStyle="1" w:styleId="C-BodyTextChar">
    <w:name w:val="C-Body Text Char"/>
    <w:link w:val="C-BodyText"/>
    <w:rsid w:val="00897773"/>
    <w:rPr>
      <w:rFonts w:eastAsia="SimSun"/>
      <w:sz w:val="24"/>
      <w:szCs w:val="24"/>
      <w:lang w:val="en-US" w:eastAsia="en-US"/>
    </w:rPr>
  </w:style>
  <w:style w:type="numbering" w:customStyle="1" w:styleId="Style2">
    <w:name w:val="Style2"/>
    <w:uiPriority w:val="99"/>
    <w:rsid w:val="002B55A0"/>
    <w:pPr>
      <w:numPr>
        <w:numId w:val="11"/>
      </w:numPr>
    </w:pPr>
  </w:style>
  <w:style w:type="paragraph" w:customStyle="1" w:styleId="TableBullets">
    <w:name w:val="Table Bullets"/>
    <w:basedOn w:val="Normal"/>
    <w:uiPriority w:val="5"/>
    <w:qFormat/>
    <w:rsid w:val="002E4876"/>
    <w:pPr>
      <w:numPr>
        <w:numId w:val="14"/>
      </w:numPr>
      <w:ind w:left="170" w:hanging="170"/>
      <w:jc w:val="left"/>
    </w:pPr>
    <w:rPr>
      <w:rFonts w:eastAsiaTheme="majorEastAsia" w:cstheme="majorBidi"/>
      <w:sz w:val="18"/>
      <w:szCs w:val="18"/>
      <w:lang w:eastAsia="en-US" w:bidi="en-US"/>
    </w:rPr>
  </w:style>
  <w:style w:type="paragraph" w:customStyle="1" w:styleId="Bullet12">
    <w:name w:val="Bullet+12"/>
    <w:basedOn w:val="Normal"/>
    <w:next w:val="BodyText"/>
    <w:uiPriority w:val="2"/>
    <w:qFormat/>
    <w:rsid w:val="00321312"/>
    <w:pPr>
      <w:keepLines/>
      <w:numPr>
        <w:numId w:val="15"/>
      </w:numPr>
      <w:tabs>
        <w:tab w:val="left" w:pos="765"/>
      </w:tabs>
      <w:spacing w:after="240" w:line="288" w:lineRule="auto"/>
      <w:ind w:left="714" w:hanging="357"/>
      <w:jc w:val="left"/>
    </w:pPr>
    <w:rPr>
      <w:rFonts w:ascii="Montserrat" w:eastAsia="Calibri" w:hAnsi="Montserrat" w:cs="Calibri"/>
      <w:sz w:val="18"/>
      <w:szCs w:val="20"/>
      <w:lang w:eastAsia="en-US"/>
    </w:rPr>
  </w:style>
  <w:style w:type="paragraph" w:customStyle="1" w:styleId="TableFigNotes18">
    <w:name w:val="TableFigNotes+18"/>
    <w:basedOn w:val="ListParagraph"/>
    <w:next w:val="BodyText"/>
    <w:link w:val="TableFigNotes18Char"/>
    <w:uiPriority w:val="4"/>
    <w:qFormat/>
    <w:rsid w:val="00321312"/>
    <w:pPr>
      <w:numPr>
        <w:numId w:val="0"/>
      </w:numPr>
      <w:spacing w:before="60" w:after="360" w:line="276" w:lineRule="auto"/>
      <w:contextualSpacing/>
    </w:pPr>
    <w:rPr>
      <w:rFonts w:eastAsia="Calibri" w:cs="Calibri"/>
      <w:snapToGrid/>
      <w:sz w:val="16"/>
      <w:szCs w:val="20"/>
      <w:lang w:eastAsia="en-US"/>
    </w:rPr>
  </w:style>
  <w:style w:type="character" w:customStyle="1" w:styleId="TableFigNotes18Char">
    <w:name w:val="TableFigNotes+18 Char"/>
    <w:basedOn w:val="DefaultParagraphFont"/>
    <w:link w:val="TableFigNotes18"/>
    <w:uiPriority w:val="4"/>
    <w:locked/>
    <w:rsid w:val="00321312"/>
    <w:rPr>
      <w:rFonts w:asciiTheme="minorHAnsi" w:eastAsia="Calibri" w:hAnsiTheme="minorHAnsi" w:cs="Calibri"/>
      <w:sz w:val="16"/>
      <w:lang w:eastAsia="en-US"/>
    </w:rPr>
  </w:style>
  <w:style w:type="paragraph" w:customStyle="1" w:styleId="EndNoteBibliographyTitle">
    <w:name w:val="EndNote Bibliography Title"/>
    <w:basedOn w:val="Normal"/>
    <w:link w:val="EndNoteBibliographyTitleChar"/>
    <w:rsid w:val="00321312"/>
    <w:pPr>
      <w:jc w:val="center"/>
    </w:pPr>
    <w:rPr>
      <w:rFonts w:cs="Calibri"/>
      <w:noProof/>
    </w:rPr>
  </w:style>
  <w:style w:type="character" w:customStyle="1" w:styleId="ListBulletChar">
    <w:name w:val="List Bullet Char"/>
    <w:basedOn w:val="DefaultParagraphFont"/>
    <w:link w:val="ListBullet"/>
    <w:rsid w:val="00321312"/>
    <w:rPr>
      <w:rFonts w:ascii="Calibri" w:hAnsi="Calibri" w:cs="Arial"/>
      <w:sz w:val="24"/>
      <w:szCs w:val="24"/>
    </w:rPr>
  </w:style>
  <w:style w:type="character" w:customStyle="1" w:styleId="EndNoteBibliographyTitleChar">
    <w:name w:val="EndNote Bibliography Title Char"/>
    <w:basedOn w:val="ListBulletChar"/>
    <w:link w:val="EndNoteBibliographyTitle"/>
    <w:rsid w:val="00321312"/>
    <w:rPr>
      <w:rFonts w:ascii="Calibri" w:hAnsi="Calibri" w:cs="Calibri"/>
      <w:noProof/>
      <w:sz w:val="24"/>
      <w:szCs w:val="24"/>
    </w:rPr>
  </w:style>
  <w:style w:type="paragraph" w:customStyle="1" w:styleId="EndNoteBibliography">
    <w:name w:val="EndNote Bibliography"/>
    <w:basedOn w:val="Normal"/>
    <w:link w:val="EndNoteBibliographyChar"/>
    <w:rsid w:val="00321312"/>
    <w:rPr>
      <w:rFonts w:cs="Calibri"/>
      <w:noProof/>
    </w:rPr>
  </w:style>
  <w:style w:type="character" w:customStyle="1" w:styleId="EndNoteBibliographyChar">
    <w:name w:val="EndNote Bibliography Char"/>
    <w:basedOn w:val="ListBulletChar"/>
    <w:link w:val="EndNoteBibliography"/>
    <w:rsid w:val="00321312"/>
    <w:rPr>
      <w:rFonts w:ascii="Calibri" w:hAnsi="Calibri" w:cs="Calibri"/>
      <w:noProof/>
      <w:sz w:val="24"/>
      <w:szCs w:val="24"/>
    </w:rPr>
  </w:style>
  <w:style w:type="character" w:customStyle="1" w:styleId="Heading1Char">
    <w:name w:val="Heading 1 Char"/>
    <w:basedOn w:val="DefaultParagraphFont"/>
    <w:link w:val="Heading1"/>
    <w:uiPriority w:val="9"/>
    <w:rsid w:val="00EA6FE5"/>
    <w:rPr>
      <w:rFonts w:ascii="Calibri" w:hAnsi="Calibri" w:cs="Arial"/>
      <w:b/>
      <w:caps/>
      <w:sz w:val="32"/>
      <w:szCs w:val="24"/>
    </w:rPr>
  </w:style>
  <w:style w:type="character" w:customStyle="1" w:styleId="Heading3Char">
    <w:name w:val="Heading 3 Char"/>
    <w:basedOn w:val="DefaultParagraphFont"/>
    <w:link w:val="Heading3"/>
    <w:uiPriority w:val="9"/>
    <w:rsid w:val="00EA6FE5"/>
    <w:rPr>
      <w:rFonts w:ascii="Calibri" w:hAnsi="Calibri" w:cs="Arial"/>
      <w:sz w:val="24"/>
      <w:szCs w:val="24"/>
      <w:u w:val="single"/>
    </w:rPr>
  </w:style>
  <w:style w:type="character" w:customStyle="1" w:styleId="Heading4Char">
    <w:name w:val="Heading 4 Char"/>
    <w:basedOn w:val="DefaultParagraphFont"/>
    <w:link w:val="Heading4"/>
    <w:uiPriority w:val="9"/>
    <w:rsid w:val="00EA6FE5"/>
    <w:rPr>
      <w:rFonts w:ascii="Calibri" w:hAnsi="Calibri" w:cs="Arial"/>
      <w:b/>
      <w:bCs/>
      <w:i/>
      <w:sz w:val="26"/>
      <w:szCs w:val="28"/>
    </w:rPr>
  </w:style>
  <w:style w:type="character" w:customStyle="1" w:styleId="Heading5Char">
    <w:name w:val="Heading 5 Char"/>
    <w:basedOn w:val="DefaultParagraphFont"/>
    <w:link w:val="Heading5"/>
    <w:uiPriority w:val="9"/>
    <w:rsid w:val="00EA6FE5"/>
    <w:rPr>
      <w:rFonts w:ascii="Calibri" w:hAnsi="Calibri" w:cs="Arial"/>
      <w:b/>
      <w:bCs/>
      <w:iCs/>
      <w:sz w:val="26"/>
      <w:szCs w:val="26"/>
    </w:rPr>
  </w:style>
  <w:style w:type="character" w:customStyle="1" w:styleId="Heading6Char">
    <w:name w:val="Heading 6 Char"/>
    <w:basedOn w:val="DefaultParagraphFont"/>
    <w:link w:val="Heading6"/>
    <w:uiPriority w:val="9"/>
    <w:rsid w:val="00EA6FE5"/>
    <w:rPr>
      <w:rFonts w:ascii="Calibri" w:hAnsi="Calibri" w:cs="Arial"/>
      <w:b/>
      <w:bCs/>
      <w:i/>
      <w:sz w:val="24"/>
      <w:szCs w:val="24"/>
    </w:rPr>
  </w:style>
  <w:style w:type="paragraph" w:styleId="Quote">
    <w:name w:val="Quote"/>
    <w:basedOn w:val="Normal"/>
    <w:next w:val="Normal"/>
    <w:link w:val="QuoteChar"/>
    <w:uiPriority w:val="29"/>
    <w:qFormat/>
    <w:rsid w:val="00EA6FE5"/>
    <w:pPr>
      <w:spacing w:before="160"/>
      <w:jc w:val="center"/>
    </w:pPr>
    <w:rPr>
      <w:i/>
      <w:iCs/>
      <w:color w:val="404040" w:themeColor="text1" w:themeTint="BF"/>
      <w14:ligatures w14:val="standardContextual"/>
    </w:rPr>
  </w:style>
  <w:style w:type="character" w:customStyle="1" w:styleId="QuoteChar">
    <w:name w:val="Quote Char"/>
    <w:basedOn w:val="DefaultParagraphFont"/>
    <w:link w:val="Quote"/>
    <w:uiPriority w:val="29"/>
    <w:rsid w:val="00EA6FE5"/>
    <w:rPr>
      <w:rFonts w:ascii="Calibri" w:hAnsi="Calibri" w:cs="Arial"/>
      <w:i/>
      <w:iCs/>
      <w:color w:val="404040" w:themeColor="text1" w:themeTint="BF"/>
      <w:sz w:val="24"/>
      <w:szCs w:val="24"/>
      <w14:ligatures w14:val="standardContextual"/>
    </w:rPr>
  </w:style>
  <w:style w:type="character" w:styleId="IntenseEmphasis">
    <w:name w:val="Intense Emphasis"/>
    <w:basedOn w:val="DefaultParagraphFont"/>
    <w:uiPriority w:val="21"/>
    <w:qFormat/>
    <w:rsid w:val="00EA6FE5"/>
    <w:rPr>
      <w:i/>
      <w:iCs/>
      <w:color w:val="365F91" w:themeColor="accent1" w:themeShade="BF"/>
    </w:rPr>
  </w:style>
  <w:style w:type="paragraph" w:styleId="IntenseQuote">
    <w:name w:val="Intense Quote"/>
    <w:basedOn w:val="Normal"/>
    <w:next w:val="Normal"/>
    <w:link w:val="IntenseQuoteChar"/>
    <w:uiPriority w:val="30"/>
    <w:qFormat/>
    <w:rsid w:val="00EA6F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14:ligatures w14:val="standardContextual"/>
    </w:rPr>
  </w:style>
  <w:style w:type="character" w:customStyle="1" w:styleId="IntenseQuoteChar">
    <w:name w:val="Intense Quote Char"/>
    <w:basedOn w:val="DefaultParagraphFont"/>
    <w:link w:val="IntenseQuote"/>
    <w:uiPriority w:val="30"/>
    <w:rsid w:val="00EA6FE5"/>
    <w:rPr>
      <w:rFonts w:ascii="Calibri" w:hAnsi="Calibri" w:cs="Arial"/>
      <w:i/>
      <w:iCs/>
      <w:color w:val="365F91" w:themeColor="accent1" w:themeShade="BF"/>
      <w:sz w:val="24"/>
      <w:szCs w:val="24"/>
      <w14:ligatures w14:val="standardContextual"/>
    </w:rPr>
  </w:style>
  <w:style w:type="character" w:styleId="IntenseReference">
    <w:name w:val="Intense Reference"/>
    <w:basedOn w:val="DefaultParagraphFont"/>
    <w:uiPriority w:val="32"/>
    <w:qFormat/>
    <w:rsid w:val="00EA6FE5"/>
    <w:rPr>
      <w:b/>
      <w:bCs/>
      <w:smallCaps/>
      <w:color w:val="365F91" w:themeColor="accent1" w:themeShade="BF"/>
      <w:spacing w:val="5"/>
    </w:rPr>
  </w:style>
  <w:style w:type="character" w:customStyle="1" w:styleId="FontSubscript">
    <w:name w:val="Font Subscript"/>
    <w:basedOn w:val="DefaultParagraphFont"/>
    <w:uiPriority w:val="1"/>
    <w:rsid w:val="00EA6FE5"/>
    <w:rPr>
      <w:rFonts w:ascii="Sabon" w:hAnsi="Sabon"/>
      <w:sz w:val="22"/>
      <w:vertAlign w:val="subscript"/>
    </w:rPr>
  </w:style>
  <w:style w:type="character" w:customStyle="1" w:styleId="normaltextrun">
    <w:name w:val="normaltextrun"/>
    <w:basedOn w:val="DefaultParagraphFont"/>
    <w:rsid w:val="00EA6FE5"/>
  </w:style>
  <w:style w:type="character" w:customStyle="1" w:styleId="eop">
    <w:name w:val="eop"/>
    <w:basedOn w:val="DefaultParagraphFont"/>
    <w:rsid w:val="00EA6FE5"/>
  </w:style>
  <w:style w:type="paragraph" w:customStyle="1" w:styleId="paragraph">
    <w:name w:val="paragraph"/>
    <w:basedOn w:val="Normal"/>
    <w:rsid w:val="00EA6FE5"/>
    <w:pPr>
      <w:spacing w:before="100" w:beforeAutospacing="1" w:after="100" w:afterAutospacing="1"/>
      <w:jc w:val="left"/>
    </w:pPr>
    <w:rPr>
      <w:rFonts w:ascii="Times New Roman" w:hAnsi="Times New Roman" w:cs="Times New Roman"/>
    </w:rPr>
  </w:style>
  <w:style w:type="character" w:styleId="Mention">
    <w:name w:val="Mention"/>
    <w:basedOn w:val="DefaultParagraphFont"/>
    <w:uiPriority w:val="99"/>
    <w:unhideWhenUsed/>
    <w:rsid w:val="00EA6FE5"/>
    <w:rPr>
      <w:color w:val="2B579A"/>
      <w:shd w:val="clear" w:color="auto" w:fill="E1DFDD"/>
    </w:rPr>
  </w:style>
  <w:style w:type="paragraph" w:customStyle="1" w:styleId="3-SubsectionHeading">
    <w:name w:val="3-Subsection Heading"/>
    <w:basedOn w:val="Heading2"/>
    <w:next w:val="Normal"/>
    <w:link w:val="3-SubsectionHeadingChar"/>
    <w:qFormat/>
    <w:rsid w:val="00D54834"/>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D54834"/>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9839">
      <w:bodyDiv w:val="1"/>
      <w:marLeft w:val="0"/>
      <w:marRight w:val="0"/>
      <w:marTop w:val="0"/>
      <w:marBottom w:val="0"/>
      <w:divBdr>
        <w:top w:val="none" w:sz="0" w:space="0" w:color="auto"/>
        <w:left w:val="none" w:sz="0" w:space="0" w:color="auto"/>
        <w:bottom w:val="none" w:sz="0" w:space="0" w:color="auto"/>
        <w:right w:val="none" w:sz="0" w:space="0" w:color="auto"/>
      </w:divBdr>
      <w:divsChild>
        <w:div w:id="16657571">
          <w:marLeft w:val="1080"/>
          <w:marRight w:val="0"/>
          <w:marTop w:val="100"/>
          <w:marBottom w:val="0"/>
          <w:divBdr>
            <w:top w:val="none" w:sz="0" w:space="0" w:color="auto"/>
            <w:left w:val="none" w:sz="0" w:space="0" w:color="auto"/>
            <w:bottom w:val="none" w:sz="0" w:space="0" w:color="auto"/>
            <w:right w:val="none" w:sz="0" w:space="0" w:color="auto"/>
          </w:divBdr>
        </w:div>
        <w:div w:id="919213271">
          <w:marLeft w:val="1800"/>
          <w:marRight w:val="0"/>
          <w:marTop w:val="100"/>
          <w:marBottom w:val="0"/>
          <w:divBdr>
            <w:top w:val="none" w:sz="0" w:space="0" w:color="auto"/>
            <w:left w:val="none" w:sz="0" w:space="0" w:color="auto"/>
            <w:bottom w:val="none" w:sz="0" w:space="0" w:color="auto"/>
            <w:right w:val="none" w:sz="0" w:space="0" w:color="auto"/>
          </w:divBdr>
        </w:div>
        <w:div w:id="1034040119">
          <w:marLeft w:val="1080"/>
          <w:marRight w:val="0"/>
          <w:marTop w:val="100"/>
          <w:marBottom w:val="0"/>
          <w:divBdr>
            <w:top w:val="none" w:sz="0" w:space="0" w:color="auto"/>
            <w:left w:val="none" w:sz="0" w:space="0" w:color="auto"/>
            <w:bottom w:val="none" w:sz="0" w:space="0" w:color="auto"/>
            <w:right w:val="none" w:sz="0" w:space="0" w:color="auto"/>
          </w:divBdr>
        </w:div>
        <w:div w:id="1285848560">
          <w:marLeft w:val="1800"/>
          <w:marRight w:val="0"/>
          <w:marTop w:val="100"/>
          <w:marBottom w:val="0"/>
          <w:divBdr>
            <w:top w:val="none" w:sz="0" w:space="0" w:color="auto"/>
            <w:left w:val="none" w:sz="0" w:space="0" w:color="auto"/>
            <w:bottom w:val="none" w:sz="0" w:space="0" w:color="auto"/>
            <w:right w:val="none" w:sz="0" w:space="0" w:color="auto"/>
          </w:divBdr>
        </w:div>
        <w:div w:id="2127576882">
          <w:marLeft w:val="1080"/>
          <w:marRight w:val="0"/>
          <w:marTop w:val="10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2415389">
      <w:bodyDiv w:val="1"/>
      <w:marLeft w:val="0"/>
      <w:marRight w:val="0"/>
      <w:marTop w:val="0"/>
      <w:marBottom w:val="0"/>
      <w:divBdr>
        <w:top w:val="none" w:sz="0" w:space="0" w:color="auto"/>
        <w:left w:val="none" w:sz="0" w:space="0" w:color="auto"/>
        <w:bottom w:val="none" w:sz="0" w:space="0" w:color="auto"/>
        <w:right w:val="none" w:sz="0" w:space="0" w:color="auto"/>
      </w:divBdr>
      <w:divsChild>
        <w:div w:id="690377008">
          <w:marLeft w:val="360"/>
          <w:marRight w:val="0"/>
          <w:marTop w:val="200"/>
          <w:marBottom w:val="0"/>
          <w:divBdr>
            <w:top w:val="none" w:sz="0" w:space="0" w:color="auto"/>
            <w:left w:val="none" w:sz="0" w:space="0" w:color="auto"/>
            <w:bottom w:val="none" w:sz="0" w:space="0" w:color="auto"/>
            <w:right w:val="none" w:sz="0" w:space="0" w:color="auto"/>
          </w:divBdr>
        </w:div>
        <w:div w:id="1030644212">
          <w:marLeft w:val="1080"/>
          <w:marRight w:val="0"/>
          <w:marTop w:val="100"/>
          <w:marBottom w:val="0"/>
          <w:divBdr>
            <w:top w:val="none" w:sz="0" w:space="0" w:color="auto"/>
            <w:left w:val="none" w:sz="0" w:space="0" w:color="auto"/>
            <w:bottom w:val="none" w:sz="0" w:space="0" w:color="auto"/>
            <w:right w:val="none" w:sz="0" w:space="0" w:color="auto"/>
          </w:divBdr>
        </w:div>
        <w:div w:id="1061364707">
          <w:marLeft w:val="360"/>
          <w:marRight w:val="0"/>
          <w:marTop w:val="200"/>
          <w:marBottom w:val="0"/>
          <w:divBdr>
            <w:top w:val="none" w:sz="0" w:space="0" w:color="auto"/>
            <w:left w:val="none" w:sz="0" w:space="0" w:color="auto"/>
            <w:bottom w:val="none" w:sz="0" w:space="0" w:color="auto"/>
            <w:right w:val="none" w:sz="0" w:space="0" w:color="auto"/>
          </w:divBdr>
        </w:div>
        <w:div w:id="1518277610">
          <w:marLeft w:val="1080"/>
          <w:marRight w:val="0"/>
          <w:marTop w:val="100"/>
          <w:marBottom w:val="0"/>
          <w:divBdr>
            <w:top w:val="none" w:sz="0" w:space="0" w:color="auto"/>
            <w:left w:val="none" w:sz="0" w:space="0" w:color="auto"/>
            <w:bottom w:val="none" w:sz="0" w:space="0" w:color="auto"/>
            <w:right w:val="none" w:sz="0" w:space="0" w:color="auto"/>
          </w:divBdr>
        </w:div>
        <w:div w:id="1523518043">
          <w:marLeft w:val="360"/>
          <w:marRight w:val="0"/>
          <w:marTop w:val="200"/>
          <w:marBottom w:val="0"/>
          <w:divBdr>
            <w:top w:val="none" w:sz="0" w:space="0" w:color="auto"/>
            <w:left w:val="none" w:sz="0" w:space="0" w:color="auto"/>
            <w:bottom w:val="none" w:sz="0" w:space="0" w:color="auto"/>
            <w:right w:val="none" w:sz="0" w:space="0" w:color="auto"/>
          </w:divBdr>
        </w:div>
        <w:div w:id="1717923894">
          <w:marLeft w:val="360"/>
          <w:marRight w:val="0"/>
          <w:marTop w:val="200"/>
          <w:marBottom w:val="0"/>
          <w:divBdr>
            <w:top w:val="none" w:sz="0" w:space="0" w:color="auto"/>
            <w:left w:val="none" w:sz="0" w:space="0" w:color="auto"/>
            <w:bottom w:val="none" w:sz="0" w:space="0" w:color="auto"/>
            <w:right w:val="none" w:sz="0" w:space="0" w:color="auto"/>
          </w:divBdr>
        </w:div>
        <w:div w:id="2030332467">
          <w:marLeft w:val="360"/>
          <w:marRight w:val="0"/>
          <w:marTop w:val="20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68992888">
      <w:bodyDiv w:val="1"/>
      <w:marLeft w:val="0"/>
      <w:marRight w:val="0"/>
      <w:marTop w:val="0"/>
      <w:marBottom w:val="0"/>
      <w:divBdr>
        <w:top w:val="none" w:sz="0" w:space="0" w:color="auto"/>
        <w:left w:val="none" w:sz="0" w:space="0" w:color="auto"/>
        <w:bottom w:val="none" w:sz="0" w:space="0" w:color="auto"/>
        <w:right w:val="none" w:sz="0" w:space="0" w:color="auto"/>
      </w:divBdr>
      <w:divsChild>
        <w:div w:id="175534979">
          <w:marLeft w:val="360"/>
          <w:marRight w:val="0"/>
          <w:marTop w:val="200"/>
          <w:marBottom w:val="0"/>
          <w:divBdr>
            <w:top w:val="none" w:sz="0" w:space="0" w:color="auto"/>
            <w:left w:val="none" w:sz="0" w:space="0" w:color="auto"/>
            <w:bottom w:val="none" w:sz="0" w:space="0" w:color="auto"/>
            <w:right w:val="none" w:sz="0" w:space="0" w:color="auto"/>
          </w:divBdr>
        </w:div>
      </w:divsChild>
    </w:div>
    <w:div w:id="804858825">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87827709">
      <w:bodyDiv w:val="1"/>
      <w:marLeft w:val="0"/>
      <w:marRight w:val="0"/>
      <w:marTop w:val="0"/>
      <w:marBottom w:val="0"/>
      <w:divBdr>
        <w:top w:val="none" w:sz="0" w:space="0" w:color="auto"/>
        <w:left w:val="none" w:sz="0" w:space="0" w:color="auto"/>
        <w:bottom w:val="none" w:sz="0" w:space="0" w:color="auto"/>
        <w:right w:val="none" w:sz="0" w:space="0" w:color="auto"/>
      </w:divBdr>
      <w:divsChild>
        <w:div w:id="591159364">
          <w:marLeft w:val="1080"/>
          <w:marRight w:val="0"/>
          <w:marTop w:val="10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402606704">
      <w:bodyDiv w:val="1"/>
      <w:marLeft w:val="0"/>
      <w:marRight w:val="0"/>
      <w:marTop w:val="0"/>
      <w:marBottom w:val="0"/>
      <w:divBdr>
        <w:top w:val="none" w:sz="0" w:space="0" w:color="auto"/>
        <w:left w:val="none" w:sz="0" w:space="0" w:color="auto"/>
        <w:bottom w:val="none" w:sz="0" w:space="0" w:color="auto"/>
        <w:right w:val="none" w:sz="0" w:space="0" w:color="auto"/>
      </w:divBdr>
    </w:div>
    <w:div w:id="1629168853">
      <w:bodyDiv w:val="1"/>
      <w:marLeft w:val="0"/>
      <w:marRight w:val="0"/>
      <w:marTop w:val="0"/>
      <w:marBottom w:val="0"/>
      <w:divBdr>
        <w:top w:val="none" w:sz="0" w:space="0" w:color="auto"/>
        <w:left w:val="none" w:sz="0" w:space="0" w:color="auto"/>
        <w:bottom w:val="none" w:sz="0" w:space="0" w:color="auto"/>
        <w:right w:val="none" w:sz="0" w:space="0" w:color="auto"/>
      </w:divBdr>
    </w:div>
    <w:div w:id="170151288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03211791">
      <w:bodyDiv w:val="1"/>
      <w:marLeft w:val="0"/>
      <w:marRight w:val="0"/>
      <w:marTop w:val="0"/>
      <w:marBottom w:val="0"/>
      <w:divBdr>
        <w:top w:val="none" w:sz="0" w:space="0" w:color="auto"/>
        <w:left w:val="none" w:sz="0" w:space="0" w:color="auto"/>
        <w:bottom w:val="none" w:sz="0" w:space="0" w:color="auto"/>
        <w:right w:val="none" w:sz="0" w:space="0" w:color="auto"/>
      </w:divBdr>
      <w:divsChild>
        <w:div w:id="55065161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saustralia.gov.au" TargetMode="External"/><Relationship Id="rId13" Type="http://schemas.openxmlformats.org/officeDocument/2006/relationships/hyperlink" Target="https://www.servicesaustralia.gov.au/hpos"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ervicesaustralia.gov.au/hpos"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servicesaustralia.gov.au/hpo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saustralia.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rvicesaustralia.gov.au/hpos" TargetMode="External"/><Relationship Id="rId23" Type="http://schemas.openxmlformats.org/officeDocument/2006/relationships/fontTable" Target="fontTable.xml"/><Relationship Id="rId10" Type="http://schemas.openxmlformats.org/officeDocument/2006/relationships/hyperlink" Target="https://www.servicesaustralia.gov.au/hpo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ervicesaustralia.gov.au/hpos" TargetMode="External"/><Relationship Id="rId14" Type="http://schemas.openxmlformats.org/officeDocument/2006/relationships/hyperlink" Target="https://www.servicesaustralia.gov.au" TargetMode="External"/><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C302140B-F6C6-4233-B7CE-A76649844D1D}">
  <ds:schemaRefs>
    <ds:schemaRef ds:uri="http://schemas.openxmlformats.org/officeDocument/2006/bibliography"/>
  </ds:schemaRefs>
</ds:datastoreItem>
</file>

<file path=customXml/itemProps2.xml><?xml version="1.0" encoding="utf-8"?>
<ds:datastoreItem xmlns:ds="http://schemas.openxmlformats.org/officeDocument/2006/customXml" ds:itemID="{4108A7A4-C370-4AE8-8869-28B004A6EBCA}"/>
</file>

<file path=customXml/itemProps3.xml><?xml version="1.0" encoding="utf-8"?>
<ds:datastoreItem xmlns:ds="http://schemas.openxmlformats.org/officeDocument/2006/customXml" ds:itemID="{64DD8600-CAB2-4E90-B713-ED0FCBFB1708}"/>
</file>

<file path=customXml/itemProps4.xml><?xml version="1.0" encoding="utf-8"?>
<ds:datastoreItem xmlns:ds="http://schemas.openxmlformats.org/officeDocument/2006/customXml" ds:itemID="{65E0A0DD-CA29-496E-988A-98293BB82831}"/>
</file>

<file path=docProps/app.xml><?xml version="1.0" encoding="utf-8"?>
<Properties xmlns="http://schemas.openxmlformats.org/officeDocument/2006/extended-properties" xmlns:vt="http://schemas.openxmlformats.org/officeDocument/2006/docPropsVTypes">
  <Template>Normal.dotm</Template>
  <TotalTime>0</TotalTime>
  <Pages>44</Pages>
  <Words>18555</Words>
  <Characters>105770</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124077</CharactersWithSpaces>
  <SharedDoc>false</SharedDoc>
  <HLinks>
    <vt:vector size="54" baseType="variant">
      <vt:variant>
        <vt:i4>6225935</vt:i4>
      </vt:variant>
      <vt:variant>
        <vt:i4>282</vt:i4>
      </vt:variant>
      <vt:variant>
        <vt:i4>0</vt:i4>
      </vt:variant>
      <vt:variant>
        <vt:i4>5</vt:i4>
      </vt:variant>
      <vt:variant>
        <vt:lpwstr>https://www.servicesaustralia.gov.au/hpos</vt:lpwstr>
      </vt:variant>
      <vt:variant>
        <vt:lpwstr/>
      </vt:variant>
      <vt:variant>
        <vt:i4>6225935</vt:i4>
      </vt:variant>
      <vt:variant>
        <vt:i4>279</vt:i4>
      </vt:variant>
      <vt:variant>
        <vt:i4>0</vt:i4>
      </vt:variant>
      <vt:variant>
        <vt:i4>5</vt:i4>
      </vt:variant>
      <vt:variant>
        <vt:lpwstr>https://www.servicesaustralia.gov.au/hpos</vt:lpwstr>
      </vt:variant>
      <vt:variant>
        <vt:lpwstr/>
      </vt:variant>
      <vt:variant>
        <vt:i4>5767248</vt:i4>
      </vt:variant>
      <vt:variant>
        <vt:i4>276</vt:i4>
      </vt:variant>
      <vt:variant>
        <vt:i4>0</vt:i4>
      </vt:variant>
      <vt:variant>
        <vt:i4>5</vt:i4>
      </vt:variant>
      <vt:variant>
        <vt:lpwstr>https://www.servicesaustralia.gov.au/</vt:lpwstr>
      </vt:variant>
      <vt:variant>
        <vt:lpwstr/>
      </vt:variant>
      <vt:variant>
        <vt:i4>6225935</vt:i4>
      </vt:variant>
      <vt:variant>
        <vt:i4>261</vt:i4>
      </vt:variant>
      <vt:variant>
        <vt:i4>0</vt:i4>
      </vt:variant>
      <vt:variant>
        <vt:i4>5</vt:i4>
      </vt:variant>
      <vt:variant>
        <vt:lpwstr>https://www.servicesaustralia.gov.au/hpos</vt:lpwstr>
      </vt:variant>
      <vt:variant>
        <vt:lpwstr/>
      </vt:variant>
      <vt:variant>
        <vt:i4>6225935</vt:i4>
      </vt:variant>
      <vt:variant>
        <vt:i4>258</vt:i4>
      </vt:variant>
      <vt:variant>
        <vt:i4>0</vt:i4>
      </vt:variant>
      <vt:variant>
        <vt:i4>5</vt:i4>
      </vt:variant>
      <vt:variant>
        <vt:lpwstr>https://www.servicesaustralia.gov.au/hpos</vt:lpwstr>
      </vt:variant>
      <vt:variant>
        <vt:lpwstr/>
      </vt:variant>
      <vt:variant>
        <vt:i4>5767248</vt:i4>
      </vt:variant>
      <vt:variant>
        <vt:i4>255</vt:i4>
      </vt:variant>
      <vt:variant>
        <vt:i4>0</vt:i4>
      </vt:variant>
      <vt:variant>
        <vt:i4>5</vt:i4>
      </vt:variant>
      <vt:variant>
        <vt:lpwstr>https://www.servicesaustralia.gov.au/</vt:lpwstr>
      </vt:variant>
      <vt:variant>
        <vt:lpwstr/>
      </vt:variant>
      <vt:variant>
        <vt:i4>6225935</vt:i4>
      </vt:variant>
      <vt:variant>
        <vt:i4>240</vt:i4>
      </vt:variant>
      <vt:variant>
        <vt:i4>0</vt:i4>
      </vt:variant>
      <vt:variant>
        <vt:i4>5</vt:i4>
      </vt:variant>
      <vt:variant>
        <vt:lpwstr>https://www.servicesaustralia.gov.au/hpos</vt:lpwstr>
      </vt:variant>
      <vt:variant>
        <vt:lpwstr/>
      </vt:variant>
      <vt:variant>
        <vt:i4>6225935</vt:i4>
      </vt:variant>
      <vt:variant>
        <vt:i4>237</vt:i4>
      </vt:variant>
      <vt:variant>
        <vt:i4>0</vt:i4>
      </vt:variant>
      <vt:variant>
        <vt:i4>5</vt:i4>
      </vt:variant>
      <vt:variant>
        <vt:lpwstr>https://www.servicesaustralia.gov.au/hpos</vt:lpwstr>
      </vt:variant>
      <vt:variant>
        <vt:lpwstr/>
      </vt:variant>
      <vt:variant>
        <vt:i4>5767248</vt:i4>
      </vt:variant>
      <vt:variant>
        <vt:i4>234</vt:i4>
      </vt:variant>
      <vt:variant>
        <vt:i4>0</vt:i4>
      </vt:variant>
      <vt:variant>
        <vt:i4>5</vt:i4>
      </vt:variant>
      <vt:variant>
        <vt:lpwstr>https://www.servicesaustralia.gov.au/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2025-08-26T09:10:00Z</dcterms:created>
  <dcterms:modified xsi:type="dcterms:W3CDTF">2025-08-26T09:11:00Z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71717656,1dbff12c,4619563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280c5725,12cdc703,2e5c301e</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2025-08-26T09:10:56Z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238df875-69fd-439e-9612-8d5ddc9d4975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Order">
    <vt:r8>39444000</vt:r8>
  </property>
  <property fmtid="{D5CDD505-2E9C-101B-9397-08002B2CF9AE}" pid="17" name="xd_ProgID">
    <vt:lpwstr/>
  </property>
  <property fmtid="{D5CDD505-2E9C-101B-9397-08002B2CF9AE}" pid="18" name="MediaServiceImageTags">
    <vt:lpwstr/>
  </property>
  <property fmtid="{D5CDD505-2E9C-101B-9397-08002B2CF9AE}" pid="19" name="ContentTypeId">
    <vt:lpwstr>0x0101007FED174C5281F747A8037A05221D6DBD</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ies>
</file>