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F63C4" w14:textId="0DB7D290" w:rsidR="002C1266" w:rsidRPr="0098262F" w:rsidRDefault="007A34FF" w:rsidP="002C1266">
      <w:pPr>
        <w:pStyle w:val="1-MainHeading"/>
      </w:pPr>
      <w:bookmarkStart w:id="0" w:name="_Toc193290732"/>
      <w:r>
        <w:t>6</w:t>
      </w:r>
      <w:r w:rsidR="002C1266" w:rsidRPr="0098262F">
        <w:t>.</w:t>
      </w:r>
      <w:r>
        <w:t>03</w:t>
      </w:r>
      <w:r w:rsidR="002C1266" w:rsidRPr="0098262F">
        <w:tab/>
      </w:r>
      <w:r w:rsidR="002C1266">
        <w:t>OMALIZUMAB</w:t>
      </w:r>
      <w:r w:rsidR="002C1266" w:rsidRPr="0098262F">
        <w:t>,</w:t>
      </w:r>
      <w:r w:rsidR="002C1266" w:rsidRPr="0098262F">
        <w:br/>
      </w:r>
      <w:r w:rsidR="002C1266">
        <w:t>Injection 75 mg in 0.5 mL single dose prefilled syringe,</w:t>
      </w:r>
      <w:r w:rsidR="002C1266">
        <w:br/>
        <w:t>Injection 150 mg in 1 mL single dose prefilled syringe,</w:t>
      </w:r>
      <w:r w:rsidR="002C1266">
        <w:br/>
        <w:t>Injection 300 mg in 2 mL single dose prefilled syringe,</w:t>
      </w:r>
      <w:r w:rsidR="002C1266">
        <w:br/>
        <w:t>Injection 75 mg in 0.5 mL single dose prefilled pen,</w:t>
      </w:r>
      <w:r w:rsidR="002C1266">
        <w:br/>
        <w:t>Injection 150 mg in 1 mL single dose prefilled pen,</w:t>
      </w:r>
      <w:r w:rsidR="002C1266">
        <w:br/>
        <w:t>Injection 300 mg in 2 mL single dose prefilled pen</w:t>
      </w:r>
      <w:r w:rsidR="002C1266" w:rsidRPr="0098262F">
        <w:t>,</w:t>
      </w:r>
      <w:r w:rsidR="002C1266" w:rsidRPr="0098262F">
        <w:br/>
      </w:r>
      <w:r w:rsidR="002C1266">
        <w:t>Xolair</w:t>
      </w:r>
      <w:r w:rsidR="002C1266" w:rsidRPr="0098262F">
        <w:rPr>
          <w:vertAlign w:val="superscript"/>
        </w:rPr>
        <w:t>®</w:t>
      </w:r>
      <w:r w:rsidR="002C1266" w:rsidRPr="0098262F">
        <w:t>,</w:t>
      </w:r>
      <w:r w:rsidR="002C1266" w:rsidRPr="0098262F">
        <w:br/>
      </w:r>
      <w:r w:rsidR="002C1266">
        <w:t>Novartis Pharmaceuticals Australia Pty Limited</w:t>
      </w:r>
      <w:r w:rsidR="002C1266" w:rsidRPr="0098262F">
        <w:t>.</w:t>
      </w:r>
      <w:bookmarkEnd w:id="0"/>
    </w:p>
    <w:p w14:paraId="2C5556FE" w14:textId="2F8CFD6B" w:rsidR="002C1266" w:rsidRPr="0098262F" w:rsidRDefault="002C1266" w:rsidP="002C1266">
      <w:pPr>
        <w:pStyle w:val="2-SectionHeading"/>
      </w:pPr>
      <w:bookmarkStart w:id="1" w:name="_Toc193290734"/>
      <w:bookmarkStart w:id="2" w:name="_Ref195541433"/>
      <w:r w:rsidRPr="0098262F">
        <w:t>Purpose of submission</w:t>
      </w:r>
      <w:bookmarkEnd w:id="1"/>
      <w:bookmarkEnd w:id="2"/>
    </w:p>
    <w:p w14:paraId="60F70C3D" w14:textId="1BD3F3FE" w:rsidR="002C1266" w:rsidRPr="0098262F" w:rsidRDefault="002C1266" w:rsidP="002C1266">
      <w:pPr>
        <w:pStyle w:val="3-BodyText"/>
      </w:pPr>
      <w:r w:rsidRPr="2BCE08C6">
        <w:t>The Category 2 submission requested a Section 100 (Highly Specialised Drugs Program) Authority Required (Written) listing for omalizumab for the initial treatment and an Authority Required (Telephone/Online) listing for the continuing treatment of patients with chronic rhinosinusitis with nasal polyps (</w:t>
      </w:r>
      <w:proofErr w:type="spellStart"/>
      <w:r w:rsidRPr="2BCE08C6">
        <w:t>CRSwNP</w:t>
      </w:r>
      <w:proofErr w:type="spellEnd"/>
      <w:r w:rsidRPr="2BCE08C6">
        <w:t>).</w:t>
      </w:r>
    </w:p>
    <w:p w14:paraId="009D6252" w14:textId="5BFD81F4" w:rsidR="002C1266" w:rsidRPr="0098262F" w:rsidRDefault="002C1266" w:rsidP="002C1266">
      <w:pPr>
        <w:pStyle w:val="3-BodyText"/>
      </w:pPr>
      <w:r w:rsidRPr="2BCE08C6">
        <w:t>Listing was requested on the basis of a cost-minimisation approach</w:t>
      </w:r>
      <w:r w:rsidR="003B6962">
        <w:t xml:space="preserve"> (CMA)</w:t>
      </w:r>
      <w:r w:rsidRPr="2BCE08C6">
        <w:t xml:space="preserve"> versus mepolizumab.</w:t>
      </w:r>
    </w:p>
    <w:p w14:paraId="30D19551" w14:textId="7EA36BAE" w:rsidR="002C1266" w:rsidRPr="0098262F" w:rsidRDefault="002C1266" w:rsidP="2BCE08C6">
      <w:pPr>
        <w:pStyle w:val="TableFigureHeading"/>
        <w:rPr>
          <w:rStyle w:val="CommentReference"/>
          <w:b/>
        </w:rPr>
      </w:pPr>
      <w:bookmarkStart w:id="3" w:name="_Ref190679071"/>
      <w:r w:rsidRPr="2BCE08C6">
        <w:t xml:space="preserve">Table </w:t>
      </w:r>
      <w:r w:rsidR="006C08C0">
        <w:fldChar w:fldCharType="begin"/>
      </w:r>
      <w:r w:rsidR="006C08C0">
        <w:instrText xml:space="preserve"> SEQ Table \* ARABIC </w:instrText>
      </w:r>
      <w:r w:rsidR="006C08C0">
        <w:fldChar w:fldCharType="separate"/>
      </w:r>
      <w:r w:rsidR="00CE52BF">
        <w:rPr>
          <w:noProof/>
        </w:rPr>
        <w:t>1</w:t>
      </w:r>
      <w:r w:rsidR="006C08C0">
        <w:rPr>
          <w:noProof/>
        </w:rPr>
        <w:fldChar w:fldCharType="end"/>
      </w:r>
      <w:bookmarkEnd w:id="3"/>
      <w:r w:rsidRPr="2BCE08C6">
        <w:t>:</w:t>
      </w:r>
      <w:r w:rsidRPr="2BCE08C6">
        <w:rPr>
          <w:rStyle w:val="CommentReference"/>
          <w:b/>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2C1266" w:rsidRPr="0098262F" w14:paraId="117766EC" w14:textId="77777777" w:rsidTr="2BCE08C6">
        <w:trPr>
          <w:cantSplit/>
          <w:tblHeader/>
        </w:trPr>
        <w:tc>
          <w:tcPr>
            <w:tcW w:w="924" w:type="pct"/>
            <w:shd w:val="clear" w:color="auto" w:fill="auto"/>
          </w:tcPr>
          <w:p w14:paraId="735A20BC" w14:textId="77777777" w:rsidR="002C1266" w:rsidRPr="0098262F" w:rsidRDefault="002C1266">
            <w:pPr>
              <w:pStyle w:val="In-tableHeading"/>
              <w:rPr>
                <w:szCs w:val="20"/>
                <w:lang w:val="en-AU"/>
              </w:rPr>
            </w:pPr>
            <w:r w:rsidRPr="0098262F">
              <w:rPr>
                <w:lang w:val="en-AU"/>
              </w:rPr>
              <w:t>Component</w:t>
            </w:r>
          </w:p>
        </w:tc>
        <w:tc>
          <w:tcPr>
            <w:tcW w:w="4076" w:type="pct"/>
            <w:shd w:val="clear" w:color="auto" w:fill="auto"/>
          </w:tcPr>
          <w:p w14:paraId="63A6CF9B" w14:textId="77777777" w:rsidR="002C1266" w:rsidRPr="0098262F" w:rsidRDefault="002C1266">
            <w:pPr>
              <w:pStyle w:val="In-tableHeading"/>
              <w:rPr>
                <w:lang w:val="en-AU"/>
              </w:rPr>
            </w:pPr>
            <w:r w:rsidRPr="0098262F">
              <w:rPr>
                <w:lang w:val="en-AU"/>
              </w:rPr>
              <w:t>Description</w:t>
            </w:r>
          </w:p>
        </w:tc>
      </w:tr>
      <w:tr w:rsidR="002C1266" w:rsidRPr="0098262F" w14:paraId="3FCE2551" w14:textId="77777777" w:rsidTr="2BCE08C6">
        <w:trPr>
          <w:cantSplit/>
        </w:trPr>
        <w:tc>
          <w:tcPr>
            <w:tcW w:w="924" w:type="pct"/>
            <w:shd w:val="clear" w:color="auto" w:fill="auto"/>
          </w:tcPr>
          <w:p w14:paraId="2CB417A5" w14:textId="77777777" w:rsidR="002C1266" w:rsidRPr="0098262F" w:rsidRDefault="002C1266" w:rsidP="00D131BA">
            <w:pPr>
              <w:pStyle w:val="TableText0"/>
            </w:pPr>
            <w:r w:rsidRPr="0098262F">
              <w:t>Population</w:t>
            </w:r>
          </w:p>
        </w:tc>
        <w:tc>
          <w:tcPr>
            <w:tcW w:w="4076" w:type="pct"/>
            <w:shd w:val="clear" w:color="auto" w:fill="auto"/>
          </w:tcPr>
          <w:p w14:paraId="13FBD95B" w14:textId="77777777" w:rsidR="002C1266" w:rsidRPr="0098262F" w:rsidRDefault="002C1266" w:rsidP="2BCE08C6">
            <w:pPr>
              <w:pStyle w:val="TableText0"/>
            </w:pPr>
            <w:r w:rsidRPr="2BCE08C6">
              <w:t xml:space="preserve">Adult patients (≥18 years of age) for the treatment of severe </w:t>
            </w:r>
            <w:proofErr w:type="spellStart"/>
            <w:r w:rsidRPr="2BCE08C6">
              <w:t>CRSwNP</w:t>
            </w:r>
            <w:proofErr w:type="spellEnd"/>
            <w:r w:rsidRPr="2BCE08C6">
              <w:t xml:space="preserve"> with inadequate response to INCS and </w:t>
            </w:r>
            <w:proofErr w:type="spellStart"/>
            <w:r w:rsidRPr="2BCE08C6">
              <w:t>IgE</w:t>
            </w:r>
            <w:proofErr w:type="spellEnd"/>
            <w:r w:rsidRPr="2BCE08C6">
              <w:t xml:space="preserve"> ≥30 IU/</w:t>
            </w:r>
            <w:proofErr w:type="spellStart"/>
            <w:r w:rsidRPr="2BCE08C6">
              <w:t>mL.</w:t>
            </w:r>
            <w:proofErr w:type="spellEnd"/>
          </w:p>
        </w:tc>
      </w:tr>
      <w:tr w:rsidR="002C1266" w:rsidRPr="0098262F" w14:paraId="63641C72" w14:textId="77777777" w:rsidTr="2BCE08C6">
        <w:trPr>
          <w:cantSplit/>
        </w:trPr>
        <w:tc>
          <w:tcPr>
            <w:tcW w:w="924" w:type="pct"/>
            <w:shd w:val="clear" w:color="auto" w:fill="auto"/>
          </w:tcPr>
          <w:p w14:paraId="627A632C" w14:textId="77777777" w:rsidR="002C1266" w:rsidRPr="0098262F" w:rsidRDefault="002C1266" w:rsidP="00D131BA">
            <w:pPr>
              <w:pStyle w:val="TableText0"/>
            </w:pPr>
            <w:r w:rsidRPr="0098262F">
              <w:t>Intervention</w:t>
            </w:r>
          </w:p>
        </w:tc>
        <w:tc>
          <w:tcPr>
            <w:tcW w:w="4076" w:type="pct"/>
            <w:shd w:val="clear" w:color="auto" w:fill="auto"/>
          </w:tcPr>
          <w:p w14:paraId="0C3B8B85" w14:textId="75A69B28" w:rsidR="002C1266" w:rsidRPr="0098262F" w:rsidRDefault="002C1266" w:rsidP="00D131BA">
            <w:pPr>
              <w:pStyle w:val="TableText0"/>
            </w:pPr>
            <w:r w:rsidRPr="2BCE08C6">
              <w:t>Omalizumab SC injection</w:t>
            </w:r>
            <w:r w:rsidR="004A1114">
              <w:t xml:space="preserve">, every </w:t>
            </w:r>
            <w:r w:rsidR="00080979">
              <w:t>2 to 4 weeks</w:t>
            </w:r>
            <w:r w:rsidRPr="2BCE08C6">
              <w:t xml:space="preserve"> - appropriate dose and dosing frequency is determined by baseline IgE (IU/mL), and body weight (kg)</w:t>
            </w:r>
            <w:r w:rsidR="00080979">
              <w:t xml:space="preserve"> (see </w:t>
            </w:r>
            <w:r w:rsidR="00336EFC">
              <w:t>Table 1 of the TGA Product Information</w:t>
            </w:r>
            <w:r w:rsidR="00336EFC">
              <w:rPr>
                <w:rStyle w:val="FootnoteReference"/>
              </w:rPr>
              <w:footnoteReference w:id="2"/>
            </w:r>
            <w:r w:rsidR="00611CDF">
              <w:t>)</w:t>
            </w:r>
            <w:r w:rsidRPr="2BCE08C6">
              <w:t>.</w:t>
            </w:r>
          </w:p>
        </w:tc>
      </w:tr>
      <w:tr w:rsidR="002C1266" w:rsidRPr="0098262F" w14:paraId="4CC74BCE" w14:textId="77777777" w:rsidTr="2BCE08C6">
        <w:trPr>
          <w:cantSplit/>
        </w:trPr>
        <w:tc>
          <w:tcPr>
            <w:tcW w:w="924" w:type="pct"/>
            <w:shd w:val="clear" w:color="auto" w:fill="auto"/>
          </w:tcPr>
          <w:p w14:paraId="12A424EC" w14:textId="77777777" w:rsidR="002C1266" w:rsidRPr="0098262F" w:rsidRDefault="002C1266" w:rsidP="00D131BA">
            <w:pPr>
              <w:pStyle w:val="TableText0"/>
            </w:pPr>
            <w:r w:rsidRPr="0098262F">
              <w:t>Comparator</w:t>
            </w:r>
          </w:p>
        </w:tc>
        <w:tc>
          <w:tcPr>
            <w:tcW w:w="4076" w:type="pct"/>
            <w:shd w:val="clear" w:color="auto" w:fill="auto"/>
          </w:tcPr>
          <w:p w14:paraId="3E292D9A" w14:textId="77777777" w:rsidR="002C1266" w:rsidRPr="008A661D" w:rsidRDefault="002C1266" w:rsidP="00D131BA">
            <w:pPr>
              <w:pStyle w:val="TableText0"/>
              <w:rPr>
                <w:highlight w:val="yellow"/>
              </w:rPr>
            </w:pPr>
            <w:r w:rsidRPr="00B234E9">
              <w:t>Mepolizumab 100 mg SC injection by self-administration every 28 days</w:t>
            </w:r>
          </w:p>
        </w:tc>
      </w:tr>
      <w:tr w:rsidR="002C1266" w:rsidRPr="0098262F" w14:paraId="2602A31D" w14:textId="77777777" w:rsidTr="2BCE08C6">
        <w:trPr>
          <w:cantSplit/>
        </w:trPr>
        <w:tc>
          <w:tcPr>
            <w:tcW w:w="924" w:type="pct"/>
            <w:shd w:val="clear" w:color="auto" w:fill="auto"/>
          </w:tcPr>
          <w:p w14:paraId="14B3F608" w14:textId="77777777" w:rsidR="002C1266" w:rsidRPr="0098262F" w:rsidRDefault="002C1266" w:rsidP="00D131BA">
            <w:pPr>
              <w:pStyle w:val="TableText0"/>
            </w:pPr>
            <w:r w:rsidRPr="0098262F">
              <w:t>Outcomes</w:t>
            </w:r>
          </w:p>
        </w:tc>
        <w:tc>
          <w:tcPr>
            <w:tcW w:w="4076" w:type="pct"/>
            <w:shd w:val="clear" w:color="auto" w:fill="auto"/>
          </w:tcPr>
          <w:p w14:paraId="56F23C5D" w14:textId="205D99B8" w:rsidR="002C1266" w:rsidRPr="0098262F" w:rsidRDefault="00EC0928" w:rsidP="00D131BA">
            <w:pPr>
              <w:pStyle w:val="TableText0"/>
              <w:rPr>
                <w:rFonts w:eastAsia="Times New Roman" w:cs="Arial"/>
                <w:snapToGrid w:val="0"/>
                <w:color w:val="0066FF"/>
              </w:rPr>
            </w:pPr>
            <w:r>
              <w:t>Change from baseline in NPS, NCS, and SNOT-22</w:t>
            </w:r>
            <w:r w:rsidRPr="00F243B3" w:rsidDel="00EC0928">
              <w:t xml:space="preserve"> </w:t>
            </w:r>
          </w:p>
        </w:tc>
      </w:tr>
      <w:tr w:rsidR="002C1266" w:rsidRPr="0098262F" w14:paraId="3DA78C39" w14:textId="77777777" w:rsidTr="2BCE08C6">
        <w:trPr>
          <w:cantSplit/>
        </w:trPr>
        <w:tc>
          <w:tcPr>
            <w:tcW w:w="924" w:type="pct"/>
            <w:shd w:val="clear" w:color="auto" w:fill="auto"/>
          </w:tcPr>
          <w:p w14:paraId="4E385585" w14:textId="77777777" w:rsidR="002C1266" w:rsidRPr="0098262F" w:rsidRDefault="002C1266" w:rsidP="00D131BA">
            <w:pPr>
              <w:pStyle w:val="TableText0"/>
            </w:pPr>
            <w:r w:rsidRPr="0098262F">
              <w:t>Clinical claim</w:t>
            </w:r>
          </w:p>
        </w:tc>
        <w:tc>
          <w:tcPr>
            <w:tcW w:w="4076" w:type="pct"/>
            <w:shd w:val="clear" w:color="auto" w:fill="auto"/>
          </w:tcPr>
          <w:p w14:paraId="62359BD1" w14:textId="77777777" w:rsidR="002C1266" w:rsidRPr="0098262F" w:rsidRDefault="002C1266" w:rsidP="2BCE08C6">
            <w:pPr>
              <w:pStyle w:val="TableText0"/>
              <w:rPr>
                <w:rFonts w:eastAsia="Times New Roman" w:cs="Arial"/>
                <w:snapToGrid w:val="0"/>
                <w:color w:val="0066FF"/>
              </w:rPr>
            </w:pPr>
            <w:r w:rsidRPr="2BCE08C6">
              <w:t xml:space="preserve">In adult patients with severe </w:t>
            </w:r>
            <w:proofErr w:type="spellStart"/>
            <w:r w:rsidRPr="2BCE08C6">
              <w:t>CRSwNP</w:t>
            </w:r>
            <w:proofErr w:type="spellEnd"/>
            <w:r w:rsidRPr="2BCE08C6">
              <w:t xml:space="preserve"> with inadequate response to INCS, omalizumab is non-inferior to mepolizumab in terms of comparative effectiveness and safety. </w:t>
            </w:r>
          </w:p>
        </w:tc>
      </w:tr>
    </w:tbl>
    <w:p w14:paraId="5FBB44BE" w14:textId="77777777" w:rsidR="002C1266" w:rsidRPr="00931EAB" w:rsidRDefault="002C1266" w:rsidP="00D131BA">
      <w:pPr>
        <w:pStyle w:val="TableText0"/>
      </w:pPr>
      <w:r w:rsidRPr="00931EAB">
        <w:t>Source: Table 1.1, p13 of the submission.</w:t>
      </w:r>
    </w:p>
    <w:p w14:paraId="2E49054A" w14:textId="77777777" w:rsidR="002C1266" w:rsidRPr="00931EAB" w:rsidRDefault="002C1266" w:rsidP="00D131BA">
      <w:pPr>
        <w:pStyle w:val="TableText0"/>
      </w:pPr>
      <w:proofErr w:type="spellStart"/>
      <w:r w:rsidRPr="2BCE08C6">
        <w:t>CRSwNP</w:t>
      </w:r>
      <w:proofErr w:type="spellEnd"/>
      <w:r w:rsidRPr="2BCE08C6">
        <w:t>, chronic rhinosinusitis with nasal polyps; IgE, immunoglobulin E; INCS, intranasal corticosteroids; SC, subcutaneous; NPS, Nasal Polyp Score; NCS, Nasal Congestion Score; SNOT-22, Sinonasal Outcome Test Score.</w:t>
      </w:r>
    </w:p>
    <w:p w14:paraId="425CC0AC" w14:textId="77777777" w:rsidR="002C1266" w:rsidRPr="0098262F" w:rsidRDefault="002C1266" w:rsidP="002C1266">
      <w:pPr>
        <w:pStyle w:val="2-SectionHeading"/>
      </w:pPr>
      <w:bookmarkStart w:id="4" w:name="_Toc193290735"/>
      <w:r w:rsidRPr="0098262F">
        <w:lastRenderedPageBreak/>
        <w:t>Background</w:t>
      </w:r>
      <w:bookmarkEnd w:id="4"/>
    </w:p>
    <w:p w14:paraId="7B5869B0" w14:textId="77777777" w:rsidR="002C1266" w:rsidRPr="0098262F" w:rsidRDefault="002C1266" w:rsidP="002C1266">
      <w:pPr>
        <w:pStyle w:val="4-SubsectionHeading"/>
      </w:pPr>
      <w:bookmarkStart w:id="5" w:name="_Toc22897638"/>
      <w:bookmarkStart w:id="6" w:name="_Toc193290736"/>
      <w:r w:rsidRPr="0098262F">
        <w:t>Registration status</w:t>
      </w:r>
      <w:bookmarkEnd w:id="5"/>
      <w:bookmarkEnd w:id="6"/>
    </w:p>
    <w:p w14:paraId="09DB71A9" w14:textId="611EACCF" w:rsidR="002C1266" w:rsidRPr="006D7B98" w:rsidRDefault="002C1266" w:rsidP="2BCE08C6">
      <w:pPr>
        <w:pStyle w:val="3-BodyText"/>
        <w:rPr>
          <w:color w:val="0066FF"/>
        </w:rPr>
      </w:pPr>
      <w:r w:rsidRPr="2BCE08C6">
        <w:t xml:space="preserve">Omalizumab was TGA registered on 12 March 2021 for the </w:t>
      </w:r>
      <w:r w:rsidR="00915168">
        <w:t>following indication</w:t>
      </w:r>
      <w:r w:rsidRPr="2BCE08C6">
        <w:t>:</w:t>
      </w:r>
    </w:p>
    <w:p w14:paraId="42A42973" w14:textId="1C19D06B" w:rsidR="002C1266" w:rsidRPr="00EB39BA" w:rsidRDefault="002C1266" w:rsidP="00CB0DB5">
      <w:pPr>
        <w:pStyle w:val="3-BodyText"/>
        <w:numPr>
          <w:ilvl w:val="0"/>
          <w:numId w:val="0"/>
        </w:numPr>
        <w:ind w:left="709"/>
      </w:pPr>
      <w:r w:rsidRPr="2BCE08C6" w:rsidDel="0019100C">
        <w:t>“</w:t>
      </w:r>
      <w:r w:rsidR="00B0607D">
        <w:t>[O</w:t>
      </w:r>
      <w:r w:rsidR="00915168">
        <w:t xml:space="preserve">malizumab] </w:t>
      </w:r>
      <w:r w:rsidR="0094129D" w:rsidRPr="0094129D">
        <w:t xml:space="preserve">is indicated as add-on treatment in adult patients (18 years of age and above) for the treatment of severe </w:t>
      </w:r>
      <w:proofErr w:type="spellStart"/>
      <w:r w:rsidR="0094129D" w:rsidRPr="0094129D">
        <w:t>CRSwNP</w:t>
      </w:r>
      <w:proofErr w:type="spellEnd"/>
      <w:r w:rsidR="0094129D" w:rsidRPr="0094129D">
        <w:t xml:space="preserve"> with inadequate response to intranasal corticosteroids. Recommended dosing is determined by serum </w:t>
      </w:r>
      <w:r w:rsidR="000821FF" w:rsidRPr="0094129D">
        <w:t>immunoglobulin</w:t>
      </w:r>
      <w:r w:rsidR="000821FF">
        <w:t> </w:t>
      </w:r>
      <w:r w:rsidR="0094129D" w:rsidRPr="0094129D">
        <w:t>E levels and body weight corresponding to the recommended dose range in the Product Information</w:t>
      </w:r>
      <w:r w:rsidRPr="2BCE08C6" w:rsidDel="0019100C">
        <w:t>”</w:t>
      </w:r>
      <w:r w:rsidRPr="2BCE08C6">
        <w:t>.</w:t>
      </w:r>
    </w:p>
    <w:p w14:paraId="2ED6FE70" w14:textId="77777777" w:rsidR="002C1266" w:rsidRPr="009814C5" w:rsidRDefault="002C1266" w:rsidP="002C1266">
      <w:pPr>
        <w:pStyle w:val="3-BodyText"/>
      </w:pPr>
      <w:r w:rsidRPr="2BCE08C6">
        <w:t xml:space="preserve">Omalizumab currently has TGA approval for </w:t>
      </w:r>
      <w:proofErr w:type="spellStart"/>
      <w:r w:rsidRPr="2BCE08C6">
        <w:t>CRSwNP</w:t>
      </w:r>
      <w:proofErr w:type="spellEnd"/>
      <w:r w:rsidRPr="2BCE08C6">
        <w:t>, chronic spontaneous urticaria, and allergic asthma.</w:t>
      </w:r>
    </w:p>
    <w:p w14:paraId="08EBEA7A" w14:textId="5E30D279" w:rsidR="002C1266" w:rsidRPr="0098262F" w:rsidRDefault="002C1266" w:rsidP="002C1266">
      <w:pPr>
        <w:pStyle w:val="4-SubsectionHeading"/>
      </w:pPr>
      <w:bookmarkStart w:id="7" w:name="_Toc22897639"/>
      <w:bookmarkStart w:id="8" w:name="_Toc193290737"/>
      <w:r w:rsidRPr="2BCE08C6">
        <w:t>Previous PBAC consideration</w:t>
      </w:r>
      <w:bookmarkEnd w:id="7"/>
      <w:bookmarkEnd w:id="8"/>
    </w:p>
    <w:p w14:paraId="5D8F115A" w14:textId="58A7DB1A" w:rsidR="002C1266" w:rsidRPr="0098262F" w:rsidRDefault="002C1266" w:rsidP="002C1266">
      <w:pPr>
        <w:pStyle w:val="3-BodyText"/>
      </w:pPr>
      <w:r w:rsidRPr="2BCE08C6">
        <w:t xml:space="preserve">The nominated comparator, mepolizumab, was recommended for listing for the treatment of </w:t>
      </w:r>
      <w:proofErr w:type="spellStart"/>
      <w:r w:rsidRPr="2BCE08C6">
        <w:t>CRSwNP</w:t>
      </w:r>
      <w:proofErr w:type="spellEnd"/>
      <w:r w:rsidRPr="2BCE08C6">
        <w:t xml:space="preserve"> in adult patients in the November 2022 PBAC meeting. The PBAC’s recommendation for listing was based on, among other matters, its assessment, that the cost-effectiveness of mepolizumab would be acceptable at the price proposed, and with a risk sharing arrangement (RSA) to address the uncertainty associated with including patients unsuitable for surgery in the proposed PBS population (para 7.2, mepolizumab, </w:t>
      </w:r>
      <w:r w:rsidR="000821FF">
        <w:t>Public Summary Document [</w:t>
      </w:r>
      <w:r w:rsidRPr="2BCE08C6">
        <w:t>PSD</w:t>
      </w:r>
      <w:r w:rsidR="000821FF">
        <w:t>]</w:t>
      </w:r>
      <w:r w:rsidRPr="2BCE08C6">
        <w:t xml:space="preserve">, </w:t>
      </w:r>
      <w:r w:rsidR="000821FF" w:rsidRPr="2BCE08C6">
        <w:t>November</w:t>
      </w:r>
      <w:r w:rsidR="000821FF">
        <w:t> </w:t>
      </w:r>
      <w:r w:rsidRPr="2BCE08C6">
        <w:t xml:space="preserve">2022 PBAC meeting). The PBAC considered financial caps set at the level of the revised financial estimates and a </w:t>
      </w:r>
      <w:r w:rsidR="007F3646" w:rsidRPr="000D5C36">
        <w:rPr>
          <w:color w:val="000000"/>
          <w:w w:val="60"/>
          <w:shd w:val="solid" w:color="000000" w:fill="000000"/>
          <w:fitText w:val="470" w:id="-663525632"/>
          <w14:textFill>
            <w14:solidFill>
              <w14:srgbClr w14:val="000000">
                <w14:alpha w14:val="100000"/>
              </w14:srgbClr>
            </w14:solidFill>
          </w14:textFill>
        </w:rPr>
        <w:t>|||  ||</w:t>
      </w:r>
      <w:r w:rsidR="007F3646" w:rsidRPr="000D5C36">
        <w:rPr>
          <w:color w:val="000000"/>
          <w:spacing w:val="6"/>
          <w:w w:val="60"/>
          <w:shd w:val="solid" w:color="000000" w:fill="000000"/>
          <w:fitText w:val="470" w:id="-663525632"/>
          <w14:textFill>
            <w14:solidFill>
              <w14:srgbClr w14:val="000000">
                <w14:alpha w14:val="100000"/>
              </w14:srgbClr>
            </w14:solidFill>
          </w14:textFill>
        </w:rPr>
        <w:t>|</w:t>
      </w:r>
      <w:r w:rsidRPr="2BCE08C6">
        <w:t>% rebate for any use above the caps would be appropriate (para 7.10, mepolizumab, PSD, November 2022 PBAC meeting).</w:t>
      </w:r>
    </w:p>
    <w:p w14:paraId="54998B07" w14:textId="77777777" w:rsidR="002C1266" w:rsidRDefault="002C1266" w:rsidP="002C1266">
      <w:pPr>
        <w:pStyle w:val="2-SectionHeading"/>
      </w:pPr>
      <w:bookmarkStart w:id="9" w:name="_Toc107902078"/>
      <w:bookmarkStart w:id="10" w:name="_Toc193290738"/>
      <w:bookmarkEnd w:id="9"/>
      <w:r w:rsidRPr="0098262F">
        <w:t>Requested listing</w:t>
      </w:r>
      <w:bookmarkEnd w:id="10"/>
    </w:p>
    <w:p w14:paraId="45395565" w14:textId="4D350686" w:rsidR="002A187F" w:rsidRPr="00603593" w:rsidRDefault="00477562" w:rsidP="00603593">
      <w:pPr>
        <w:pStyle w:val="3-BodyText"/>
      </w:pPr>
      <w:r w:rsidRPr="00603593">
        <w:t>Suggestions and additions proposed by the Secretariat are added in italics and suggested deletions are crossed out with strikethrough.</w:t>
      </w:r>
      <w:r w:rsidR="002A187F" w:rsidRPr="00603593">
        <w:t xml:space="preserve"> </w:t>
      </w:r>
    </w:p>
    <w:p w14:paraId="438DCBD9" w14:textId="7B13968E" w:rsidR="002A187F" w:rsidRPr="00196EF7" w:rsidRDefault="002A187F" w:rsidP="000704B3">
      <w:pPr>
        <w:pStyle w:val="5-SubsectionSubheading"/>
      </w:pPr>
      <w:r w:rsidRPr="00196EF7">
        <w:t xml:space="preserve">Initial treatment phase: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784"/>
        <w:gridCol w:w="2668"/>
        <w:gridCol w:w="811"/>
        <w:gridCol w:w="812"/>
        <w:gridCol w:w="811"/>
        <w:gridCol w:w="812"/>
        <w:gridCol w:w="1831"/>
      </w:tblGrid>
      <w:tr w:rsidR="002A187F" w:rsidRPr="001428E9" w14:paraId="3F02CA2F" w14:textId="542AC329">
        <w:trPr>
          <w:cantSplit/>
          <w:trHeight w:val="20"/>
        </w:trPr>
        <w:tc>
          <w:tcPr>
            <w:tcW w:w="3939" w:type="dxa"/>
            <w:gridSpan w:val="3"/>
            <w:vAlign w:val="center"/>
          </w:tcPr>
          <w:p w14:paraId="31D21A9A" w14:textId="0EDD4CFE" w:rsidR="002A187F" w:rsidRPr="001428E9" w:rsidRDefault="002A187F">
            <w:pPr>
              <w:keepLines/>
              <w:rPr>
                <w:rFonts w:ascii="Arial Narrow" w:hAnsi="Arial Narrow"/>
                <w:b/>
                <w:bCs/>
                <w:sz w:val="20"/>
                <w:szCs w:val="20"/>
              </w:rPr>
            </w:pPr>
            <w:r w:rsidRPr="001428E9">
              <w:rPr>
                <w:rFonts w:ascii="Arial Narrow" w:hAnsi="Arial Narrow"/>
                <w:b/>
                <w:bCs/>
                <w:sz w:val="20"/>
                <w:szCs w:val="20"/>
              </w:rPr>
              <w:t>MEDICINAL PRODUCT</w:t>
            </w:r>
          </w:p>
          <w:p w14:paraId="64534675" w14:textId="484924D3" w:rsidR="002A187F" w:rsidRPr="001428E9" w:rsidRDefault="002A187F">
            <w:pPr>
              <w:keepLines/>
              <w:rPr>
                <w:rFonts w:ascii="Arial Narrow" w:hAnsi="Arial Narrow"/>
                <w:b/>
                <w:sz w:val="20"/>
                <w:szCs w:val="20"/>
              </w:rPr>
            </w:pPr>
            <w:r w:rsidRPr="001428E9">
              <w:rPr>
                <w:rFonts w:ascii="Arial Narrow" w:hAnsi="Arial Narrow"/>
                <w:b/>
                <w:bCs/>
                <w:sz w:val="20"/>
                <w:szCs w:val="20"/>
              </w:rPr>
              <w:t>medicinal product pack</w:t>
            </w:r>
          </w:p>
        </w:tc>
        <w:tc>
          <w:tcPr>
            <w:tcW w:w="811" w:type="dxa"/>
            <w:vAlign w:val="center"/>
          </w:tcPr>
          <w:p w14:paraId="69C2DF67" w14:textId="5B243912" w:rsidR="002A187F" w:rsidRPr="001428E9" w:rsidRDefault="002A187F">
            <w:pPr>
              <w:keepLines/>
              <w:jc w:val="center"/>
              <w:rPr>
                <w:rFonts w:ascii="Arial Narrow" w:hAnsi="Arial Narrow"/>
                <w:b/>
                <w:sz w:val="20"/>
                <w:szCs w:val="20"/>
              </w:rPr>
            </w:pPr>
            <w:r w:rsidRPr="001428E9">
              <w:rPr>
                <w:rFonts w:ascii="Arial Narrow" w:hAnsi="Arial Narrow"/>
                <w:b/>
                <w:sz w:val="20"/>
                <w:szCs w:val="20"/>
              </w:rPr>
              <w:t>PBS item code</w:t>
            </w:r>
          </w:p>
        </w:tc>
        <w:tc>
          <w:tcPr>
            <w:tcW w:w="812" w:type="dxa"/>
            <w:vAlign w:val="center"/>
          </w:tcPr>
          <w:p w14:paraId="740157A5" w14:textId="12B8BBCB" w:rsidR="002A187F" w:rsidRPr="001428E9" w:rsidRDefault="002A187F">
            <w:pPr>
              <w:keepLines/>
              <w:jc w:val="center"/>
              <w:rPr>
                <w:rFonts w:ascii="Arial Narrow" w:hAnsi="Arial Narrow"/>
                <w:b/>
                <w:sz w:val="20"/>
                <w:szCs w:val="20"/>
              </w:rPr>
            </w:pPr>
            <w:r w:rsidRPr="001428E9">
              <w:rPr>
                <w:rFonts w:ascii="Arial Narrow" w:hAnsi="Arial Narrow"/>
                <w:b/>
                <w:sz w:val="20"/>
                <w:szCs w:val="20"/>
              </w:rPr>
              <w:t>Max. qty packs</w:t>
            </w:r>
          </w:p>
        </w:tc>
        <w:tc>
          <w:tcPr>
            <w:tcW w:w="811" w:type="dxa"/>
            <w:vAlign w:val="center"/>
          </w:tcPr>
          <w:p w14:paraId="728C3DFD" w14:textId="7BA9E469" w:rsidR="002A187F" w:rsidRPr="001428E9" w:rsidRDefault="002A187F">
            <w:pPr>
              <w:keepLines/>
              <w:jc w:val="center"/>
              <w:rPr>
                <w:rFonts w:ascii="Arial Narrow" w:hAnsi="Arial Narrow"/>
                <w:b/>
                <w:sz w:val="20"/>
                <w:szCs w:val="20"/>
              </w:rPr>
            </w:pPr>
            <w:r w:rsidRPr="001428E9">
              <w:rPr>
                <w:rFonts w:ascii="Arial Narrow" w:hAnsi="Arial Narrow"/>
                <w:b/>
                <w:sz w:val="20"/>
                <w:szCs w:val="20"/>
              </w:rPr>
              <w:t>Max. qty units</w:t>
            </w:r>
          </w:p>
        </w:tc>
        <w:tc>
          <w:tcPr>
            <w:tcW w:w="812" w:type="dxa"/>
            <w:vAlign w:val="center"/>
          </w:tcPr>
          <w:p w14:paraId="0933063A" w14:textId="56A3E0B0" w:rsidR="002A187F" w:rsidRPr="001428E9" w:rsidRDefault="002A187F">
            <w:pPr>
              <w:keepLines/>
              <w:jc w:val="center"/>
              <w:rPr>
                <w:rFonts w:ascii="Arial Narrow" w:hAnsi="Arial Narrow"/>
                <w:b/>
                <w:bCs/>
                <w:sz w:val="20"/>
                <w:szCs w:val="20"/>
              </w:rPr>
            </w:pPr>
            <w:r w:rsidRPr="44072162">
              <w:rPr>
                <w:rFonts w:ascii="Arial Narrow" w:hAnsi="Arial Narrow"/>
                <w:b/>
                <w:bCs/>
                <w:sz w:val="20"/>
                <w:szCs w:val="20"/>
              </w:rPr>
              <w:t>№.of</w:t>
            </w:r>
          </w:p>
          <w:p w14:paraId="0582A788" w14:textId="6D589F8F" w:rsidR="002A187F" w:rsidRPr="001428E9" w:rsidRDefault="002A187F">
            <w:pPr>
              <w:keepLines/>
              <w:jc w:val="center"/>
              <w:rPr>
                <w:rFonts w:ascii="Arial Narrow" w:hAnsi="Arial Narrow"/>
                <w:b/>
                <w:bCs/>
                <w:sz w:val="20"/>
                <w:szCs w:val="20"/>
              </w:rPr>
            </w:pPr>
            <w:proofErr w:type="spellStart"/>
            <w:r w:rsidRPr="44072162">
              <w:rPr>
                <w:rFonts w:ascii="Arial Narrow" w:hAnsi="Arial Narrow"/>
                <w:b/>
                <w:bCs/>
                <w:sz w:val="20"/>
                <w:szCs w:val="20"/>
              </w:rPr>
              <w:t>Rpts</w:t>
            </w:r>
            <w:proofErr w:type="spellEnd"/>
          </w:p>
        </w:tc>
        <w:tc>
          <w:tcPr>
            <w:tcW w:w="1831" w:type="dxa"/>
            <w:vAlign w:val="center"/>
          </w:tcPr>
          <w:p w14:paraId="0061B253" w14:textId="78CFBA4B" w:rsidR="002A187F" w:rsidRPr="001428E9" w:rsidRDefault="002A187F">
            <w:pPr>
              <w:keepLines/>
              <w:rPr>
                <w:rFonts w:ascii="Arial Narrow" w:hAnsi="Arial Narrow"/>
                <w:b/>
                <w:sz w:val="20"/>
                <w:szCs w:val="20"/>
                <w:lang w:val="fr-FR"/>
              </w:rPr>
            </w:pPr>
            <w:r w:rsidRPr="001428E9">
              <w:rPr>
                <w:rFonts w:ascii="Arial Narrow" w:hAnsi="Arial Narrow"/>
                <w:b/>
                <w:sz w:val="20"/>
                <w:szCs w:val="20"/>
              </w:rPr>
              <w:t>Available brands</w:t>
            </w:r>
          </w:p>
        </w:tc>
      </w:tr>
      <w:tr w:rsidR="002A187F" w:rsidRPr="001428E9" w14:paraId="204FE4B4" w14:textId="1E41297C">
        <w:trPr>
          <w:cantSplit/>
          <w:trHeight w:val="20"/>
        </w:trPr>
        <w:tc>
          <w:tcPr>
            <w:tcW w:w="9016" w:type="dxa"/>
            <w:gridSpan w:val="8"/>
            <w:vAlign w:val="center"/>
          </w:tcPr>
          <w:p w14:paraId="6913311C" w14:textId="674D5EF7" w:rsidR="002A187F" w:rsidRPr="001428E9" w:rsidRDefault="002A187F">
            <w:pPr>
              <w:keepLines/>
              <w:rPr>
                <w:rFonts w:ascii="Arial Narrow" w:hAnsi="Arial Narrow"/>
                <w:sz w:val="20"/>
                <w:szCs w:val="20"/>
              </w:rPr>
            </w:pPr>
            <w:r>
              <w:rPr>
                <w:rFonts w:ascii="Arial Narrow" w:hAnsi="Arial Narrow"/>
                <w:sz w:val="20"/>
                <w:szCs w:val="20"/>
              </w:rPr>
              <w:t>OMALIZUMAB</w:t>
            </w:r>
          </w:p>
        </w:tc>
      </w:tr>
      <w:tr w:rsidR="002A187F" w:rsidRPr="001428E9" w14:paraId="4703CFC6" w14:textId="23FC4D5B">
        <w:trPr>
          <w:cantSplit/>
          <w:trHeight w:val="20"/>
        </w:trPr>
        <w:tc>
          <w:tcPr>
            <w:tcW w:w="3939" w:type="dxa"/>
            <w:gridSpan w:val="3"/>
            <w:vAlign w:val="center"/>
          </w:tcPr>
          <w:p w14:paraId="34058597" w14:textId="0101A79C" w:rsidR="002A187F" w:rsidRPr="001428E9" w:rsidRDefault="002A187F">
            <w:pPr>
              <w:keepLines/>
              <w:rPr>
                <w:rFonts w:ascii="Arial Narrow" w:hAnsi="Arial Narrow"/>
                <w:sz w:val="20"/>
                <w:szCs w:val="20"/>
              </w:rPr>
            </w:pPr>
            <w:r w:rsidRPr="00285BC2">
              <w:rPr>
                <w:rFonts w:ascii="Arial Narrow" w:hAnsi="Arial Narrow"/>
                <w:sz w:val="20"/>
                <w:szCs w:val="20"/>
              </w:rPr>
              <w:t>omalizumab 75 mg/0.5 mL injection, 0.5 mL syringe</w:t>
            </w:r>
          </w:p>
        </w:tc>
        <w:tc>
          <w:tcPr>
            <w:tcW w:w="811" w:type="dxa"/>
            <w:vAlign w:val="center"/>
          </w:tcPr>
          <w:p w14:paraId="52E2AE2C" w14:textId="6D5B5CEF" w:rsidR="002A187F" w:rsidRDefault="002A187F">
            <w:pPr>
              <w:keepLines/>
              <w:jc w:val="center"/>
              <w:rPr>
                <w:rFonts w:ascii="Arial Narrow" w:hAnsi="Arial Narrow"/>
                <w:sz w:val="20"/>
                <w:szCs w:val="20"/>
              </w:rPr>
            </w:pPr>
            <w:r w:rsidRPr="001428E9">
              <w:rPr>
                <w:rFonts w:ascii="Arial Narrow" w:hAnsi="Arial Narrow"/>
                <w:sz w:val="20"/>
                <w:szCs w:val="20"/>
              </w:rPr>
              <w:t>NEW</w:t>
            </w:r>
            <w:r>
              <w:rPr>
                <w:rFonts w:ascii="Arial Narrow" w:hAnsi="Arial Narrow"/>
                <w:sz w:val="20"/>
                <w:szCs w:val="20"/>
              </w:rPr>
              <w:t>/</w:t>
            </w:r>
          </w:p>
          <w:p w14:paraId="5D40B04A" w14:textId="2D4C14BE" w:rsidR="002A187F" w:rsidRPr="001428E9" w:rsidRDefault="002A187F">
            <w:pPr>
              <w:keepLines/>
              <w:jc w:val="center"/>
              <w:rPr>
                <w:rFonts w:ascii="Arial Narrow" w:hAnsi="Arial Narrow"/>
                <w:sz w:val="20"/>
                <w:szCs w:val="20"/>
              </w:rPr>
            </w:pPr>
            <w:r>
              <w:rPr>
                <w:rFonts w:ascii="Arial Narrow" w:hAnsi="Arial Narrow"/>
                <w:sz w:val="20"/>
                <w:szCs w:val="20"/>
              </w:rPr>
              <w:t>Public</w:t>
            </w:r>
          </w:p>
        </w:tc>
        <w:tc>
          <w:tcPr>
            <w:tcW w:w="812" w:type="dxa"/>
            <w:vAlign w:val="center"/>
          </w:tcPr>
          <w:p w14:paraId="15B7ECB7" w14:textId="3F13B98A" w:rsidR="002A187F" w:rsidRPr="001428E9" w:rsidRDefault="002A187F">
            <w:pPr>
              <w:keepLines/>
              <w:jc w:val="center"/>
              <w:rPr>
                <w:rFonts w:ascii="Arial Narrow" w:hAnsi="Arial Narrow"/>
                <w:sz w:val="20"/>
                <w:szCs w:val="20"/>
              </w:rPr>
            </w:pPr>
            <w:r w:rsidRPr="001428E9">
              <w:rPr>
                <w:rFonts w:ascii="Arial Narrow" w:hAnsi="Arial Narrow"/>
                <w:sz w:val="20"/>
                <w:szCs w:val="20"/>
              </w:rPr>
              <w:t>1</w:t>
            </w:r>
          </w:p>
        </w:tc>
        <w:tc>
          <w:tcPr>
            <w:tcW w:w="811" w:type="dxa"/>
            <w:vAlign w:val="center"/>
          </w:tcPr>
          <w:p w14:paraId="4C00D630" w14:textId="0E924196" w:rsidR="002A187F" w:rsidRPr="001428E9" w:rsidRDefault="002A187F">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5725C1A2" w14:textId="285FC9AB" w:rsidR="002A187F" w:rsidRPr="00CA0BC6" w:rsidRDefault="002A187F">
            <w:pPr>
              <w:keepLines/>
              <w:jc w:val="center"/>
              <w:rPr>
                <w:rFonts w:ascii="Arial Narrow" w:hAnsi="Arial Narrow"/>
                <w:sz w:val="20"/>
                <w:szCs w:val="20"/>
              </w:rPr>
            </w:pPr>
            <w:r w:rsidRPr="002B2F93">
              <w:rPr>
                <w:rFonts w:ascii="Arial Narrow" w:hAnsi="Arial Narrow"/>
                <w:strike/>
                <w:sz w:val="20"/>
                <w:szCs w:val="20"/>
              </w:rPr>
              <w:t>6</w:t>
            </w:r>
            <w:r w:rsidRPr="002B2F93">
              <w:rPr>
                <w:rFonts w:ascii="Arial Narrow" w:hAnsi="Arial Narrow"/>
                <w:i/>
                <w:iCs/>
                <w:sz w:val="20"/>
                <w:szCs w:val="20"/>
              </w:rPr>
              <w:t>5</w:t>
            </w:r>
          </w:p>
        </w:tc>
        <w:tc>
          <w:tcPr>
            <w:tcW w:w="1831" w:type="dxa"/>
            <w:vAlign w:val="center"/>
          </w:tcPr>
          <w:p w14:paraId="5E8247A8" w14:textId="0D2372EB" w:rsidR="002A187F" w:rsidRPr="001428E9" w:rsidRDefault="002A187F">
            <w:pPr>
              <w:keepLines/>
              <w:rPr>
                <w:rFonts w:ascii="Arial Narrow" w:hAnsi="Arial Narrow"/>
                <w:sz w:val="20"/>
                <w:szCs w:val="20"/>
              </w:rPr>
            </w:pPr>
            <w:r>
              <w:rPr>
                <w:rFonts w:ascii="Arial Narrow" w:hAnsi="Arial Narrow"/>
                <w:sz w:val="20"/>
                <w:szCs w:val="20"/>
              </w:rPr>
              <w:t>Xolair</w:t>
            </w:r>
          </w:p>
        </w:tc>
      </w:tr>
      <w:tr w:rsidR="002A187F" w:rsidRPr="001428E9" w14:paraId="52710317" w14:textId="49E58171">
        <w:trPr>
          <w:cantSplit/>
          <w:trHeight w:val="20"/>
        </w:trPr>
        <w:tc>
          <w:tcPr>
            <w:tcW w:w="3939" w:type="dxa"/>
            <w:gridSpan w:val="3"/>
            <w:vAlign w:val="center"/>
          </w:tcPr>
          <w:p w14:paraId="7846AD4D" w14:textId="58FD032F" w:rsidR="002A187F" w:rsidRPr="001428E9" w:rsidRDefault="002A187F">
            <w:pPr>
              <w:keepLines/>
              <w:rPr>
                <w:rFonts w:ascii="Arial Narrow" w:hAnsi="Arial Narrow"/>
                <w:sz w:val="20"/>
                <w:szCs w:val="20"/>
              </w:rPr>
            </w:pPr>
            <w:r w:rsidRPr="00285BC2">
              <w:rPr>
                <w:rFonts w:ascii="Arial Narrow" w:hAnsi="Arial Narrow"/>
                <w:sz w:val="20"/>
                <w:szCs w:val="20"/>
              </w:rPr>
              <w:t>omalizumab 75 mg/0.5 mL injection, 0.5 mL syringe</w:t>
            </w:r>
          </w:p>
        </w:tc>
        <w:tc>
          <w:tcPr>
            <w:tcW w:w="811" w:type="dxa"/>
            <w:vAlign w:val="center"/>
          </w:tcPr>
          <w:p w14:paraId="4A736306" w14:textId="78D1BB54" w:rsidR="002A187F" w:rsidRPr="001428E9" w:rsidRDefault="002A187F">
            <w:pPr>
              <w:keepLines/>
              <w:rPr>
                <w:rFonts w:ascii="Arial Narrow" w:hAnsi="Arial Narrow"/>
                <w:sz w:val="20"/>
                <w:szCs w:val="20"/>
              </w:rPr>
            </w:pPr>
            <w:r w:rsidRPr="001428E9">
              <w:rPr>
                <w:rFonts w:ascii="Arial Narrow" w:hAnsi="Arial Narrow"/>
                <w:sz w:val="20"/>
                <w:szCs w:val="20"/>
              </w:rPr>
              <w:t xml:space="preserve"> NEW</w:t>
            </w:r>
            <w:r>
              <w:rPr>
                <w:rFonts w:ascii="Arial Narrow" w:hAnsi="Arial Narrow"/>
                <w:sz w:val="20"/>
                <w:szCs w:val="20"/>
              </w:rPr>
              <w:t>/ Private</w:t>
            </w:r>
          </w:p>
        </w:tc>
        <w:tc>
          <w:tcPr>
            <w:tcW w:w="812" w:type="dxa"/>
            <w:vAlign w:val="center"/>
          </w:tcPr>
          <w:p w14:paraId="47AAC75A" w14:textId="7578F7EF" w:rsidR="002A187F" w:rsidRPr="001428E9" w:rsidRDefault="002A187F">
            <w:pPr>
              <w:keepLines/>
              <w:jc w:val="center"/>
              <w:rPr>
                <w:rFonts w:ascii="Arial Narrow" w:hAnsi="Arial Narrow"/>
                <w:sz w:val="20"/>
                <w:szCs w:val="20"/>
              </w:rPr>
            </w:pPr>
            <w:r w:rsidRPr="001428E9">
              <w:rPr>
                <w:rFonts w:ascii="Arial Narrow" w:hAnsi="Arial Narrow"/>
                <w:sz w:val="20"/>
                <w:szCs w:val="20"/>
              </w:rPr>
              <w:t>1</w:t>
            </w:r>
          </w:p>
        </w:tc>
        <w:tc>
          <w:tcPr>
            <w:tcW w:w="811" w:type="dxa"/>
            <w:vAlign w:val="center"/>
          </w:tcPr>
          <w:p w14:paraId="7DAEB04B" w14:textId="0D196665" w:rsidR="002A187F" w:rsidRPr="001428E9" w:rsidRDefault="002A187F">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31AE1CF7" w14:textId="5A33D480" w:rsidR="002A187F" w:rsidRPr="00CA0BC6" w:rsidRDefault="002A187F">
            <w:pPr>
              <w:keepLines/>
              <w:jc w:val="center"/>
              <w:rPr>
                <w:rFonts w:ascii="Arial Narrow" w:hAnsi="Arial Narrow"/>
                <w:sz w:val="20"/>
                <w:szCs w:val="20"/>
              </w:rPr>
            </w:pPr>
            <w:r w:rsidRPr="002B2F93">
              <w:rPr>
                <w:rFonts w:ascii="Arial Narrow" w:hAnsi="Arial Narrow"/>
                <w:strike/>
                <w:sz w:val="20"/>
                <w:szCs w:val="20"/>
              </w:rPr>
              <w:t>6</w:t>
            </w:r>
            <w:r w:rsidRPr="002B2F93">
              <w:rPr>
                <w:rFonts w:ascii="Arial Narrow" w:hAnsi="Arial Narrow"/>
                <w:i/>
                <w:iCs/>
                <w:sz w:val="20"/>
                <w:szCs w:val="20"/>
              </w:rPr>
              <w:t>5</w:t>
            </w:r>
          </w:p>
        </w:tc>
        <w:tc>
          <w:tcPr>
            <w:tcW w:w="1831" w:type="dxa"/>
            <w:vAlign w:val="center"/>
          </w:tcPr>
          <w:p w14:paraId="7F9A02F9" w14:textId="7B781C60" w:rsidR="002A187F" w:rsidRPr="001428E9" w:rsidRDefault="002A187F">
            <w:pPr>
              <w:keepLines/>
              <w:rPr>
                <w:rFonts w:ascii="Arial Narrow" w:hAnsi="Arial Narrow"/>
                <w:sz w:val="20"/>
                <w:szCs w:val="20"/>
              </w:rPr>
            </w:pPr>
            <w:r>
              <w:rPr>
                <w:rFonts w:ascii="Arial Narrow" w:hAnsi="Arial Narrow"/>
                <w:sz w:val="20"/>
                <w:szCs w:val="20"/>
              </w:rPr>
              <w:t>Xolair</w:t>
            </w:r>
          </w:p>
        </w:tc>
      </w:tr>
      <w:tr w:rsidR="002A187F" w:rsidRPr="001428E9" w14:paraId="4D5AC0F9" w14:textId="6564849C">
        <w:trPr>
          <w:cantSplit/>
          <w:trHeight w:val="20"/>
        </w:trPr>
        <w:tc>
          <w:tcPr>
            <w:tcW w:w="3939" w:type="dxa"/>
            <w:gridSpan w:val="3"/>
            <w:vAlign w:val="center"/>
          </w:tcPr>
          <w:p w14:paraId="54907447" w14:textId="7487E7FE" w:rsidR="002A187F" w:rsidRPr="00285BC2" w:rsidRDefault="002A187F">
            <w:pPr>
              <w:keepLines/>
              <w:rPr>
                <w:rFonts w:ascii="Arial Narrow" w:hAnsi="Arial Narrow"/>
                <w:sz w:val="20"/>
                <w:szCs w:val="20"/>
              </w:rPr>
            </w:pPr>
            <w:r w:rsidRPr="00285BC2">
              <w:rPr>
                <w:rFonts w:ascii="Arial Narrow" w:hAnsi="Arial Narrow"/>
                <w:sz w:val="20"/>
                <w:szCs w:val="20"/>
              </w:rPr>
              <w:t xml:space="preserve">omalizumab </w:t>
            </w:r>
            <w:r>
              <w:rPr>
                <w:rFonts w:ascii="Arial Narrow" w:hAnsi="Arial Narrow"/>
                <w:sz w:val="20"/>
                <w:szCs w:val="20"/>
              </w:rPr>
              <w:t>150</w:t>
            </w:r>
            <w:r w:rsidRPr="00285BC2">
              <w:rPr>
                <w:rFonts w:ascii="Arial Narrow" w:hAnsi="Arial Narrow"/>
                <w:sz w:val="20"/>
                <w:szCs w:val="20"/>
              </w:rPr>
              <w:t xml:space="preserve"> mg/mL injection, </w:t>
            </w:r>
            <w:r>
              <w:rPr>
                <w:rFonts w:ascii="Arial Narrow" w:hAnsi="Arial Narrow"/>
                <w:sz w:val="20"/>
                <w:szCs w:val="20"/>
              </w:rPr>
              <w:t>1</w:t>
            </w:r>
            <w:r w:rsidRPr="00285BC2">
              <w:rPr>
                <w:rFonts w:ascii="Arial Narrow" w:hAnsi="Arial Narrow"/>
                <w:sz w:val="20"/>
                <w:szCs w:val="20"/>
              </w:rPr>
              <w:t xml:space="preserve"> mL syringe</w:t>
            </w:r>
          </w:p>
        </w:tc>
        <w:tc>
          <w:tcPr>
            <w:tcW w:w="811" w:type="dxa"/>
            <w:vAlign w:val="center"/>
          </w:tcPr>
          <w:p w14:paraId="44C9A95A" w14:textId="13217897" w:rsidR="002A187F" w:rsidRDefault="002A187F">
            <w:pPr>
              <w:keepLines/>
              <w:jc w:val="center"/>
              <w:rPr>
                <w:rFonts w:ascii="Arial Narrow" w:hAnsi="Arial Narrow"/>
                <w:sz w:val="20"/>
                <w:szCs w:val="20"/>
              </w:rPr>
            </w:pPr>
            <w:r w:rsidRPr="001428E9">
              <w:rPr>
                <w:rFonts w:ascii="Arial Narrow" w:hAnsi="Arial Narrow"/>
                <w:sz w:val="20"/>
                <w:szCs w:val="20"/>
              </w:rPr>
              <w:t>NEW</w:t>
            </w:r>
            <w:r>
              <w:rPr>
                <w:rFonts w:ascii="Arial Narrow" w:hAnsi="Arial Narrow"/>
                <w:sz w:val="20"/>
                <w:szCs w:val="20"/>
              </w:rPr>
              <w:t>/</w:t>
            </w:r>
          </w:p>
          <w:p w14:paraId="0772A835" w14:textId="773816B4" w:rsidR="002A187F" w:rsidRPr="001428E9" w:rsidRDefault="002A187F">
            <w:pPr>
              <w:keepLines/>
              <w:jc w:val="center"/>
              <w:rPr>
                <w:rFonts w:ascii="Arial Narrow" w:hAnsi="Arial Narrow"/>
                <w:sz w:val="20"/>
                <w:szCs w:val="20"/>
              </w:rPr>
            </w:pPr>
            <w:r>
              <w:rPr>
                <w:rFonts w:ascii="Arial Narrow" w:hAnsi="Arial Narrow"/>
                <w:sz w:val="20"/>
                <w:szCs w:val="20"/>
              </w:rPr>
              <w:t>Public</w:t>
            </w:r>
          </w:p>
        </w:tc>
        <w:tc>
          <w:tcPr>
            <w:tcW w:w="812" w:type="dxa"/>
            <w:vAlign w:val="center"/>
          </w:tcPr>
          <w:p w14:paraId="54ABA9CE" w14:textId="5564CE46" w:rsidR="002A187F" w:rsidRPr="001428E9" w:rsidRDefault="002A187F">
            <w:pPr>
              <w:keepLines/>
              <w:jc w:val="center"/>
              <w:rPr>
                <w:rFonts w:ascii="Arial Narrow" w:hAnsi="Arial Narrow"/>
                <w:sz w:val="20"/>
                <w:szCs w:val="20"/>
              </w:rPr>
            </w:pPr>
            <w:r w:rsidRPr="001428E9">
              <w:rPr>
                <w:rFonts w:ascii="Arial Narrow" w:hAnsi="Arial Narrow"/>
                <w:sz w:val="20"/>
                <w:szCs w:val="20"/>
              </w:rPr>
              <w:t>1</w:t>
            </w:r>
          </w:p>
        </w:tc>
        <w:tc>
          <w:tcPr>
            <w:tcW w:w="811" w:type="dxa"/>
            <w:vAlign w:val="center"/>
          </w:tcPr>
          <w:p w14:paraId="589E38A6" w14:textId="16440462" w:rsidR="002A187F" w:rsidRDefault="002A187F">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48F018F6" w14:textId="1FD8FFCB" w:rsidR="002A187F" w:rsidRPr="002B2F93" w:rsidRDefault="002A187F">
            <w:pPr>
              <w:keepLines/>
              <w:jc w:val="center"/>
              <w:rPr>
                <w:rFonts w:ascii="Arial Narrow" w:hAnsi="Arial Narrow"/>
                <w:strike/>
                <w:sz w:val="20"/>
                <w:szCs w:val="20"/>
              </w:rPr>
            </w:pPr>
            <w:r w:rsidRPr="002B2F93">
              <w:rPr>
                <w:rFonts w:ascii="Arial Narrow" w:hAnsi="Arial Narrow"/>
                <w:strike/>
                <w:sz w:val="20"/>
                <w:szCs w:val="20"/>
              </w:rPr>
              <w:t>6</w:t>
            </w:r>
            <w:r w:rsidRPr="002B2F93">
              <w:rPr>
                <w:rFonts w:ascii="Arial Narrow" w:hAnsi="Arial Narrow"/>
                <w:i/>
                <w:iCs/>
                <w:sz w:val="20"/>
                <w:szCs w:val="20"/>
              </w:rPr>
              <w:t>5</w:t>
            </w:r>
          </w:p>
        </w:tc>
        <w:tc>
          <w:tcPr>
            <w:tcW w:w="1831" w:type="dxa"/>
            <w:vAlign w:val="center"/>
          </w:tcPr>
          <w:p w14:paraId="3DFA7B58" w14:textId="5B18E70B" w:rsidR="002A187F" w:rsidRDefault="002A187F">
            <w:pPr>
              <w:keepLines/>
              <w:rPr>
                <w:rFonts w:ascii="Arial Narrow" w:hAnsi="Arial Narrow"/>
                <w:sz w:val="20"/>
                <w:szCs w:val="20"/>
              </w:rPr>
            </w:pPr>
            <w:r>
              <w:rPr>
                <w:rFonts w:ascii="Arial Narrow" w:hAnsi="Arial Narrow"/>
                <w:sz w:val="20"/>
                <w:szCs w:val="20"/>
              </w:rPr>
              <w:t>Xolair</w:t>
            </w:r>
          </w:p>
        </w:tc>
      </w:tr>
      <w:tr w:rsidR="002A187F" w:rsidRPr="001428E9" w14:paraId="38E22835" w14:textId="32E65409">
        <w:trPr>
          <w:cantSplit/>
          <w:trHeight w:val="20"/>
        </w:trPr>
        <w:tc>
          <w:tcPr>
            <w:tcW w:w="3939" w:type="dxa"/>
            <w:gridSpan w:val="3"/>
            <w:vAlign w:val="center"/>
          </w:tcPr>
          <w:p w14:paraId="2DAA00C7" w14:textId="167F8C48" w:rsidR="002A187F" w:rsidRPr="00285BC2" w:rsidRDefault="002A187F">
            <w:pPr>
              <w:keepLines/>
              <w:rPr>
                <w:rFonts w:ascii="Arial Narrow" w:hAnsi="Arial Narrow"/>
                <w:sz w:val="20"/>
                <w:szCs w:val="20"/>
              </w:rPr>
            </w:pPr>
            <w:r w:rsidRPr="00285BC2">
              <w:rPr>
                <w:rFonts w:ascii="Arial Narrow" w:hAnsi="Arial Narrow"/>
                <w:sz w:val="20"/>
                <w:szCs w:val="20"/>
              </w:rPr>
              <w:t xml:space="preserve">omalizumab </w:t>
            </w:r>
            <w:r>
              <w:rPr>
                <w:rFonts w:ascii="Arial Narrow" w:hAnsi="Arial Narrow"/>
                <w:sz w:val="20"/>
                <w:szCs w:val="20"/>
              </w:rPr>
              <w:t xml:space="preserve">150 </w:t>
            </w:r>
            <w:r w:rsidRPr="00285BC2">
              <w:rPr>
                <w:rFonts w:ascii="Arial Narrow" w:hAnsi="Arial Narrow"/>
                <w:sz w:val="20"/>
                <w:szCs w:val="20"/>
              </w:rPr>
              <w:t xml:space="preserve">mg/mL injection, </w:t>
            </w:r>
            <w:r>
              <w:rPr>
                <w:rFonts w:ascii="Arial Narrow" w:hAnsi="Arial Narrow"/>
                <w:sz w:val="20"/>
                <w:szCs w:val="20"/>
              </w:rPr>
              <w:t>1</w:t>
            </w:r>
            <w:r w:rsidRPr="00285BC2">
              <w:rPr>
                <w:rFonts w:ascii="Arial Narrow" w:hAnsi="Arial Narrow"/>
                <w:sz w:val="20"/>
                <w:szCs w:val="20"/>
              </w:rPr>
              <w:t xml:space="preserve"> mL syringe</w:t>
            </w:r>
          </w:p>
        </w:tc>
        <w:tc>
          <w:tcPr>
            <w:tcW w:w="811" w:type="dxa"/>
            <w:vAlign w:val="center"/>
          </w:tcPr>
          <w:p w14:paraId="6DEC907B" w14:textId="5CA252B5" w:rsidR="002A187F" w:rsidRPr="001428E9" w:rsidRDefault="002A187F">
            <w:pPr>
              <w:keepLines/>
              <w:jc w:val="center"/>
              <w:rPr>
                <w:rFonts w:ascii="Arial Narrow" w:hAnsi="Arial Narrow"/>
                <w:sz w:val="20"/>
                <w:szCs w:val="20"/>
              </w:rPr>
            </w:pPr>
            <w:r w:rsidRPr="001428E9">
              <w:rPr>
                <w:rFonts w:ascii="Arial Narrow" w:hAnsi="Arial Narrow"/>
                <w:sz w:val="20"/>
                <w:szCs w:val="20"/>
              </w:rPr>
              <w:t>NEW</w:t>
            </w:r>
            <w:r>
              <w:rPr>
                <w:rFonts w:ascii="Arial Narrow" w:hAnsi="Arial Narrow"/>
                <w:sz w:val="20"/>
                <w:szCs w:val="20"/>
              </w:rPr>
              <w:t>/ Private</w:t>
            </w:r>
          </w:p>
        </w:tc>
        <w:tc>
          <w:tcPr>
            <w:tcW w:w="812" w:type="dxa"/>
            <w:vAlign w:val="center"/>
          </w:tcPr>
          <w:p w14:paraId="276FB5BF" w14:textId="2AC60B6C" w:rsidR="002A187F" w:rsidRPr="001428E9" w:rsidRDefault="002A187F">
            <w:pPr>
              <w:keepLines/>
              <w:jc w:val="center"/>
              <w:rPr>
                <w:rFonts w:ascii="Arial Narrow" w:hAnsi="Arial Narrow"/>
                <w:sz w:val="20"/>
                <w:szCs w:val="20"/>
              </w:rPr>
            </w:pPr>
            <w:r w:rsidRPr="001428E9">
              <w:rPr>
                <w:rFonts w:ascii="Arial Narrow" w:hAnsi="Arial Narrow"/>
                <w:sz w:val="20"/>
                <w:szCs w:val="20"/>
              </w:rPr>
              <w:t>1</w:t>
            </w:r>
          </w:p>
        </w:tc>
        <w:tc>
          <w:tcPr>
            <w:tcW w:w="811" w:type="dxa"/>
            <w:vAlign w:val="center"/>
          </w:tcPr>
          <w:p w14:paraId="039C2BFE" w14:textId="42CF26C0" w:rsidR="002A187F" w:rsidRDefault="002A187F">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19506D51" w14:textId="5EF84DA5" w:rsidR="002A187F" w:rsidRPr="002B2F93" w:rsidRDefault="002A187F">
            <w:pPr>
              <w:keepLines/>
              <w:jc w:val="center"/>
              <w:rPr>
                <w:rFonts w:ascii="Arial Narrow" w:hAnsi="Arial Narrow"/>
                <w:strike/>
                <w:sz w:val="20"/>
                <w:szCs w:val="20"/>
              </w:rPr>
            </w:pPr>
            <w:r w:rsidRPr="13B184C8">
              <w:rPr>
                <w:rFonts w:ascii="Arial Narrow" w:hAnsi="Arial Narrow"/>
                <w:strike/>
                <w:sz w:val="20"/>
                <w:szCs w:val="20"/>
              </w:rPr>
              <w:t>6</w:t>
            </w:r>
            <w:r w:rsidRPr="13B184C8">
              <w:rPr>
                <w:rFonts w:ascii="Arial Narrow" w:hAnsi="Arial Narrow"/>
                <w:i/>
                <w:iCs/>
                <w:sz w:val="20"/>
                <w:szCs w:val="20"/>
              </w:rPr>
              <w:t>5</w:t>
            </w:r>
          </w:p>
        </w:tc>
        <w:tc>
          <w:tcPr>
            <w:tcW w:w="1831" w:type="dxa"/>
            <w:vAlign w:val="center"/>
          </w:tcPr>
          <w:p w14:paraId="3D7E7F30" w14:textId="62E62A01" w:rsidR="002A187F" w:rsidRDefault="002A187F">
            <w:pPr>
              <w:keepLines/>
              <w:rPr>
                <w:rFonts w:ascii="Arial Narrow" w:hAnsi="Arial Narrow"/>
                <w:sz w:val="20"/>
                <w:szCs w:val="20"/>
              </w:rPr>
            </w:pPr>
            <w:r w:rsidRPr="13B184C8">
              <w:rPr>
                <w:rFonts w:ascii="Arial Narrow" w:hAnsi="Arial Narrow"/>
                <w:sz w:val="20"/>
                <w:szCs w:val="20"/>
              </w:rPr>
              <w:t>Xolair</w:t>
            </w:r>
          </w:p>
        </w:tc>
      </w:tr>
      <w:tr w:rsidR="002A187F" w:rsidRPr="001428E9" w14:paraId="3288A9AD" w14:textId="0460A60E">
        <w:trPr>
          <w:cantSplit/>
          <w:trHeight w:val="20"/>
        </w:trPr>
        <w:tc>
          <w:tcPr>
            <w:tcW w:w="3939" w:type="dxa"/>
            <w:gridSpan w:val="3"/>
            <w:vAlign w:val="center"/>
          </w:tcPr>
          <w:p w14:paraId="572D55F0" w14:textId="39C15DAE" w:rsidR="002A187F" w:rsidRPr="00D26EA7" w:rsidRDefault="002A187F">
            <w:pPr>
              <w:keepLines/>
              <w:rPr>
                <w:rFonts w:ascii="Arial Narrow" w:hAnsi="Arial Narrow"/>
                <w:i/>
                <w:iCs/>
                <w:sz w:val="20"/>
                <w:szCs w:val="20"/>
              </w:rPr>
            </w:pPr>
            <w:r w:rsidRPr="00D26EA7">
              <w:rPr>
                <w:rFonts w:ascii="Arial Narrow" w:hAnsi="Arial Narrow"/>
                <w:i/>
                <w:iCs/>
                <w:sz w:val="20"/>
                <w:szCs w:val="20"/>
              </w:rPr>
              <w:t>omalizumab 300 mg/ 2 mL injection, 2 mL syringe</w:t>
            </w:r>
          </w:p>
        </w:tc>
        <w:tc>
          <w:tcPr>
            <w:tcW w:w="811" w:type="dxa"/>
            <w:vAlign w:val="center"/>
          </w:tcPr>
          <w:p w14:paraId="0146CC7B" w14:textId="3CFB80F9" w:rsidR="002A187F" w:rsidRPr="00D26EA7" w:rsidRDefault="002A187F">
            <w:pPr>
              <w:keepLines/>
              <w:jc w:val="center"/>
              <w:rPr>
                <w:rFonts w:ascii="Arial Narrow" w:hAnsi="Arial Narrow"/>
                <w:i/>
                <w:iCs/>
                <w:sz w:val="20"/>
                <w:szCs w:val="20"/>
              </w:rPr>
            </w:pPr>
            <w:r w:rsidRPr="00D26EA7">
              <w:rPr>
                <w:rFonts w:ascii="Arial Narrow" w:hAnsi="Arial Narrow"/>
                <w:i/>
                <w:iCs/>
                <w:sz w:val="20"/>
                <w:szCs w:val="20"/>
              </w:rPr>
              <w:t>NEW/ Private</w:t>
            </w:r>
          </w:p>
        </w:tc>
        <w:tc>
          <w:tcPr>
            <w:tcW w:w="812" w:type="dxa"/>
            <w:vAlign w:val="center"/>
          </w:tcPr>
          <w:p w14:paraId="141F3A91" w14:textId="7C686415" w:rsidR="002A187F" w:rsidRPr="00D26EA7" w:rsidRDefault="002A187F">
            <w:pPr>
              <w:keepLines/>
              <w:jc w:val="center"/>
              <w:rPr>
                <w:rFonts w:ascii="Arial Narrow" w:hAnsi="Arial Narrow"/>
                <w:i/>
                <w:iCs/>
                <w:sz w:val="20"/>
                <w:szCs w:val="20"/>
              </w:rPr>
            </w:pPr>
            <w:r w:rsidRPr="00D26EA7">
              <w:rPr>
                <w:rFonts w:ascii="Arial Narrow" w:hAnsi="Arial Narrow"/>
                <w:i/>
                <w:iCs/>
                <w:sz w:val="20"/>
                <w:szCs w:val="20"/>
              </w:rPr>
              <w:t>1</w:t>
            </w:r>
          </w:p>
        </w:tc>
        <w:tc>
          <w:tcPr>
            <w:tcW w:w="811" w:type="dxa"/>
            <w:vAlign w:val="center"/>
          </w:tcPr>
          <w:p w14:paraId="0D1682C7" w14:textId="2F27EB29" w:rsidR="002A187F" w:rsidRPr="00D26EA7" w:rsidRDefault="002A187F">
            <w:pPr>
              <w:keepLines/>
              <w:jc w:val="center"/>
              <w:rPr>
                <w:rFonts w:ascii="Arial Narrow" w:hAnsi="Arial Narrow"/>
                <w:i/>
                <w:iCs/>
                <w:sz w:val="20"/>
                <w:szCs w:val="20"/>
              </w:rPr>
            </w:pPr>
            <w:r w:rsidRPr="00D26EA7">
              <w:rPr>
                <w:rFonts w:ascii="Arial Narrow" w:hAnsi="Arial Narrow"/>
                <w:i/>
                <w:iCs/>
                <w:sz w:val="20"/>
                <w:szCs w:val="20"/>
              </w:rPr>
              <w:t>1</w:t>
            </w:r>
          </w:p>
        </w:tc>
        <w:tc>
          <w:tcPr>
            <w:tcW w:w="812" w:type="dxa"/>
            <w:vAlign w:val="center"/>
          </w:tcPr>
          <w:p w14:paraId="33A3D0D1" w14:textId="17156169" w:rsidR="002A187F" w:rsidRPr="00D26EA7" w:rsidRDefault="002A187F">
            <w:pPr>
              <w:keepLines/>
              <w:jc w:val="center"/>
              <w:rPr>
                <w:rFonts w:ascii="Arial Narrow" w:hAnsi="Arial Narrow"/>
                <w:i/>
                <w:iCs/>
                <w:sz w:val="20"/>
                <w:szCs w:val="20"/>
              </w:rPr>
            </w:pPr>
            <w:r w:rsidRPr="00D26EA7">
              <w:rPr>
                <w:rFonts w:ascii="Arial Narrow" w:hAnsi="Arial Narrow"/>
                <w:i/>
                <w:iCs/>
                <w:sz w:val="20"/>
                <w:szCs w:val="20"/>
              </w:rPr>
              <w:t>5</w:t>
            </w:r>
          </w:p>
        </w:tc>
        <w:tc>
          <w:tcPr>
            <w:tcW w:w="1831" w:type="dxa"/>
            <w:vAlign w:val="center"/>
          </w:tcPr>
          <w:p w14:paraId="2E8EACD1" w14:textId="767868FD" w:rsidR="002A187F" w:rsidRPr="00D26EA7" w:rsidRDefault="002A187F">
            <w:pPr>
              <w:keepLines/>
              <w:rPr>
                <w:rFonts w:ascii="Arial Narrow" w:hAnsi="Arial Narrow"/>
                <w:i/>
                <w:iCs/>
                <w:sz w:val="20"/>
                <w:szCs w:val="20"/>
              </w:rPr>
            </w:pPr>
            <w:r w:rsidRPr="00D26EA7">
              <w:rPr>
                <w:rFonts w:ascii="Arial Narrow" w:hAnsi="Arial Narrow"/>
                <w:i/>
                <w:iCs/>
                <w:sz w:val="20"/>
                <w:szCs w:val="20"/>
              </w:rPr>
              <w:t>Xolair</w:t>
            </w:r>
          </w:p>
        </w:tc>
      </w:tr>
      <w:tr w:rsidR="002A187F" w:rsidRPr="001428E9" w14:paraId="623B85F9" w14:textId="439FF5FD">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3FE22894" w14:textId="0ACF092F" w:rsidR="002A187F" w:rsidRPr="001428E9" w:rsidRDefault="002A187F">
            <w:pPr>
              <w:rPr>
                <w:rFonts w:ascii="Arial Narrow" w:hAnsi="Arial Narrow"/>
                <w:sz w:val="20"/>
                <w:szCs w:val="20"/>
              </w:rPr>
            </w:pPr>
          </w:p>
        </w:tc>
      </w:tr>
      <w:tr w:rsidR="002A187F" w:rsidRPr="001428E9" w14:paraId="40EC058F" w14:textId="54CBE703">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208F9FA3" w14:textId="203E90F1" w:rsidR="002A187F" w:rsidRPr="001428E9" w:rsidRDefault="002A187F">
            <w:pPr>
              <w:keepLines/>
              <w:rPr>
                <w:rFonts w:ascii="Arial Narrow" w:hAnsi="Arial Narrow"/>
                <w:b/>
                <w:sz w:val="20"/>
                <w:szCs w:val="20"/>
              </w:rPr>
            </w:pPr>
            <w:r w:rsidRPr="001428E9">
              <w:rPr>
                <w:rFonts w:ascii="Arial Narrow" w:hAnsi="Arial Narrow"/>
                <w:b/>
                <w:sz w:val="20"/>
                <w:szCs w:val="20"/>
              </w:rPr>
              <w:t xml:space="preserve">Restriction Summary / Treatment of Concept: </w:t>
            </w:r>
          </w:p>
        </w:tc>
      </w:tr>
      <w:tr w:rsidR="002A187F" w:rsidRPr="001428E9" w14:paraId="2421ABFE" w14:textId="4BAABAF0">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399E1485" w14:textId="2F4329CD" w:rsidR="002A187F" w:rsidRPr="001428E9" w:rsidRDefault="002A187F">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085F66E" w14:textId="0C5D7B38" w:rsidR="002A187F" w:rsidRDefault="002A187F">
            <w:pPr>
              <w:keepLines/>
              <w:rPr>
                <w:rFonts w:ascii="Arial Narrow" w:eastAsia="Calibri"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p>
          <w:p w14:paraId="2E4B91B6" w14:textId="7DB2B3DA" w:rsidR="002A187F" w:rsidRPr="001428E9" w:rsidRDefault="002A187F">
            <w:pPr>
              <w:keepLines/>
              <w:rPr>
                <w:rFonts w:ascii="Arial Narrow" w:hAnsi="Arial Narrow"/>
                <w:sz w:val="20"/>
                <w:szCs w:val="20"/>
              </w:rPr>
            </w:pP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Section 100 – Highly Specialised Drugs Program – Public (Code HB)</w:t>
            </w:r>
            <w:r w:rsidRPr="001428E9">
              <w:rPr>
                <w:rFonts w:ascii="Arial Narrow" w:eastAsia="Calibri" w:hAnsi="Arial Narrow"/>
                <w:color w:val="FF0000"/>
                <w:sz w:val="20"/>
                <w:szCs w:val="20"/>
              </w:rPr>
              <w:t xml:space="preserve"> </w:t>
            </w:r>
            <w:r>
              <w:rPr>
                <w:rFonts w:ascii="Arial Narrow" w:eastAsia="Calibri" w:hAnsi="Arial Narrow"/>
                <w:sz w:val="20"/>
                <w:szCs w:val="20"/>
              </w:rPr>
              <w:t>/ Private (Code HS)</w:t>
            </w:r>
          </w:p>
        </w:tc>
      </w:tr>
      <w:tr w:rsidR="002A187F" w:rsidRPr="001428E9" w14:paraId="2054926C" w14:textId="01202C9F">
        <w:tblPrEx>
          <w:tblCellMar>
            <w:top w:w="15" w:type="dxa"/>
            <w:bottom w:w="15" w:type="dxa"/>
          </w:tblCellMar>
          <w:tblLook w:val="04A0" w:firstRow="1" w:lastRow="0" w:firstColumn="1" w:lastColumn="0" w:noHBand="0" w:noVBand="1"/>
        </w:tblPrEx>
        <w:trPr>
          <w:trHeight w:val="20"/>
        </w:trPr>
        <w:tc>
          <w:tcPr>
            <w:tcW w:w="1271" w:type="dxa"/>
            <w:gridSpan w:val="2"/>
            <w:vMerge/>
          </w:tcPr>
          <w:p w14:paraId="3ACFE915" w14:textId="6FD2760E" w:rsidR="002A187F" w:rsidRPr="001428E9" w:rsidRDefault="002A187F">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52D967E" w14:textId="1B233651" w:rsidR="002A187F" w:rsidRDefault="002A187F">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p>
          <w:p w14:paraId="50F3496C" w14:textId="6B178A43" w:rsidR="002A187F" w:rsidRPr="001428E9" w:rsidRDefault="002A187F">
            <w:pPr>
              <w:keepLines/>
              <w:rPr>
                <w:rFonts w:ascii="Arial Narrow" w:hAnsi="Arial Narrow"/>
                <w:b/>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2A187F" w:rsidRPr="001428E9" w14:paraId="43C605BB" w14:textId="6DBA206C">
        <w:tblPrEx>
          <w:tblCellMar>
            <w:top w:w="15" w:type="dxa"/>
            <w:bottom w:w="15" w:type="dxa"/>
          </w:tblCellMar>
          <w:tblLook w:val="04A0" w:firstRow="1" w:lastRow="0" w:firstColumn="1" w:lastColumn="0" w:noHBand="0" w:noVBand="1"/>
        </w:tblPrEx>
        <w:trPr>
          <w:trHeight w:val="20"/>
        </w:trPr>
        <w:tc>
          <w:tcPr>
            <w:tcW w:w="1271" w:type="dxa"/>
            <w:gridSpan w:val="2"/>
            <w:vMerge/>
          </w:tcPr>
          <w:p w14:paraId="6781F912" w14:textId="4A5C820A" w:rsidR="002A187F" w:rsidRPr="001428E9" w:rsidRDefault="002A187F">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03D1E74" w14:textId="0351A1D5" w:rsidR="002A187F" w:rsidRPr="00D56F94" w:rsidRDefault="002A187F">
            <w:pPr>
              <w:keepLines/>
              <w:jc w:val="left"/>
              <w:rPr>
                <w:rFonts w:ascii="Arial Narrow" w:eastAsia="Calibri" w:hAnsi="Arial Narrow"/>
                <w:color w:val="FF0000"/>
                <w:sz w:val="20"/>
                <w:szCs w:val="20"/>
              </w:rPr>
            </w:pPr>
            <w:r w:rsidRPr="001428E9">
              <w:rPr>
                <w:rFonts w:ascii="Arial Narrow" w:hAnsi="Arial Narrow"/>
                <w:b/>
                <w:sz w:val="20"/>
                <w:szCs w:val="20"/>
              </w:rPr>
              <w:t xml:space="preserve">Restriction type: </w:t>
            </w:r>
            <w:r>
              <w:rPr>
                <w:rFonts w:ascii="Arial Narrow" w:eastAsia="Calibri" w:hAnsi="Arial Narrow"/>
                <w:color w:val="FF0000"/>
                <w:sz w:val="20"/>
                <w:szCs w:val="20"/>
              </w:rPr>
              <w:br/>
            </w: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Authority Required (</w:t>
            </w:r>
            <w:r>
              <w:rPr>
                <w:rFonts w:ascii="Arial Narrow" w:eastAsia="Calibri" w:hAnsi="Arial Narrow"/>
                <w:sz w:val="20"/>
                <w:szCs w:val="20"/>
              </w:rPr>
              <w:t xml:space="preserve">FULL assessment) </w:t>
            </w:r>
            <w:r w:rsidRPr="001428E9">
              <w:rPr>
                <w:rFonts w:ascii="Arial Narrow" w:eastAsia="Calibri" w:hAnsi="Arial Narrow"/>
                <w:sz w:val="20"/>
                <w:szCs w:val="20"/>
              </w:rPr>
              <w:t xml:space="preserve">in writing only via post/HPOS upload) </w:t>
            </w:r>
          </w:p>
        </w:tc>
      </w:tr>
      <w:tr w:rsidR="002A187F" w:rsidRPr="001428E9" w14:paraId="63944A83" w14:textId="39A2AB33">
        <w:tblPrEx>
          <w:tblCellMar>
            <w:top w:w="15" w:type="dxa"/>
            <w:bottom w:w="15" w:type="dxa"/>
          </w:tblCellMar>
          <w:tblLook w:val="04A0" w:firstRow="1" w:lastRow="0" w:firstColumn="1" w:lastColumn="0" w:noHBand="0" w:noVBand="1"/>
        </w:tblPrEx>
        <w:trPr>
          <w:trHeight w:val="20"/>
        </w:trPr>
        <w:tc>
          <w:tcPr>
            <w:tcW w:w="1271" w:type="dxa"/>
            <w:gridSpan w:val="2"/>
            <w:vMerge/>
          </w:tcPr>
          <w:p w14:paraId="1ED6BC9D" w14:textId="187ACA59" w:rsidR="002A187F" w:rsidRPr="001428E9" w:rsidRDefault="002A187F">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F0EA78E" w14:textId="66B5738B" w:rsidR="002A187F" w:rsidRDefault="002A187F">
            <w:pPr>
              <w:keepLines/>
              <w:rPr>
                <w:rFonts w:ascii="Arial Narrow" w:eastAsia="Calibri" w:hAnsi="Arial Narrow"/>
                <w:sz w:val="20"/>
                <w:szCs w:val="20"/>
              </w:rPr>
            </w:pPr>
            <w:r>
              <w:rPr>
                <w:rFonts w:ascii="Arial Narrow" w:hAnsi="Arial Narrow"/>
                <w:b/>
                <w:sz w:val="20"/>
                <w:szCs w:val="20"/>
              </w:rPr>
              <w:t xml:space="preserve">Authority type: </w:t>
            </w:r>
          </w:p>
          <w:p w14:paraId="603EC83A" w14:textId="2C1841D7" w:rsidR="002A187F" w:rsidRPr="00A65248" w:rsidRDefault="002A187F">
            <w:pPr>
              <w:keepLines/>
              <w:rPr>
                <w:rFonts w:ascii="Arial Narrow" w:hAnsi="Arial Narrow"/>
                <w:b/>
                <w:color w:val="FF0000"/>
                <w:sz w:val="20"/>
                <w:szCs w:val="20"/>
              </w:rPr>
            </w:pP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Complex Authority Required (CAR)</w:t>
            </w:r>
          </w:p>
        </w:tc>
      </w:tr>
      <w:tr w:rsidR="002A187F" w:rsidRPr="001428E9" w14:paraId="5E569F27" w14:textId="524068EE">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4AFB5D94" w14:textId="3EA77A02" w:rsidR="002A187F" w:rsidRPr="001428E9" w:rsidRDefault="002A187F">
            <w:pPr>
              <w:jc w:val="center"/>
              <w:rPr>
                <w:rFonts w:ascii="Arial Narrow" w:hAnsi="Arial Narrow"/>
                <w:sz w:val="20"/>
                <w:szCs w:val="20"/>
              </w:rPr>
            </w:pPr>
          </w:p>
        </w:tc>
        <w:tc>
          <w:tcPr>
            <w:tcW w:w="784" w:type="dxa"/>
            <w:vAlign w:val="center"/>
          </w:tcPr>
          <w:p w14:paraId="2841D660" w14:textId="3A008514" w:rsidR="002A187F" w:rsidRPr="006D0315" w:rsidRDefault="002A187F">
            <w:pPr>
              <w:jc w:val="center"/>
              <w:rPr>
                <w:rFonts w:ascii="Arial Narrow" w:hAnsi="Arial Narrow"/>
                <w:i/>
                <w:iCs/>
                <w:color w:val="333333"/>
                <w:sz w:val="20"/>
                <w:szCs w:val="20"/>
              </w:rPr>
            </w:pPr>
          </w:p>
        </w:tc>
        <w:tc>
          <w:tcPr>
            <w:tcW w:w="7745" w:type="dxa"/>
            <w:gridSpan w:val="6"/>
            <w:vAlign w:val="center"/>
          </w:tcPr>
          <w:p w14:paraId="00C9F207" w14:textId="487BD8FE" w:rsidR="002A187F" w:rsidRPr="006D0315" w:rsidRDefault="002A187F">
            <w:pPr>
              <w:rPr>
                <w:rFonts w:ascii="Arial Narrow" w:hAnsi="Arial Narrow"/>
                <w:i/>
                <w:iCs/>
                <w:color w:val="333333"/>
                <w:sz w:val="20"/>
                <w:szCs w:val="20"/>
              </w:rPr>
            </w:pPr>
            <w:r w:rsidRPr="006D0315">
              <w:rPr>
                <w:rFonts w:ascii="Arial Narrow" w:hAnsi="Arial Narrow"/>
                <w:b/>
                <w:bCs/>
                <w:i/>
                <w:iCs/>
                <w:sz w:val="20"/>
                <w:szCs w:val="20"/>
              </w:rPr>
              <w:t xml:space="preserve">Administrative Advice: </w:t>
            </w:r>
            <w:r w:rsidRPr="006D0315">
              <w:rPr>
                <w:rFonts w:ascii="Arial Narrow" w:hAnsi="Arial Narrow"/>
                <w:bCs/>
                <w:i/>
                <w:iCs/>
                <w:sz w:val="20"/>
                <w:szCs w:val="20"/>
              </w:rPr>
              <w:t>No increase in the maximum quantity or number of units may be authorised.</w:t>
            </w:r>
          </w:p>
        </w:tc>
      </w:tr>
      <w:tr w:rsidR="002A187F" w:rsidRPr="001428E9" w14:paraId="65986C8C" w14:textId="5991A4C9">
        <w:tblPrEx>
          <w:tblCellMar>
            <w:top w:w="15" w:type="dxa"/>
            <w:bottom w:w="15" w:type="dxa"/>
          </w:tblCellMar>
          <w:tblLook w:val="04A0" w:firstRow="1" w:lastRow="0" w:firstColumn="1" w:lastColumn="0" w:noHBand="0" w:noVBand="1"/>
        </w:tblPrEx>
        <w:trPr>
          <w:trHeight w:val="20"/>
        </w:trPr>
        <w:tc>
          <w:tcPr>
            <w:tcW w:w="487" w:type="dxa"/>
            <w:vMerge/>
          </w:tcPr>
          <w:p w14:paraId="3C24863E" w14:textId="0C065871" w:rsidR="002A187F" w:rsidRPr="001428E9" w:rsidRDefault="002A187F">
            <w:pPr>
              <w:rPr>
                <w:rFonts w:ascii="Arial Narrow" w:hAnsi="Arial Narrow"/>
                <w:sz w:val="20"/>
                <w:szCs w:val="20"/>
              </w:rPr>
            </w:pPr>
          </w:p>
        </w:tc>
        <w:tc>
          <w:tcPr>
            <w:tcW w:w="784" w:type="dxa"/>
            <w:tcBorders>
              <w:left w:val="single" w:sz="4" w:space="0" w:color="auto"/>
            </w:tcBorders>
            <w:vAlign w:val="center"/>
          </w:tcPr>
          <w:p w14:paraId="603ECD1E" w14:textId="40FE2EC0" w:rsidR="002A187F" w:rsidRPr="006D0315" w:rsidRDefault="002A187F">
            <w:pPr>
              <w:jc w:val="center"/>
              <w:rPr>
                <w:rFonts w:ascii="Arial Narrow" w:hAnsi="Arial Narrow"/>
                <w:i/>
                <w:iCs/>
                <w:color w:val="333333"/>
                <w:sz w:val="20"/>
                <w:szCs w:val="20"/>
              </w:rPr>
            </w:pPr>
          </w:p>
        </w:tc>
        <w:tc>
          <w:tcPr>
            <w:tcW w:w="7745" w:type="dxa"/>
            <w:gridSpan w:val="6"/>
            <w:vAlign w:val="center"/>
          </w:tcPr>
          <w:p w14:paraId="644FD482" w14:textId="59457B22" w:rsidR="002A187F" w:rsidRPr="006D0315" w:rsidRDefault="002A187F">
            <w:pPr>
              <w:rPr>
                <w:rFonts w:ascii="Arial Narrow" w:hAnsi="Arial Narrow"/>
                <w:b/>
                <w:bCs/>
                <w:i/>
                <w:iCs/>
                <w:color w:val="333333"/>
                <w:sz w:val="20"/>
                <w:szCs w:val="20"/>
              </w:rPr>
            </w:pPr>
            <w:r w:rsidRPr="006D0315">
              <w:rPr>
                <w:rFonts w:ascii="Arial Narrow" w:hAnsi="Arial Narrow"/>
                <w:b/>
                <w:bCs/>
                <w:i/>
                <w:iCs/>
                <w:sz w:val="20"/>
                <w:szCs w:val="20"/>
              </w:rPr>
              <w:t xml:space="preserve">Administrative Advice: </w:t>
            </w:r>
            <w:r w:rsidRPr="006D0315">
              <w:rPr>
                <w:rFonts w:ascii="Arial Narrow" w:hAnsi="Arial Narrow"/>
                <w:bCs/>
                <w:i/>
                <w:iCs/>
                <w:sz w:val="20"/>
                <w:szCs w:val="20"/>
              </w:rPr>
              <w:t>No increase in the maximum number of repeats may be authorised.</w:t>
            </w:r>
          </w:p>
        </w:tc>
      </w:tr>
      <w:tr w:rsidR="002A187F" w:rsidRPr="001428E9" w14:paraId="5B859884" w14:textId="2816B17A">
        <w:tblPrEx>
          <w:tblCellMar>
            <w:top w:w="15" w:type="dxa"/>
            <w:bottom w:w="15" w:type="dxa"/>
          </w:tblCellMar>
          <w:tblLook w:val="04A0" w:firstRow="1" w:lastRow="0" w:firstColumn="1" w:lastColumn="0" w:noHBand="0" w:noVBand="1"/>
        </w:tblPrEx>
        <w:trPr>
          <w:trHeight w:val="20"/>
        </w:trPr>
        <w:tc>
          <w:tcPr>
            <w:tcW w:w="487" w:type="dxa"/>
            <w:vMerge/>
          </w:tcPr>
          <w:p w14:paraId="2389113A" w14:textId="436BA044" w:rsidR="002A187F" w:rsidRPr="001428E9" w:rsidRDefault="002A187F">
            <w:pPr>
              <w:rPr>
                <w:rFonts w:ascii="Arial Narrow" w:hAnsi="Arial Narrow"/>
                <w:sz w:val="20"/>
                <w:szCs w:val="20"/>
              </w:rPr>
            </w:pPr>
          </w:p>
        </w:tc>
        <w:tc>
          <w:tcPr>
            <w:tcW w:w="784" w:type="dxa"/>
            <w:tcBorders>
              <w:left w:val="single" w:sz="4" w:space="0" w:color="auto"/>
            </w:tcBorders>
            <w:vAlign w:val="center"/>
          </w:tcPr>
          <w:p w14:paraId="5C6693CB" w14:textId="72545776" w:rsidR="002A187F" w:rsidRPr="006D0315" w:rsidRDefault="002A187F">
            <w:pPr>
              <w:jc w:val="center"/>
              <w:rPr>
                <w:rFonts w:ascii="Arial Narrow" w:hAnsi="Arial Narrow"/>
                <w:i/>
                <w:iCs/>
                <w:color w:val="333333"/>
                <w:sz w:val="20"/>
                <w:szCs w:val="20"/>
              </w:rPr>
            </w:pPr>
          </w:p>
        </w:tc>
        <w:tc>
          <w:tcPr>
            <w:tcW w:w="7745" w:type="dxa"/>
            <w:gridSpan w:val="6"/>
            <w:vAlign w:val="center"/>
          </w:tcPr>
          <w:p w14:paraId="6640B5A6" w14:textId="1C5C9D99" w:rsidR="002A187F" w:rsidRPr="006D0315" w:rsidRDefault="002A187F">
            <w:pPr>
              <w:rPr>
                <w:rFonts w:ascii="Arial Narrow" w:hAnsi="Arial Narrow"/>
                <w:b/>
                <w:bCs/>
                <w:i/>
                <w:iCs/>
                <w:color w:val="333333"/>
                <w:sz w:val="20"/>
                <w:szCs w:val="20"/>
              </w:rPr>
            </w:pPr>
            <w:r w:rsidRPr="006D0315">
              <w:rPr>
                <w:rFonts w:ascii="Arial Narrow" w:hAnsi="Arial Narrow"/>
                <w:b/>
                <w:bCs/>
                <w:i/>
                <w:iCs/>
                <w:sz w:val="20"/>
                <w:szCs w:val="20"/>
              </w:rPr>
              <w:t xml:space="preserve">Administrative Advice: </w:t>
            </w:r>
            <w:r w:rsidRPr="006D0315">
              <w:rPr>
                <w:rFonts w:ascii="Arial Narrow" w:hAnsi="Arial Narrow"/>
                <w:bCs/>
                <w:i/>
                <w:iCs/>
                <w:sz w:val="20"/>
                <w:szCs w:val="20"/>
              </w:rPr>
              <w:t>Special Pricing Arrangements apply.</w:t>
            </w:r>
          </w:p>
        </w:tc>
      </w:tr>
      <w:tr w:rsidR="002A187F" w:rsidRPr="001428E9" w14:paraId="2243838E" w14:textId="524F07CE">
        <w:tblPrEx>
          <w:tblCellMar>
            <w:top w:w="15" w:type="dxa"/>
            <w:bottom w:w="15" w:type="dxa"/>
          </w:tblCellMar>
          <w:tblLook w:val="04A0" w:firstRow="1" w:lastRow="0" w:firstColumn="1" w:lastColumn="0" w:noHBand="0" w:noVBand="1"/>
        </w:tblPrEx>
        <w:trPr>
          <w:trHeight w:val="20"/>
        </w:trPr>
        <w:tc>
          <w:tcPr>
            <w:tcW w:w="487" w:type="dxa"/>
            <w:vMerge/>
          </w:tcPr>
          <w:p w14:paraId="2F38D96B" w14:textId="09A36652" w:rsidR="002A187F" w:rsidRPr="001428E9" w:rsidRDefault="002A187F">
            <w:pPr>
              <w:rPr>
                <w:rFonts w:ascii="Arial Narrow" w:hAnsi="Arial Narrow"/>
                <w:sz w:val="20"/>
                <w:szCs w:val="20"/>
              </w:rPr>
            </w:pPr>
          </w:p>
        </w:tc>
        <w:tc>
          <w:tcPr>
            <w:tcW w:w="784" w:type="dxa"/>
            <w:tcBorders>
              <w:left w:val="single" w:sz="4" w:space="0" w:color="auto"/>
            </w:tcBorders>
            <w:vAlign w:val="center"/>
          </w:tcPr>
          <w:p w14:paraId="32F9B311" w14:textId="28AC304C" w:rsidR="002A187F" w:rsidRPr="006D0315" w:rsidRDefault="002A187F">
            <w:pPr>
              <w:jc w:val="center"/>
              <w:rPr>
                <w:rFonts w:ascii="Arial Narrow" w:hAnsi="Arial Narrow"/>
                <w:bCs/>
                <w:i/>
                <w:iCs/>
                <w:sz w:val="20"/>
                <w:szCs w:val="20"/>
              </w:rPr>
            </w:pPr>
          </w:p>
        </w:tc>
        <w:tc>
          <w:tcPr>
            <w:tcW w:w="7745" w:type="dxa"/>
            <w:gridSpan w:val="6"/>
            <w:vAlign w:val="center"/>
          </w:tcPr>
          <w:p w14:paraId="30575ACF" w14:textId="2684DE40" w:rsidR="002A187F" w:rsidRPr="006D0315" w:rsidRDefault="002A187F">
            <w:pPr>
              <w:rPr>
                <w:rFonts w:ascii="Arial Narrow" w:hAnsi="Arial Narrow"/>
                <w:b/>
                <w:bCs/>
                <w:i/>
                <w:iCs/>
                <w:sz w:val="20"/>
                <w:szCs w:val="20"/>
              </w:rPr>
            </w:pPr>
            <w:r w:rsidRPr="006D0315">
              <w:rPr>
                <w:rFonts w:ascii="Arial Narrow" w:hAnsi="Arial Narrow"/>
                <w:b/>
                <w:bCs/>
                <w:i/>
                <w:iCs/>
                <w:sz w:val="20"/>
                <w:szCs w:val="20"/>
              </w:rPr>
              <w:t>Administrative Advice:</w:t>
            </w:r>
            <w:r w:rsidRPr="000B4930">
              <w:rPr>
                <w:rFonts w:ascii="Open Sans" w:hAnsi="Open Sans" w:cs="Open Sans"/>
                <w:color w:val="333333"/>
                <w:sz w:val="22"/>
                <w:szCs w:val="22"/>
                <w:shd w:val="clear" w:color="auto" w:fill="FFFFFF"/>
              </w:rPr>
              <w:t xml:space="preserve"> </w:t>
            </w:r>
            <w:r w:rsidRPr="00063369">
              <w:rPr>
                <w:rFonts w:ascii="Arial Narrow" w:hAnsi="Arial Narrow"/>
                <w:i/>
                <w:iCs/>
                <w:sz w:val="20"/>
                <w:szCs w:val="20"/>
              </w:rPr>
              <w:t>The length of a break in therapy is measured from the date that the relevant PBS-subsidised medicine listed for this PBS indication is ceased during the most recent treatment cycle, until the date of the subsequent application for treatment under a new treatment cycle.</w:t>
            </w:r>
          </w:p>
        </w:tc>
      </w:tr>
      <w:tr w:rsidR="00E8499B" w:rsidRPr="001428E9" w14:paraId="1EFCD2FD" w14:textId="77777777">
        <w:tblPrEx>
          <w:tblCellMar>
            <w:top w:w="15" w:type="dxa"/>
            <w:bottom w:w="15" w:type="dxa"/>
          </w:tblCellMar>
          <w:tblLook w:val="04A0" w:firstRow="1" w:lastRow="0" w:firstColumn="1" w:lastColumn="0" w:noHBand="0" w:noVBand="1"/>
        </w:tblPrEx>
        <w:trPr>
          <w:trHeight w:val="20"/>
        </w:trPr>
        <w:tc>
          <w:tcPr>
            <w:tcW w:w="487" w:type="dxa"/>
          </w:tcPr>
          <w:p w14:paraId="2129146E" w14:textId="77777777" w:rsidR="00E8499B" w:rsidRPr="001428E9" w:rsidRDefault="00E8499B">
            <w:pPr>
              <w:rPr>
                <w:rFonts w:ascii="Arial Narrow" w:hAnsi="Arial Narrow"/>
                <w:sz w:val="20"/>
                <w:szCs w:val="20"/>
              </w:rPr>
            </w:pPr>
          </w:p>
        </w:tc>
        <w:tc>
          <w:tcPr>
            <w:tcW w:w="784" w:type="dxa"/>
            <w:tcBorders>
              <w:left w:val="single" w:sz="4" w:space="0" w:color="auto"/>
            </w:tcBorders>
            <w:vAlign w:val="center"/>
          </w:tcPr>
          <w:p w14:paraId="40017ADB" w14:textId="77777777" w:rsidR="00E8499B" w:rsidRDefault="00E8499B">
            <w:pPr>
              <w:jc w:val="center"/>
              <w:rPr>
                <w:rFonts w:ascii="Arial Narrow" w:hAnsi="Arial Narrow"/>
                <w:bCs/>
                <w:i/>
                <w:iCs/>
                <w:sz w:val="20"/>
                <w:szCs w:val="20"/>
              </w:rPr>
            </w:pPr>
          </w:p>
        </w:tc>
        <w:tc>
          <w:tcPr>
            <w:tcW w:w="7745" w:type="dxa"/>
            <w:gridSpan w:val="6"/>
            <w:vAlign w:val="center"/>
          </w:tcPr>
          <w:p w14:paraId="13D2F48F" w14:textId="77777777" w:rsidR="00E8499B" w:rsidRPr="006D0315" w:rsidRDefault="00E8499B">
            <w:pPr>
              <w:rPr>
                <w:rFonts w:ascii="Arial Narrow" w:hAnsi="Arial Narrow"/>
                <w:b/>
                <w:bCs/>
                <w:i/>
                <w:iCs/>
                <w:sz w:val="20"/>
                <w:szCs w:val="20"/>
              </w:rPr>
            </w:pPr>
          </w:p>
        </w:tc>
      </w:tr>
      <w:tr w:rsidR="002A187F" w:rsidRPr="001428E9" w14:paraId="7C647C4B" w14:textId="36B8DA22" w:rsidTr="007A13F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31A9596" w14:textId="70C592C5" w:rsidR="002A187F" w:rsidRPr="001428E9" w:rsidRDefault="002A187F">
            <w:pPr>
              <w:keepLines/>
              <w:jc w:val="center"/>
              <w:rPr>
                <w:rFonts w:ascii="Arial Narrow" w:hAnsi="Arial Narrow"/>
                <w:color w:val="333333"/>
                <w:sz w:val="20"/>
                <w:szCs w:val="20"/>
              </w:rPr>
            </w:pPr>
          </w:p>
        </w:tc>
        <w:tc>
          <w:tcPr>
            <w:tcW w:w="7745" w:type="dxa"/>
            <w:gridSpan w:val="6"/>
            <w:vAlign w:val="center"/>
            <w:hideMark/>
          </w:tcPr>
          <w:p w14:paraId="7DE95B67" w14:textId="7CADE861" w:rsidR="002A187F" w:rsidRPr="001428E9" w:rsidRDefault="002A187F" w:rsidP="007A13F3">
            <w:pPr>
              <w:keepLines/>
              <w:rPr>
                <w:rFonts w:ascii="Arial Narrow" w:hAnsi="Arial Narrow"/>
                <w:color w:val="333333"/>
                <w:sz w:val="20"/>
                <w:szCs w:val="20"/>
              </w:rPr>
            </w:pPr>
            <w:r w:rsidRPr="44072162">
              <w:rPr>
                <w:rFonts w:ascii="Arial Narrow" w:hAnsi="Arial Narrow"/>
                <w:b/>
                <w:bCs/>
                <w:color w:val="333333"/>
                <w:sz w:val="20"/>
                <w:szCs w:val="20"/>
              </w:rPr>
              <w:t>Indication:</w:t>
            </w:r>
            <w:r w:rsidRPr="44072162">
              <w:rPr>
                <w:rFonts w:ascii="Arial Narrow" w:hAnsi="Arial Narrow"/>
                <w:color w:val="333333"/>
                <w:sz w:val="20"/>
                <w:szCs w:val="20"/>
              </w:rPr>
              <w:t xml:space="preserve"> Chronic rhinosinusitis with nasal polyps (</w:t>
            </w:r>
            <w:proofErr w:type="spellStart"/>
            <w:r w:rsidRPr="44072162">
              <w:rPr>
                <w:rFonts w:ascii="Arial Narrow" w:hAnsi="Arial Narrow"/>
                <w:color w:val="333333"/>
                <w:sz w:val="20"/>
                <w:szCs w:val="20"/>
              </w:rPr>
              <w:t>CRSwNP</w:t>
            </w:r>
            <w:proofErr w:type="spellEnd"/>
            <w:r w:rsidRPr="44072162">
              <w:rPr>
                <w:rFonts w:ascii="Arial Narrow" w:hAnsi="Arial Narrow"/>
                <w:color w:val="333333"/>
                <w:sz w:val="20"/>
                <w:szCs w:val="20"/>
              </w:rPr>
              <w:t>)</w:t>
            </w:r>
          </w:p>
        </w:tc>
      </w:tr>
      <w:tr w:rsidR="002A187F" w:rsidRPr="001428E9" w14:paraId="31E2164B" w14:textId="1E264183" w:rsidTr="007A13F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6014F72" w14:textId="6C951ECB" w:rsidR="002A187F" w:rsidRPr="001428E9" w:rsidRDefault="002A187F">
            <w:pPr>
              <w:jc w:val="center"/>
              <w:rPr>
                <w:rFonts w:ascii="Arial Narrow" w:hAnsi="Arial Narrow"/>
                <w:color w:val="333333"/>
                <w:sz w:val="20"/>
                <w:szCs w:val="20"/>
              </w:rPr>
            </w:pPr>
          </w:p>
        </w:tc>
        <w:tc>
          <w:tcPr>
            <w:tcW w:w="7745" w:type="dxa"/>
            <w:gridSpan w:val="6"/>
            <w:vAlign w:val="center"/>
            <w:hideMark/>
          </w:tcPr>
          <w:p w14:paraId="6B51882D" w14:textId="7D96D2E9" w:rsidR="002A187F" w:rsidRPr="001428E9" w:rsidRDefault="002A187F" w:rsidP="007A13F3">
            <w:pPr>
              <w:rPr>
                <w:rFonts w:ascii="Arial Narrow" w:hAnsi="Arial Narrow"/>
                <w:sz w:val="20"/>
                <w:szCs w:val="20"/>
              </w:rPr>
            </w:pPr>
            <w:r w:rsidRPr="001428E9">
              <w:rPr>
                <w:rFonts w:ascii="Arial Narrow" w:hAnsi="Arial Narrow"/>
                <w:b/>
                <w:bCs/>
                <w:color w:val="333333"/>
                <w:sz w:val="20"/>
                <w:szCs w:val="20"/>
              </w:rPr>
              <w:t>Treatment Phase</w:t>
            </w:r>
            <w:r w:rsidRPr="000B47A2">
              <w:rPr>
                <w:rFonts w:ascii="Arial Narrow" w:hAnsi="Arial Narrow"/>
                <w:b/>
                <w:bCs/>
                <w:sz w:val="20"/>
                <w:szCs w:val="20"/>
              </w:rPr>
              <w:t>:</w:t>
            </w:r>
            <w:r w:rsidRPr="000B47A2">
              <w:rPr>
                <w:rFonts w:ascii="Arial Narrow" w:hAnsi="Arial Narrow"/>
                <w:sz w:val="20"/>
                <w:szCs w:val="20"/>
              </w:rPr>
              <w:t xml:space="preserve"> Initial treatment</w:t>
            </w:r>
          </w:p>
        </w:tc>
      </w:tr>
      <w:tr w:rsidR="002A187F" w:rsidRPr="001428E9" w14:paraId="70C9FC22" w14:textId="258A691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97DFD1C" w14:textId="669C947D" w:rsidR="002A187F" w:rsidRPr="001428E9" w:rsidRDefault="002A187F">
            <w:pPr>
              <w:jc w:val="center"/>
              <w:rPr>
                <w:rFonts w:ascii="Arial Narrow" w:hAnsi="Arial Narrow"/>
                <w:color w:val="333333"/>
                <w:sz w:val="20"/>
                <w:szCs w:val="20"/>
              </w:rPr>
            </w:pPr>
          </w:p>
        </w:tc>
        <w:tc>
          <w:tcPr>
            <w:tcW w:w="7745" w:type="dxa"/>
            <w:gridSpan w:val="6"/>
            <w:vAlign w:val="center"/>
            <w:hideMark/>
          </w:tcPr>
          <w:p w14:paraId="0163E80D" w14:textId="5C96F038" w:rsidR="002A187F" w:rsidRPr="001428E9" w:rsidRDefault="002A187F" w:rsidP="007A13F3">
            <w:pPr>
              <w:rPr>
                <w:rFonts w:ascii="Arial Narrow" w:hAnsi="Arial Narrow"/>
                <w:sz w:val="20"/>
                <w:szCs w:val="20"/>
              </w:rPr>
            </w:pPr>
            <w:r w:rsidRPr="001428E9">
              <w:rPr>
                <w:rFonts w:ascii="Arial Narrow" w:hAnsi="Arial Narrow"/>
                <w:b/>
                <w:bCs/>
                <w:color w:val="333333"/>
                <w:sz w:val="20"/>
                <w:szCs w:val="20"/>
              </w:rPr>
              <w:t xml:space="preserve">Clinical criteria: </w:t>
            </w:r>
          </w:p>
        </w:tc>
      </w:tr>
      <w:tr w:rsidR="002A187F" w:rsidRPr="001428E9" w14:paraId="6B6CAC64" w14:textId="50C5F07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FDA9426" w14:textId="1FF9623E" w:rsidR="002A187F" w:rsidRPr="001428E9" w:rsidRDefault="002A187F">
            <w:pPr>
              <w:jc w:val="center"/>
              <w:rPr>
                <w:rFonts w:ascii="Arial Narrow" w:hAnsi="Arial Narrow"/>
                <w:color w:val="333333"/>
                <w:sz w:val="20"/>
                <w:szCs w:val="20"/>
              </w:rPr>
            </w:pPr>
          </w:p>
        </w:tc>
        <w:tc>
          <w:tcPr>
            <w:tcW w:w="7745" w:type="dxa"/>
            <w:gridSpan w:val="6"/>
            <w:vAlign w:val="center"/>
            <w:hideMark/>
          </w:tcPr>
          <w:p w14:paraId="4F72351E" w14:textId="5F36B4E0" w:rsidR="002A187F" w:rsidRPr="00E94023" w:rsidRDefault="002A187F" w:rsidP="007A13F3">
            <w:pPr>
              <w:pStyle w:val="PBACTabletext"/>
              <w:spacing w:after="0"/>
            </w:pPr>
            <w:r w:rsidRPr="44072162">
              <w:t xml:space="preserve">Patient must have a diagnosis of </w:t>
            </w:r>
            <w:proofErr w:type="spellStart"/>
            <w:r w:rsidRPr="44072162">
              <w:t>CRSwNP</w:t>
            </w:r>
            <w:proofErr w:type="spellEnd"/>
            <w:r w:rsidRPr="44072162">
              <w:t xml:space="preserve"> confirmed by at least one of: (</w:t>
            </w:r>
            <w:proofErr w:type="spellStart"/>
            <w:r w:rsidRPr="44072162">
              <w:t>i</w:t>
            </w:r>
            <w:proofErr w:type="spellEnd"/>
            <w:r w:rsidRPr="44072162">
              <w:t>) nasal endoscopy, (ii) computed tomography (CT) scan, with the results documented in the patient’s medical records</w:t>
            </w:r>
          </w:p>
        </w:tc>
      </w:tr>
      <w:tr w:rsidR="002A187F" w:rsidRPr="001428E9" w14:paraId="0F6BC6A8" w14:textId="5187236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31E7921" w14:textId="54A7893B" w:rsidR="002A187F" w:rsidRPr="001428E9" w:rsidRDefault="002A187F">
            <w:pPr>
              <w:jc w:val="center"/>
              <w:rPr>
                <w:rFonts w:ascii="Arial Narrow" w:hAnsi="Arial Narrow"/>
                <w:color w:val="333333"/>
                <w:sz w:val="20"/>
                <w:szCs w:val="20"/>
              </w:rPr>
            </w:pPr>
          </w:p>
        </w:tc>
        <w:tc>
          <w:tcPr>
            <w:tcW w:w="7745" w:type="dxa"/>
            <w:gridSpan w:val="6"/>
            <w:vAlign w:val="center"/>
          </w:tcPr>
          <w:p w14:paraId="0319CA1F" w14:textId="0A9D59B5" w:rsidR="002A187F" w:rsidRPr="00E94023" w:rsidRDefault="002A187F" w:rsidP="007A13F3">
            <w:pPr>
              <w:pStyle w:val="PBACTabletext"/>
              <w:spacing w:after="0"/>
              <w:rPr>
                <w:b/>
                <w:bCs/>
              </w:rPr>
            </w:pPr>
            <w:r>
              <w:rPr>
                <w:b/>
                <w:bCs/>
              </w:rPr>
              <w:t>OR</w:t>
            </w:r>
          </w:p>
        </w:tc>
      </w:tr>
      <w:tr w:rsidR="002A187F" w:rsidRPr="001428E9" w14:paraId="22CAD1D5" w14:textId="5290CD9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4B0C1C6" w14:textId="3D3AAE67" w:rsidR="002A187F" w:rsidRPr="001428E9" w:rsidRDefault="002A187F">
            <w:pPr>
              <w:jc w:val="center"/>
              <w:rPr>
                <w:rFonts w:ascii="Arial Narrow" w:hAnsi="Arial Narrow"/>
                <w:color w:val="333333"/>
                <w:sz w:val="20"/>
                <w:szCs w:val="20"/>
              </w:rPr>
            </w:pPr>
          </w:p>
        </w:tc>
        <w:tc>
          <w:tcPr>
            <w:tcW w:w="7745" w:type="dxa"/>
            <w:gridSpan w:val="6"/>
            <w:vAlign w:val="center"/>
          </w:tcPr>
          <w:p w14:paraId="7C068FE2" w14:textId="15860C41" w:rsidR="002A187F" w:rsidRPr="00575A27" w:rsidRDefault="002A187F" w:rsidP="007A13F3">
            <w:pPr>
              <w:pStyle w:val="PBACTabletext"/>
              <w:spacing w:after="0"/>
            </w:pPr>
            <w:r w:rsidRPr="44072162">
              <w:t xml:space="preserve">Patient must have had a diagnosis of </w:t>
            </w:r>
            <w:proofErr w:type="spellStart"/>
            <w:r w:rsidRPr="44072162">
              <w:t>CRSwNP</w:t>
            </w:r>
            <w:proofErr w:type="spellEnd"/>
            <w:r w:rsidRPr="44072162">
              <w:t xml:space="preserve"> from at least two physicians of the </w:t>
            </w:r>
            <w:proofErr w:type="gramStart"/>
            <w:r w:rsidRPr="44072162">
              <w:t>above mentioned</w:t>
            </w:r>
            <w:proofErr w:type="gramEnd"/>
            <w:r w:rsidRPr="44072162">
              <w:t xml:space="preserve"> prescriber types</w:t>
            </w:r>
          </w:p>
        </w:tc>
      </w:tr>
      <w:tr w:rsidR="002A187F" w:rsidRPr="001428E9" w14:paraId="16954754" w14:textId="4FD5E30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9E08E40" w14:textId="182CDC20" w:rsidR="002A187F" w:rsidRPr="001428E9" w:rsidRDefault="002A187F">
            <w:pPr>
              <w:jc w:val="center"/>
              <w:rPr>
                <w:rFonts w:ascii="Arial Narrow" w:hAnsi="Arial Narrow"/>
                <w:color w:val="333333"/>
                <w:sz w:val="20"/>
                <w:szCs w:val="20"/>
              </w:rPr>
            </w:pPr>
          </w:p>
        </w:tc>
        <w:tc>
          <w:tcPr>
            <w:tcW w:w="7745" w:type="dxa"/>
            <w:gridSpan w:val="6"/>
            <w:vAlign w:val="center"/>
          </w:tcPr>
          <w:p w14:paraId="16BE1E18" w14:textId="48466678" w:rsidR="002A187F" w:rsidRPr="00575A27" w:rsidRDefault="002A187F" w:rsidP="007A13F3">
            <w:pPr>
              <w:pStyle w:val="PBACTabletext"/>
              <w:spacing w:after="0"/>
            </w:pPr>
            <w:r w:rsidRPr="001428E9">
              <w:rPr>
                <w:rFonts w:eastAsia="Times New Roman"/>
                <w:b/>
                <w:bCs/>
                <w:color w:val="333333"/>
                <w:lang w:eastAsia="en-AU"/>
              </w:rPr>
              <w:t>AND</w:t>
            </w:r>
          </w:p>
        </w:tc>
      </w:tr>
      <w:tr w:rsidR="002A187F" w:rsidRPr="001428E9" w14:paraId="2F949FD5" w14:textId="33D7B83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7DE155D" w14:textId="0F418302" w:rsidR="002A187F" w:rsidRPr="001428E9" w:rsidRDefault="002A187F">
            <w:pPr>
              <w:jc w:val="center"/>
              <w:rPr>
                <w:rFonts w:ascii="Arial Narrow" w:hAnsi="Arial Narrow"/>
                <w:color w:val="333333"/>
                <w:sz w:val="20"/>
                <w:szCs w:val="20"/>
              </w:rPr>
            </w:pPr>
          </w:p>
        </w:tc>
        <w:tc>
          <w:tcPr>
            <w:tcW w:w="7745" w:type="dxa"/>
            <w:gridSpan w:val="6"/>
            <w:vAlign w:val="center"/>
          </w:tcPr>
          <w:p w14:paraId="1DE6854D" w14:textId="48B07079" w:rsidR="002A187F" w:rsidRPr="00575A27" w:rsidRDefault="002A187F" w:rsidP="007A13F3">
            <w:pPr>
              <w:pStyle w:val="PBACTabletext"/>
              <w:spacing w:after="0"/>
            </w:pPr>
            <w:r w:rsidRPr="001428E9">
              <w:rPr>
                <w:rFonts w:eastAsia="Times New Roman"/>
                <w:b/>
                <w:bCs/>
                <w:color w:val="333333"/>
                <w:lang w:eastAsia="en-AU"/>
              </w:rPr>
              <w:t>Clinical criteria:</w:t>
            </w:r>
          </w:p>
        </w:tc>
      </w:tr>
      <w:tr w:rsidR="002A187F" w:rsidRPr="001428E9" w14:paraId="1D4F8AF7" w14:textId="097BE2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3C48571" w14:textId="5F4B922E" w:rsidR="002A187F" w:rsidRPr="001428E9" w:rsidRDefault="002A187F">
            <w:pPr>
              <w:jc w:val="center"/>
              <w:rPr>
                <w:rFonts w:ascii="Arial Narrow" w:hAnsi="Arial Narrow"/>
                <w:color w:val="333333"/>
                <w:sz w:val="20"/>
                <w:szCs w:val="20"/>
              </w:rPr>
            </w:pPr>
          </w:p>
        </w:tc>
        <w:tc>
          <w:tcPr>
            <w:tcW w:w="7745" w:type="dxa"/>
            <w:gridSpan w:val="6"/>
            <w:vAlign w:val="center"/>
          </w:tcPr>
          <w:p w14:paraId="554042CD" w14:textId="2F707D19" w:rsidR="002A187F" w:rsidRPr="00575A27" w:rsidRDefault="002A187F" w:rsidP="007A13F3">
            <w:pPr>
              <w:pStyle w:val="PBACTabletext"/>
              <w:spacing w:after="0"/>
            </w:pPr>
            <w:r w:rsidRPr="00575A27">
              <w:t xml:space="preserve">Patient must have </w:t>
            </w:r>
            <w:r>
              <w:t>undergone surgery for the removal of nasal polyps</w:t>
            </w:r>
          </w:p>
        </w:tc>
      </w:tr>
      <w:tr w:rsidR="002A187F" w:rsidRPr="001428E9" w14:paraId="38EBD583" w14:textId="5EBE697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F92ED11" w14:textId="70BC81F2" w:rsidR="002A187F" w:rsidRPr="001428E9" w:rsidRDefault="002A187F">
            <w:pPr>
              <w:jc w:val="center"/>
              <w:rPr>
                <w:rFonts w:ascii="Arial Narrow" w:hAnsi="Arial Narrow"/>
                <w:color w:val="333333"/>
                <w:sz w:val="20"/>
                <w:szCs w:val="20"/>
              </w:rPr>
            </w:pPr>
          </w:p>
        </w:tc>
        <w:tc>
          <w:tcPr>
            <w:tcW w:w="7745" w:type="dxa"/>
            <w:gridSpan w:val="6"/>
            <w:vAlign w:val="center"/>
          </w:tcPr>
          <w:p w14:paraId="129D55A8" w14:textId="3733F157" w:rsidR="002A187F" w:rsidRPr="00575A27" w:rsidRDefault="002A187F" w:rsidP="007A13F3">
            <w:pPr>
              <w:pStyle w:val="PBACTabletext"/>
              <w:spacing w:after="0"/>
            </w:pPr>
            <w:r>
              <w:t>OR</w:t>
            </w:r>
          </w:p>
        </w:tc>
      </w:tr>
      <w:tr w:rsidR="002A187F" w:rsidRPr="001428E9" w14:paraId="28B33948" w14:textId="00937840">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A6AE75E" w14:textId="7133E03A" w:rsidR="002A187F" w:rsidRPr="001428E9" w:rsidRDefault="002A187F">
            <w:pPr>
              <w:jc w:val="center"/>
              <w:rPr>
                <w:rFonts w:ascii="Arial Narrow" w:hAnsi="Arial Narrow"/>
                <w:color w:val="333333"/>
                <w:sz w:val="20"/>
                <w:szCs w:val="20"/>
              </w:rPr>
            </w:pPr>
          </w:p>
        </w:tc>
        <w:tc>
          <w:tcPr>
            <w:tcW w:w="7745" w:type="dxa"/>
            <w:gridSpan w:val="6"/>
            <w:vAlign w:val="center"/>
          </w:tcPr>
          <w:p w14:paraId="023AE6C1" w14:textId="27DDBC74" w:rsidR="002A187F" w:rsidRPr="00575A27" w:rsidRDefault="002A187F" w:rsidP="007A13F3">
            <w:pPr>
              <w:pStyle w:val="PBACTabletext"/>
              <w:spacing w:after="0"/>
            </w:pPr>
            <w:r w:rsidRPr="44072162">
              <w:t xml:space="preserve">Patient must have the written advice from at least two physicians of the </w:t>
            </w:r>
            <w:proofErr w:type="gramStart"/>
            <w:r w:rsidRPr="44072162">
              <w:t>above mentioned</w:t>
            </w:r>
            <w:proofErr w:type="gramEnd"/>
            <w:r w:rsidRPr="44072162">
              <w:t xml:space="preserve"> prescriber types demonstrating inappropriateness for surgery,</w:t>
            </w:r>
          </w:p>
        </w:tc>
      </w:tr>
      <w:tr w:rsidR="002A187F" w:rsidRPr="001428E9" w14:paraId="4AB36F7A" w14:textId="0B24E04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EA9375A" w14:textId="3478D504" w:rsidR="002A187F" w:rsidRPr="001428E9" w:rsidRDefault="002A187F">
            <w:pPr>
              <w:jc w:val="center"/>
              <w:rPr>
                <w:rFonts w:ascii="Arial Narrow" w:hAnsi="Arial Narrow"/>
                <w:color w:val="333333"/>
                <w:sz w:val="20"/>
                <w:szCs w:val="20"/>
              </w:rPr>
            </w:pPr>
          </w:p>
        </w:tc>
        <w:tc>
          <w:tcPr>
            <w:tcW w:w="7745" w:type="dxa"/>
            <w:gridSpan w:val="6"/>
            <w:vAlign w:val="center"/>
          </w:tcPr>
          <w:p w14:paraId="3CBD7161" w14:textId="3E923C6C" w:rsidR="002A187F" w:rsidRPr="00575A27" w:rsidRDefault="002A187F" w:rsidP="007A13F3">
            <w:pPr>
              <w:pStyle w:val="PBACTabletext"/>
              <w:spacing w:after="0"/>
            </w:pPr>
            <w:r w:rsidRPr="001428E9">
              <w:rPr>
                <w:rFonts w:eastAsia="Times New Roman"/>
                <w:b/>
                <w:bCs/>
                <w:color w:val="333333"/>
                <w:lang w:eastAsia="en-AU"/>
              </w:rPr>
              <w:t>AND</w:t>
            </w:r>
          </w:p>
        </w:tc>
      </w:tr>
      <w:tr w:rsidR="002A187F" w:rsidRPr="001428E9" w14:paraId="31578A5F" w14:textId="2BE1A9C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0C881F8" w14:textId="6E2DF206" w:rsidR="002A187F" w:rsidRPr="001428E9" w:rsidRDefault="002A187F">
            <w:pPr>
              <w:jc w:val="center"/>
              <w:rPr>
                <w:rFonts w:ascii="Arial Narrow" w:hAnsi="Arial Narrow"/>
                <w:color w:val="333333"/>
                <w:sz w:val="20"/>
                <w:szCs w:val="20"/>
              </w:rPr>
            </w:pPr>
          </w:p>
        </w:tc>
        <w:tc>
          <w:tcPr>
            <w:tcW w:w="7745" w:type="dxa"/>
            <w:gridSpan w:val="6"/>
            <w:vAlign w:val="center"/>
          </w:tcPr>
          <w:p w14:paraId="072F0175" w14:textId="1F94D5FA" w:rsidR="002A187F" w:rsidRPr="00575A27" w:rsidRDefault="002A187F" w:rsidP="007A13F3">
            <w:pPr>
              <w:pStyle w:val="PBACTabletext"/>
              <w:spacing w:after="0"/>
            </w:pPr>
            <w:r w:rsidRPr="001428E9">
              <w:rPr>
                <w:rFonts w:eastAsia="Times New Roman"/>
                <w:b/>
                <w:bCs/>
                <w:color w:val="333333"/>
                <w:lang w:eastAsia="en-AU"/>
              </w:rPr>
              <w:t>Clinical criteria:</w:t>
            </w:r>
          </w:p>
        </w:tc>
      </w:tr>
      <w:tr w:rsidR="002A187F" w:rsidRPr="001428E9" w14:paraId="142738F7" w14:textId="33B2194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6642014" w14:textId="73AAD22D" w:rsidR="002A187F" w:rsidRPr="001428E9" w:rsidRDefault="002A187F">
            <w:pPr>
              <w:jc w:val="center"/>
              <w:rPr>
                <w:rFonts w:ascii="Arial Narrow" w:hAnsi="Arial Narrow"/>
                <w:color w:val="333333"/>
                <w:sz w:val="20"/>
                <w:szCs w:val="20"/>
              </w:rPr>
            </w:pPr>
          </w:p>
        </w:tc>
        <w:tc>
          <w:tcPr>
            <w:tcW w:w="7745" w:type="dxa"/>
            <w:gridSpan w:val="6"/>
            <w:vAlign w:val="center"/>
          </w:tcPr>
          <w:p w14:paraId="4A2F5045" w14:textId="6BB902EC" w:rsidR="002A187F" w:rsidRPr="00575A27" w:rsidRDefault="002A187F" w:rsidP="007A13F3">
            <w:pPr>
              <w:pStyle w:val="PBACTabletext"/>
              <w:spacing w:after="0"/>
            </w:pPr>
            <w:r w:rsidRPr="44072162">
              <w:t>Patient must have, despite optimised nasal polyp therapy, at least two of: (</w:t>
            </w:r>
            <w:proofErr w:type="spellStart"/>
            <w:r w:rsidRPr="44072162">
              <w:t>i</w:t>
            </w:r>
            <w:proofErr w:type="spellEnd"/>
            <w:r w:rsidRPr="44072162">
              <w:t>) bilateral endoscopic nasal polyp score of at least 5 (out of a maximum score of 8, with a minimum score of 2 in each nasal cavity), (ii) nasal obstruction visual analogue scale (VAS) score greater than 5 (out of a maximum score of 10), (iii) overall symptom VAS score greater than 7 (out of a maximum score of 10),</w:t>
            </w:r>
          </w:p>
        </w:tc>
      </w:tr>
      <w:tr w:rsidR="002A187F" w:rsidRPr="001428E9" w14:paraId="67458AA3" w14:textId="6CF6DE7A" w:rsidTr="007A13F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FC123A9" w14:textId="5280E19B" w:rsidR="002A187F" w:rsidRPr="001428E9" w:rsidRDefault="002A187F">
            <w:pPr>
              <w:jc w:val="center"/>
              <w:rPr>
                <w:rFonts w:ascii="Arial Narrow" w:hAnsi="Arial Narrow"/>
                <w:color w:val="333333"/>
                <w:sz w:val="20"/>
                <w:szCs w:val="20"/>
              </w:rPr>
            </w:pPr>
          </w:p>
        </w:tc>
        <w:tc>
          <w:tcPr>
            <w:tcW w:w="7745" w:type="dxa"/>
            <w:gridSpan w:val="6"/>
            <w:vAlign w:val="center"/>
            <w:hideMark/>
          </w:tcPr>
          <w:p w14:paraId="6F81F29E" w14:textId="1FCF40D5" w:rsidR="002A187F" w:rsidRPr="001428E9" w:rsidRDefault="002A187F" w:rsidP="007A13F3">
            <w:pPr>
              <w:rPr>
                <w:rFonts w:ascii="Arial Narrow" w:hAnsi="Arial Narrow"/>
                <w:color w:val="333333"/>
                <w:sz w:val="20"/>
                <w:szCs w:val="20"/>
              </w:rPr>
            </w:pPr>
            <w:r w:rsidRPr="001428E9">
              <w:rPr>
                <w:rFonts w:ascii="Arial Narrow" w:hAnsi="Arial Narrow"/>
                <w:b/>
                <w:bCs/>
                <w:color w:val="333333"/>
                <w:sz w:val="20"/>
                <w:szCs w:val="20"/>
              </w:rPr>
              <w:t>AND</w:t>
            </w:r>
          </w:p>
        </w:tc>
      </w:tr>
      <w:tr w:rsidR="002A187F" w:rsidRPr="001428E9" w14:paraId="06E22277" w14:textId="36B81B6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1E47723" w14:textId="7B4E0E3E" w:rsidR="002A187F" w:rsidRPr="001428E9" w:rsidRDefault="002A187F">
            <w:pPr>
              <w:jc w:val="center"/>
              <w:rPr>
                <w:rFonts w:ascii="Arial Narrow" w:hAnsi="Arial Narrow"/>
                <w:color w:val="333333"/>
                <w:sz w:val="20"/>
                <w:szCs w:val="20"/>
              </w:rPr>
            </w:pPr>
          </w:p>
        </w:tc>
        <w:tc>
          <w:tcPr>
            <w:tcW w:w="7745" w:type="dxa"/>
            <w:gridSpan w:val="6"/>
            <w:vAlign w:val="center"/>
            <w:hideMark/>
          </w:tcPr>
          <w:p w14:paraId="64BB7771" w14:textId="078C918A" w:rsidR="002A187F" w:rsidRPr="001428E9" w:rsidRDefault="002A187F" w:rsidP="007A13F3">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2A187F" w:rsidRPr="001428E9" w14:paraId="322D41C8" w14:textId="626913F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C50DEBD" w14:textId="7C855123" w:rsidR="002A187F" w:rsidRPr="001428E9" w:rsidRDefault="002A187F">
            <w:pPr>
              <w:jc w:val="center"/>
              <w:rPr>
                <w:rFonts w:ascii="Arial Narrow" w:hAnsi="Arial Narrow"/>
                <w:color w:val="333333"/>
                <w:sz w:val="20"/>
                <w:szCs w:val="20"/>
              </w:rPr>
            </w:pPr>
          </w:p>
        </w:tc>
        <w:tc>
          <w:tcPr>
            <w:tcW w:w="7745" w:type="dxa"/>
            <w:gridSpan w:val="6"/>
            <w:vAlign w:val="center"/>
            <w:hideMark/>
          </w:tcPr>
          <w:p w14:paraId="357DB248" w14:textId="1104060E" w:rsidR="002A187F" w:rsidRPr="00066629" w:rsidRDefault="002A187F" w:rsidP="007A13F3">
            <w:pPr>
              <w:pStyle w:val="PBACTabletext"/>
              <w:spacing w:after="0"/>
            </w:pPr>
            <w:r w:rsidRPr="00575A27">
              <w:t>Patient must not have received PBS-subsidised treatment with a biological medicine for</w:t>
            </w:r>
            <w:r>
              <w:t xml:space="preserve"> this condition</w:t>
            </w:r>
            <w:r w:rsidRPr="00575A27">
              <w:t>;</w:t>
            </w:r>
          </w:p>
        </w:tc>
      </w:tr>
      <w:tr w:rsidR="002A187F" w:rsidRPr="001428E9" w14:paraId="5994E887" w14:textId="15D6005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D417664" w14:textId="742FAC24" w:rsidR="002A187F" w:rsidRPr="001428E9" w:rsidRDefault="002A187F">
            <w:pPr>
              <w:jc w:val="center"/>
              <w:rPr>
                <w:rFonts w:ascii="Arial Narrow" w:hAnsi="Arial Narrow"/>
                <w:color w:val="333333"/>
                <w:sz w:val="20"/>
                <w:szCs w:val="20"/>
              </w:rPr>
            </w:pPr>
          </w:p>
        </w:tc>
        <w:tc>
          <w:tcPr>
            <w:tcW w:w="7745" w:type="dxa"/>
            <w:gridSpan w:val="6"/>
            <w:vAlign w:val="center"/>
          </w:tcPr>
          <w:p w14:paraId="2367A0EA" w14:textId="68B8D526" w:rsidR="002A187F" w:rsidRPr="00575A27" w:rsidRDefault="002A187F" w:rsidP="007A13F3">
            <w:pPr>
              <w:pStyle w:val="PBACTabletext"/>
              <w:spacing w:after="0"/>
            </w:pPr>
            <w:r>
              <w:t>OR</w:t>
            </w:r>
          </w:p>
        </w:tc>
      </w:tr>
      <w:tr w:rsidR="002A187F" w:rsidRPr="001428E9" w14:paraId="3CE37CF9" w14:textId="77ADBC6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0A973BC" w14:textId="2186AC38" w:rsidR="002A187F" w:rsidRPr="001428E9" w:rsidRDefault="002A187F">
            <w:pPr>
              <w:jc w:val="center"/>
              <w:rPr>
                <w:rFonts w:ascii="Arial Narrow" w:hAnsi="Arial Narrow"/>
                <w:color w:val="333333"/>
                <w:sz w:val="20"/>
                <w:szCs w:val="20"/>
              </w:rPr>
            </w:pPr>
          </w:p>
        </w:tc>
        <w:tc>
          <w:tcPr>
            <w:tcW w:w="7745" w:type="dxa"/>
            <w:gridSpan w:val="6"/>
            <w:vAlign w:val="center"/>
          </w:tcPr>
          <w:p w14:paraId="3FC9D454" w14:textId="086A78EC" w:rsidR="002A187F" w:rsidRPr="00575A27" w:rsidRDefault="002A187F" w:rsidP="007A13F3">
            <w:pPr>
              <w:pStyle w:val="PBACTabletext"/>
              <w:spacing w:after="0"/>
            </w:pPr>
            <w:r w:rsidRPr="00575A27">
              <w:t xml:space="preserve">Patient must have had a 12-month </w:t>
            </w:r>
            <w:r w:rsidRPr="0091302A">
              <w:t>break in PBS-subsidised treatment</w:t>
            </w:r>
            <w:r w:rsidRPr="00575A27">
              <w:t xml:space="preserve"> </w:t>
            </w:r>
            <w:r>
              <w:t>with a biological medicine for this condition</w:t>
            </w:r>
          </w:p>
        </w:tc>
      </w:tr>
      <w:tr w:rsidR="002A187F" w:rsidRPr="001428E9" w14:paraId="5FCEA0B2" w14:textId="0354600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E3E29DB" w14:textId="5F212D2E" w:rsidR="002A187F" w:rsidRPr="001428E9" w:rsidRDefault="002A187F">
            <w:pPr>
              <w:jc w:val="center"/>
              <w:rPr>
                <w:rFonts w:ascii="Arial Narrow" w:hAnsi="Arial Narrow"/>
                <w:color w:val="333333"/>
                <w:sz w:val="20"/>
                <w:szCs w:val="20"/>
              </w:rPr>
            </w:pPr>
          </w:p>
        </w:tc>
        <w:tc>
          <w:tcPr>
            <w:tcW w:w="7745" w:type="dxa"/>
            <w:gridSpan w:val="6"/>
            <w:vAlign w:val="center"/>
          </w:tcPr>
          <w:p w14:paraId="31D8A8C0" w14:textId="249BAD4E" w:rsidR="002A187F" w:rsidRPr="00575A27" w:rsidRDefault="002A187F" w:rsidP="007A13F3">
            <w:pPr>
              <w:pStyle w:val="PBACTabletext"/>
              <w:spacing w:after="0"/>
            </w:pPr>
            <w:r w:rsidRPr="001428E9">
              <w:rPr>
                <w:rFonts w:eastAsia="Times New Roman"/>
                <w:b/>
                <w:bCs/>
                <w:color w:val="333333"/>
                <w:lang w:eastAsia="en-AU"/>
              </w:rPr>
              <w:t>AND</w:t>
            </w:r>
          </w:p>
        </w:tc>
      </w:tr>
      <w:tr w:rsidR="002A187F" w:rsidRPr="001428E9" w14:paraId="2E2CA6E5" w14:textId="1E90D40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4F7A96E" w14:textId="4689A79A" w:rsidR="002A187F" w:rsidRPr="001428E9" w:rsidRDefault="002A187F">
            <w:pPr>
              <w:jc w:val="center"/>
              <w:rPr>
                <w:rFonts w:ascii="Arial Narrow" w:hAnsi="Arial Narrow"/>
                <w:color w:val="333333"/>
                <w:sz w:val="20"/>
                <w:szCs w:val="20"/>
              </w:rPr>
            </w:pPr>
          </w:p>
        </w:tc>
        <w:tc>
          <w:tcPr>
            <w:tcW w:w="7745" w:type="dxa"/>
            <w:gridSpan w:val="6"/>
            <w:vAlign w:val="center"/>
          </w:tcPr>
          <w:p w14:paraId="7C2B8F7D" w14:textId="6D4F843C" w:rsidR="002A187F" w:rsidRPr="00575A27" w:rsidRDefault="002A187F" w:rsidP="007A13F3">
            <w:pPr>
              <w:pStyle w:val="PBACTabletext"/>
              <w:spacing w:after="0"/>
            </w:pPr>
            <w:r w:rsidRPr="001428E9">
              <w:rPr>
                <w:rFonts w:eastAsia="Times New Roman"/>
                <w:b/>
                <w:bCs/>
                <w:color w:val="333333"/>
                <w:lang w:eastAsia="en-AU"/>
              </w:rPr>
              <w:t>Clinical criteria:</w:t>
            </w:r>
          </w:p>
        </w:tc>
      </w:tr>
      <w:tr w:rsidR="002A187F" w:rsidRPr="001428E9" w14:paraId="192A07C9" w14:textId="1E94AF5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20B7C08" w14:textId="29EF8ED2" w:rsidR="002A187F" w:rsidRPr="001428E9" w:rsidRDefault="002A187F">
            <w:pPr>
              <w:jc w:val="center"/>
              <w:rPr>
                <w:rFonts w:ascii="Arial Narrow" w:hAnsi="Arial Narrow"/>
                <w:color w:val="333333"/>
                <w:sz w:val="20"/>
                <w:szCs w:val="20"/>
              </w:rPr>
            </w:pPr>
          </w:p>
        </w:tc>
        <w:tc>
          <w:tcPr>
            <w:tcW w:w="7745" w:type="dxa"/>
            <w:gridSpan w:val="6"/>
            <w:vAlign w:val="center"/>
          </w:tcPr>
          <w:p w14:paraId="0DA1F469" w14:textId="7E1C4BCB" w:rsidR="002A187F" w:rsidRPr="00575A27" w:rsidRDefault="002A187F" w:rsidP="007A13F3">
            <w:pPr>
              <w:pStyle w:val="PBACTabletext"/>
              <w:spacing w:after="0"/>
            </w:pPr>
            <w:r w:rsidRPr="44072162">
              <w:t>The treatment must not be used in combination with and within 4 weeks of another PBS-subsidised biological medicine prescribed for any of: (</w:t>
            </w:r>
            <w:proofErr w:type="spellStart"/>
            <w:r w:rsidRPr="44072162">
              <w:t>i</w:t>
            </w:r>
            <w:proofErr w:type="spellEnd"/>
            <w:r w:rsidRPr="44072162">
              <w:t>) nasal polyps, (ii) uncontrolled severe allergic asthma, (iii) uncontrolled severe asthma,</w:t>
            </w:r>
          </w:p>
        </w:tc>
      </w:tr>
      <w:tr w:rsidR="002A187F" w:rsidRPr="001428E9" w14:paraId="08B85241" w14:textId="1605E744">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C7977DE" w14:textId="49189678" w:rsidR="002A187F" w:rsidRPr="001428E9" w:rsidRDefault="002A187F">
            <w:pPr>
              <w:jc w:val="center"/>
              <w:rPr>
                <w:rFonts w:ascii="Arial Narrow" w:hAnsi="Arial Narrow"/>
                <w:color w:val="333333"/>
                <w:sz w:val="20"/>
                <w:szCs w:val="20"/>
              </w:rPr>
            </w:pPr>
          </w:p>
        </w:tc>
        <w:tc>
          <w:tcPr>
            <w:tcW w:w="7745" w:type="dxa"/>
            <w:gridSpan w:val="6"/>
            <w:vAlign w:val="center"/>
            <w:hideMark/>
          </w:tcPr>
          <w:p w14:paraId="5AF87549" w14:textId="7E0EBA16" w:rsidR="002A187F" w:rsidRPr="001428E9" w:rsidRDefault="002A187F" w:rsidP="007A13F3">
            <w:pPr>
              <w:rPr>
                <w:rFonts w:ascii="Arial Narrow" w:hAnsi="Arial Narrow"/>
                <w:color w:val="333333"/>
                <w:sz w:val="20"/>
                <w:szCs w:val="20"/>
              </w:rPr>
            </w:pPr>
            <w:r w:rsidRPr="001428E9">
              <w:rPr>
                <w:rFonts w:ascii="Arial Narrow" w:hAnsi="Arial Narrow"/>
                <w:b/>
                <w:bCs/>
                <w:color w:val="333333"/>
                <w:sz w:val="20"/>
                <w:szCs w:val="20"/>
              </w:rPr>
              <w:t>AND</w:t>
            </w:r>
          </w:p>
        </w:tc>
      </w:tr>
      <w:tr w:rsidR="002A187F" w:rsidRPr="001428E9" w14:paraId="18E7670E" w14:textId="5CD5D4C1">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2384E33" w14:textId="6646D9E4" w:rsidR="002A187F" w:rsidRPr="001428E9" w:rsidRDefault="002A187F">
            <w:pPr>
              <w:jc w:val="center"/>
              <w:rPr>
                <w:rFonts w:ascii="Arial Narrow" w:hAnsi="Arial Narrow"/>
                <w:color w:val="333333"/>
                <w:sz w:val="20"/>
                <w:szCs w:val="20"/>
              </w:rPr>
            </w:pPr>
          </w:p>
        </w:tc>
        <w:tc>
          <w:tcPr>
            <w:tcW w:w="7745" w:type="dxa"/>
            <w:gridSpan w:val="6"/>
            <w:vAlign w:val="center"/>
            <w:hideMark/>
          </w:tcPr>
          <w:p w14:paraId="651CB20C" w14:textId="28D05EE9" w:rsidR="002A187F" w:rsidRPr="001428E9" w:rsidRDefault="002A187F" w:rsidP="007A13F3">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2A187F" w:rsidRPr="001428E9" w14:paraId="754E3270" w14:textId="40094EE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0693EC2" w14:textId="4721E43B" w:rsidR="002A187F" w:rsidRPr="001428E9" w:rsidRDefault="002A187F">
            <w:pPr>
              <w:jc w:val="center"/>
              <w:rPr>
                <w:rFonts w:ascii="Arial Narrow" w:hAnsi="Arial Narrow"/>
                <w:color w:val="333333"/>
                <w:sz w:val="20"/>
                <w:szCs w:val="20"/>
              </w:rPr>
            </w:pPr>
          </w:p>
        </w:tc>
        <w:tc>
          <w:tcPr>
            <w:tcW w:w="7745" w:type="dxa"/>
            <w:gridSpan w:val="6"/>
            <w:vAlign w:val="center"/>
            <w:hideMark/>
          </w:tcPr>
          <w:p w14:paraId="60995491" w14:textId="279CA8ED" w:rsidR="002A187F" w:rsidRPr="005971CB" w:rsidRDefault="002A187F" w:rsidP="007A13F3">
            <w:pPr>
              <w:pStyle w:val="PBACTabletext"/>
              <w:spacing w:after="0"/>
            </w:pPr>
            <w:r w:rsidRPr="44072162">
              <w:t>Patient must have failed to achieve adequate control with optimised nasal polyp therapy which has been documented</w:t>
            </w:r>
          </w:p>
        </w:tc>
      </w:tr>
      <w:tr w:rsidR="002A187F" w:rsidRPr="001428E9" w14:paraId="329AA758" w14:textId="7321D15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3F1F343" w14:textId="40260190" w:rsidR="002A187F" w:rsidRPr="001428E9" w:rsidRDefault="002A187F">
            <w:pPr>
              <w:jc w:val="center"/>
              <w:rPr>
                <w:rFonts w:ascii="Arial Narrow" w:hAnsi="Arial Narrow"/>
                <w:color w:val="333333"/>
                <w:sz w:val="20"/>
                <w:szCs w:val="20"/>
              </w:rPr>
            </w:pPr>
          </w:p>
        </w:tc>
        <w:tc>
          <w:tcPr>
            <w:tcW w:w="7745" w:type="dxa"/>
            <w:gridSpan w:val="6"/>
            <w:vAlign w:val="center"/>
          </w:tcPr>
          <w:p w14:paraId="040E45DB" w14:textId="3E4B8B0A" w:rsidR="002A187F" w:rsidRPr="00575A27" w:rsidRDefault="002A187F" w:rsidP="007A13F3">
            <w:pPr>
              <w:pStyle w:val="PBACTabletext"/>
              <w:spacing w:after="0"/>
            </w:pPr>
            <w:r w:rsidRPr="001428E9">
              <w:rPr>
                <w:rFonts w:eastAsia="Times New Roman"/>
                <w:b/>
                <w:bCs/>
                <w:color w:val="333333"/>
                <w:lang w:eastAsia="en-AU"/>
              </w:rPr>
              <w:t>AND</w:t>
            </w:r>
          </w:p>
        </w:tc>
      </w:tr>
      <w:tr w:rsidR="002A187F" w:rsidRPr="001428E9" w14:paraId="27B0909E" w14:textId="3D881F0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212AB10" w14:textId="7A3D948E" w:rsidR="002A187F" w:rsidRPr="001428E9" w:rsidRDefault="002A187F">
            <w:pPr>
              <w:jc w:val="center"/>
              <w:rPr>
                <w:rFonts w:ascii="Arial Narrow" w:hAnsi="Arial Narrow"/>
                <w:color w:val="333333"/>
                <w:sz w:val="20"/>
                <w:szCs w:val="20"/>
              </w:rPr>
            </w:pPr>
          </w:p>
        </w:tc>
        <w:tc>
          <w:tcPr>
            <w:tcW w:w="7745" w:type="dxa"/>
            <w:gridSpan w:val="6"/>
            <w:vAlign w:val="center"/>
          </w:tcPr>
          <w:p w14:paraId="51398BAF" w14:textId="59481630" w:rsidR="002A187F" w:rsidRPr="00575A27" w:rsidRDefault="002A187F" w:rsidP="007A13F3">
            <w:pPr>
              <w:pStyle w:val="PBACTabletext"/>
              <w:spacing w:after="0"/>
            </w:pPr>
            <w:r w:rsidRPr="001428E9">
              <w:rPr>
                <w:rFonts w:eastAsia="Times New Roman"/>
                <w:b/>
                <w:bCs/>
                <w:color w:val="333333"/>
                <w:lang w:eastAsia="en-AU"/>
              </w:rPr>
              <w:t>Clinical criteria:</w:t>
            </w:r>
          </w:p>
        </w:tc>
      </w:tr>
      <w:tr w:rsidR="002A187F" w:rsidRPr="001428E9" w14:paraId="653962CD" w14:textId="090A4CF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BA8C149" w14:textId="277905B9" w:rsidR="002A187F" w:rsidRPr="00A72519" w:rsidRDefault="002A187F">
            <w:pPr>
              <w:jc w:val="center"/>
              <w:rPr>
                <w:rFonts w:ascii="Arial Narrow" w:hAnsi="Arial Narrow"/>
                <w:color w:val="333333"/>
                <w:sz w:val="20"/>
                <w:szCs w:val="20"/>
              </w:rPr>
            </w:pPr>
          </w:p>
        </w:tc>
        <w:tc>
          <w:tcPr>
            <w:tcW w:w="7745" w:type="dxa"/>
            <w:gridSpan w:val="6"/>
            <w:vAlign w:val="center"/>
          </w:tcPr>
          <w:p w14:paraId="540BD6B9" w14:textId="14367A9B" w:rsidR="002A187F" w:rsidRPr="00A72519" w:rsidRDefault="002A187F" w:rsidP="007A13F3">
            <w:pPr>
              <w:pStyle w:val="PBACTabletext"/>
              <w:spacing w:after="0"/>
              <w:rPr>
                <w:rFonts w:eastAsia="Times New Roman"/>
                <w:color w:val="333333"/>
                <w:lang w:eastAsia="en-AU"/>
              </w:rPr>
            </w:pPr>
            <w:r w:rsidRPr="00A72519">
              <w:rPr>
                <w:rFonts w:eastAsia="Times New Roman"/>
                <w:color w:val="333333"/>
                <w:lang w:eastAsia="en-AU"/>
              </w:rPr>
              <w:t>Patient must have a total serum immunoglobulin E level greater than or equal to 30 IU/mL in the last 12 months</w:t>
            </w:r>
          </w:p>
        </w:tc>
      </w:tr>
      <w:tr w:rsidR="002A187F" w:rsidRPr="001428E9" w14:paraId="022770E5" w14:textId="5AE3078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5904C61" w14:textId="68DD40AE" w:rsidR="002A187F" w:rsidRPr="001428E9" w:rsidRDefault="002A187F">
            <w:pPr>
              <w:keepNext/>
              <w:jc w:val="center"/>
              <w:rPr>
                <w:rFonts w:ascii="Arial Narrow" w:hAnsi="Arial Narrow"/>
                <w:color w:val="333333"/>
                <w:sz w:val="20"/>
                <w:szCs w:val="20"/>
              </w:rPr>
            </w:pPr>
          </w:p>
        </w:tc>
        <w:tc>
          <w:tcPr>
            <w:tcW w:w="7745" w:type="dxa"/>
            <w:gridSpan w:val="6"/>
            <w:vAlign w:val="center"/>
            <w:hideMark/>
          </w:tcPr>
          <w:p w14:paraId="6BCF1361" w14:textId="6593319B" w:rsidR="002A187F" w:rsidRPr="001428E9" w:rsidRDefault="002A187F" w:rsidP="007A13F3">
            <w:pPr>
              <w:keepNext/>
              <w:rPr>
                <w:rFonts w:ascii="Arial Narrow" w:hAnsi="Arial Narrow"/>
                <w:color w:val="333333"/>
                <w:sz w:val="20"/>
                <w:szCs w:val="20"/>
              </w:rPr>
            </w:pPr>
            <w:r w:rsidRPr="001428E9">
              <w:rPr>
                <w:rFonts w:ascii="Arial Narrow" w:hAnsi="Arial Narrow"/>
                <w:b/>
                <w:bCs/>
                <w:color w:val="333333"/>
                <w:sz w:val="20"/>
                <w:szCs w:val="20"/>
              </w:rPr>
              <w:t>Treatment criteria:</w:t>
            </w:r>
          </w:p>
        </w:tc>
      </w:tr>
      <w:tr w:rsidR="002A187F" w:rsidRPr="001428E9" w14:paraId="2BFE17EB" w14:textId="4D28340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E22B006" w14:textId="0B072F14" w:rsidR="002A187F" w:rsidRPr="001428E9" w:rsidRDefault="002A187F">
            <w:pPr>
              <w:jc w:val="center"/>
              <w:rPr>
                <w:rFonts w:ascii="Arial Narrow" w:hAnsi="Arial Narrow"/>
                <w:color w:val="333333"/>
                <w:sz w:val="20"/>
                <w:szCs w:val="20"/>
              </w:rPr>
            </w:pPr>
          </w:p>
        </w:tc>
        <w:tc>
          <w:tcPr>
            <w:tcW w:w="7745" w:type="dxa"/>
            <w:gridSpan w:val="6"/>
            <w:vAlign w:val="center"/>
            <w:hideMark/>
          </w:tcPr>
          <w:p w14:paraId="53C79DD0" w14:textId="19181D49" w:rsidR="002A187F" w:rsidRPr="001428E9" w:rsidRDefault="002A187F" w:rsidP="007A13F3">
            <w:pPr>
              <w:autoSpaceDE w:val="0"/>
              <w:autoSpaceDN w:val="0"/>
              <w:adjustRightInd w:val="0"/>
              <w:rPr>
                <w:rFonts w:ascii="Arial Narrow" w:hAnsi="Arial Narrow" w:cs="Arial Narrow"/>
                <w:i/>
                <w:iCs/>
                <w:sz w:val="20"/>
                <w:szCs w:val="20"/>
              </w:rPr>
            </w:pPr>
            <w:r w:rsidRPr="44072162">
              <w:rPr>
                <w:rFonts w:ascii="Arial Narrow" w:hAnsi="Arial Narrow" w:cs="Arial Narrow"/>
                <w:sz w:val="20"/>
                <w:szCs w:val="20"/>
              </w:rPr>
              <w:t>Patient must be treated by a medical practitioner who is either a: (</w:t>
            </w:r>
            <w:proofErr w:type="spellStart"/>
            <w:r w:rsidRPr="44072162">
              <w:rPr>
                <w:rFonts w:ascii="Arial Narrow" w:hAnsi="Arial Narrow" w:cs="Arial Narrow"/>
                <w:sz w:val="20"/>
                <w:szCs w:val="20"/>
              </w:rPr>
              <w:t>i</w:t>
            </w:r>
            <w:proofErr w:type="spellEnd"/>
            <w:r w:rsidRPr="44072162">
              <w:rPr>
                <w:rFonts w:ascii="Arial Narrow" w:hAnsi="Arial Narrow" w:cs="Arial Narrow"/>
                <w:sz w:val="20"/>
                <w:szCs w:val="20"/>
              </w:rPr>
              <w:t xml:space="preserve">) respiratory physician, (ii) clinical immunologist, (iii) allergist, (iv) ear nose and throat specialist (ENT) or (v) general physician experienced in the management of patients with </w:t>
            </w:r>
            <w:proofErr w:type="spellStart"/>
            <w:r w:rsidRPr="44072162">
              <w:rPr>
                <w:rFonts w:ascii="Arial Narrow" w:hAnsi="Arial Narrow" w:cs="Arial Narrow"/>
                <w:sz w:val="20"/>
                <w:szCs w:val="20"/>
              </w:rPr>
              <w:t>CRSwNP</w:t>
            </w:r>
            <w:proofErr w:type="spellEnd"/>
          </w:p>
        </w:tc>
      </w:tr>
      <w:tr w:rsidR="002A187F" w:rsidRPr="001428E9" w14:paraId="0324C55E" w14:textId="3677725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DE866AA" w14:textId="2DA5B9E7" w:rsidR="002A187F" w:rsidRPr="001428E9" w:rsidRDefault="002A187F">
            <w:pPr>
              <w:jc w:val="center"/>
              <w:rPr>
                <w:rFonts w:ascii="Arial Narrow" w:hAnsi="Arial Narrow"/>
                <w:color w:val="333333"/>
                <w:sz w:val="20"/>
                <w:szCs w:val="20"/>
              </w:rPr>
            </w:pPr>
          </w:p>
        </w:tc>
        <w:tc>
          <w:tcPr>
            <w:tcW w:w="7745" w:type="dxa"/>
            <w:gridSpan w:val="6"/>
            <w:vAlign w:val="center"/>
            <w:hideMark/>
          </w:tcPr>
          <w:p w14:paraId="67B76EDB" w14:textId="3EAAB891" w:rsidR="002A187F" w:rsidRPr="001428E9" w:rsidRDefault="002A187F">
            <w:pPr>
              <w:rPr>
                <w:rFonts w:ascii="Arial Narrow" w:hAnsi="Arial Narrow"/>
                <w:color w:val="333333"/>
                <w:sz w:val="20"/>
                <w:szCs w:val="20"/>
              </w:rPr>
            </w:pPr>
            <w:r w:rsidRPr="001428E9">
              <w:rPr>
                <w:rFonts w:ascii="Arial Narrow" w:hAnsi="Arial Narrow"/>
                <w:b/>
                <w:bCs/>
                <w:color w:val="333333"/>
                <w:sz w:val="20"/>
                <w:szCs w:val="20"/>
              </w:rPr>
              <w:t>Population criteria:</w:t>
            </w:r>
          </w:p>
        </w:tc>
      </w:tr>
      <w:tr w:rsidR="002A187F" w:rsidRPr="001428E9" w14:paraId="02248AED" w14:textId="0A93BF12" w:rsidTr="007A13F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4B459A7" w14:textId="49D9B021" w:rsidR="002A187F" w:rsidRPr="001428E9" w:rsidRDefault="002A187F">
            <w:pPr>
              <w:jc w:val="center"/>
              <w:rPr>
                <w:rFonts w:ascii="Arial Narrow" w:hAnsi="Arial Narrow"/>
                <w:color w:val="333333"/>
                <w:sz w:val="20"/>
                <w:szCs w:val="20"/>
              </w:rPr>
            </w:pPr>
          </w:p>
        </w:tc>
        <w:tc>
          <w:tcPr>
            <w:tcW w:w="7745" w:type="dxa"/>
            <w:gridSpan w:val="6"/>
            <w:vAlign w:val="center"/>
            <w:hideMark/>
          </w:tcPr>
          <w:p w14:paraId="05E01F7C" w14:textId="4BA81754" w:rsidR="002A187F" w:rsidRPr="00002946" w:rsidRDefault="002A187F">
            <w:pPr>
              <w:rPr>
                <w:rFonts w:ascii="Arial Narrow" w:hAnsi="Arial Narrow"/>
                <w:i/>
                <w:iCs/>
                <w:color w:val="333333"/>
                <w:sz w:val="20"/>
                <w:szCs w:val="20"/>
              </w:rPr>
            </w:pPr>
            <w:r w:rsidRPr="00AA7651">
              <w:rPr>
                <w:rFonts w:ascii="Arial Narrow" w:hAnsi="Arial Narrow"/>
                <w:color w:val="333333"/>
                <w:sz w:val="20"/>
                <w:szCs w:val="20"/>
              </w:rPr>
              <w:t xml:space="preserve">Patient must be </w:t>
            </w:r>
            <w:r w:rsidRPr="00002946">
              <w:rPr>
                <w:rFonts w:ascii="Arial Narrow" w:hAnsi="Arial Narrow"/>
                <w:strike/>
                <w:color w:val="333333"/>
                <w:sz w:val="20"/>
                <w:szCs w:val="20"/>
              </w:rPr>
              <w:t xml:space="preserve">aged </w:t>
            </w:r>
            <w:r>
              <w:rPr>
                <w:rFonts w:ascii="Arial Narrow" w:hAnsi="Arial Narrow"/>
                <w:i/>
                <w:iCs/>
                <w:color w:val="333333"/>
                <w:sz w:val="20"/>
                <w:szCs w:val="20"/>
              </w:rPr>
              <w:t xml:space="preserve">at least </w:t>
            </w:r>
            <w:r w:rsidRPr="00AA7651">
              <w:rPr>
                <w:rFonts w:ascii="Arial Narrow" w:hAnsi="Arial Narrow"/>
                <w:color w:val="333333"/>
                <w:sz w:val="20"/>
                <w:szCs w:val="20"/>
              </w:rPr>
              <w:t xml:space="preserve">18 years </w:t>
            </w:r>
            <w:r w:rsidRPr="00002946">
              <w:rPr>
                <w:rFonts w:ascii="Arial Narrow" w:hAnsi="Arial Narrow"/>
                <w:strike/>
                <w:color w:val="333333"/>
                <w:sz w:val="20"/>
                <w:szCs w:val="20"/>
              </w:rPr>
              <w:t>or older.</w:t>
            </w:r>
            <w:r>
              <w:rPr>
                <w:rFonts w:ascii="Arial Narrow" w:hAnsi="Arial Narrow"/>
                <w:strike/>
                <w:color w:val="333333"/>
                <w:sz w:val="20"/>
                <w:szCs w:val="20"/>
              </w:rPr>
              <w:t xml:space="preserve"> </w:t>
            </w:r>
            <w:r w:rsidRPr="00002946">
              <w:rPr>
                <w:rFonts w:ascii="Arial Narrow" w:hAnsi="Arial Narrow"/>
                <w:i/>
                <w:iCs/>
                <w:color w:val="333333"/>
                <w:sz w:val="20"/>
                <w:szCs w:val="20"/>
              </w:rPr>
              <w:t>of age</w:t>
            </w:r>
          </w:p>
        </w:tc>
      </w:tr>
      <w:tr w:rsidR="002A187F" w:rsidRPr="001428E9" w14:paraId="2678DE71" w14:textId="4C32ABD0">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EF26663" w14:textId="3F46BA54" w:rsidR="002A187F" w:rsidRPr="00836570" w:rsidRDefault="002A187F">
            <w:pPr>
              <w:jc w:val="center"/>
              <w:rPr>
                <w:rFonts w:ascii="Arial Narrow" w:hAnsi="Arial Narrow"/>
                <w:i/>
                <w:iCs/>
                <w:color w:val="333333"/>
                <w:sz w:val="20"/>
                <w:szCs w:val="20"/>
              </w:rPr>
            </w:pPr>
          </w:p>
        </w:tc>
        <w:tc>
          <w:tcPr>
            <w:tcW w:w="7745" w:type="dxa"/>
            <w:gridSpan w:val="6"/>
            <w:vAlign w:val="center"/>
          </w:tcPr>
          <w:p w14:paraId="444EB7F6" w14:textId="1BA4F87A" w:rsidR="002A187F" w:rsidRPr="000774AE" w:rsidRDefault="002A187F">
            <w:pPr>
              <w:rPr>
                <w:rFonts w:ascii="Arial Narrow" w:hAnsi="Arial Narrow"/>
                <w:b/>
                <w:bCs/>
                <w:color w:val="333333"/>
                <w:sz w:val="20"/>
                <w:szCs w:val="20"/>
              </w:rPr>
            </w:pPr>
            <w:r>
              <w:rPr>
                <w:rFonts w:ascii="Arial Narrow" w:hAnsi="Arial Narrow"/>
                <w:b/>
                <w:bCs/>
                <w:color w:val="333333"/>
                <w:sz w:val="20"/>
                <w:szCs w:val="20"/>
              </w:rPr>
              <w:t>Prescribing Instructions:</w:t>
            </w:r>
          </w:p>
          <w:p w14:paraId="1AF43A9A" w14:textId="59D49A5C" w:rsidR="002A187F" w:rsidRPr="00AA7651" w:rsidRDefault="002A187F">
            <w:pPr>
              <w:rPr>
                <w:rFonts w:ascii="Arial Narrow" w:hAnsi="Arial Narrow"/>
                <w:color w:val="333333"/>
                <w:sz w:val="20"/>
                <w:szCs w:val="20"/>
              </w:rPr>
            </w:pPr>
            <w:r w:rsidRPr="44072162">
              <w:rPr>
                <w:rFonts w:ascii="Arial Narrow" w:hAnsi="Arial Narrow"/>
                <w:i/>
                <w:iCs/>
                <w:color w:val="333333"/>
                <w:sz w:val="20"/>
                <w:szCs w:val="20"/>
              </w:rPr>
              <w:t>At the time of the authority application</w:t>
            </w:r>
            <w:r w:rsidRPr="44072162">
              <w:rPr>
                <w:rFonts w:ascii="Arial Narrow" w:hAnsi="Arial Narrow"/>
                <w:color w:val="333333"/>
                <w:sz w:val="20"/>
                <w:szCs w:val="20"/>
              </w:rPr>
              <w:t xml:space="preserve">, </w:t>
            </w:r>
            <w:proofErr w:type="spellStart"/>
            <w:r w:rsidRPr="44072162">
              <w:rPr>
                <w:rFonts w:ascii="Arial Narrow" w:hAnsi="Arial Narrow"/>
                <w:strike/>
                <w:color w:val="333333"/>
                <w:sz w:val="20"/>
                <w:szCs w:val="20"/>
              </w:rPr>
              <w:t>M</w:t>
            </w:r>
            <w:r w:rsidRPr="44072162">
              <w:rPr>
                <w:rFonts w:ascii="Arial Narrow" w:hAnsi="Arial Narrow"/>
                <w:color w:val="333333"/>
                <w:sz w:val="20"/>
                <w:szCs w:val="20"/>
              </w:rPr>
              <w:t>medical</w:t>
            </w:r>
            <w:proofErr w:type="spellEnd"/>
            <w:r w:rsidRPr="44072162">
              <w:rPr>
                <w:rFonts w:ascii="Arial Narrow" w:hAnsi="Arial Narrow"/>
                <w:color w:val="333333"/>
                <w:sz w:val="20"/>
                <w:szCs w:val="20"/>
              </w:rPr>
              <w:t xml:space="preserve"> practitioners should request the appropriate maximum quantity and number of repeats to provide for an initial course of omalizumab consisting of the recommended number of doses for the baseline IgE level and body weight of the patient (refer to the TGA-approved Product Information) to be administered every 2 or 4 weeks.</w:t>
            </w:r>
          </w:p>
        </w:tc>
      </w:tr>
      <w:tr w:rsidR="002A187F" w:rsidRPr="001428E9" w14:paraId="28FB9D2C" w14:textId="32B07C1F" w:rsidTr="007A13F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33DB558" w14:textId="531242AF" w:rsidR="002A187F" w:rsidRPr="001428E9" w:rsidRDefault="002A187F">
            <w:pPr>
              <w:jc w:val="center"/>
              <w:rPr>
                <w:rFonts w:ascii="Arial Narrow" w:hAnsi="Arial Narrow"/>
                <w:color w:val="333333"/>
                <w:sz w:val="20"/>
                <w:szCs w:val="20"/>
              </w:rPr>
            </w:pPr>
          </w:p>
        </w:tc>
        <w:tc>
          <w:tcPr>
            <w:tcW w:w="7745" w:type="dxa"/>
            <w:gridSpan w:val="6"/>
            <w:vAlign w:val="center"/>
            <w:hideMark/>
          </w:tcPr>
          <w:p w14:paraId="2162D84C" w14:textId="249402DF" w:rsidR="002A187F" w:rsidRDefault="002A187F">
            <w:pPr>
              <w:rPr>
                <w:rFonts w:ascii="Arial Narrow" w:hAnsi="Arial Narrow"/>
                <w:b/>
                <w:bCs/>
                <w:color w:val="333333"/>
                <w:sz w:val="20"/>
                <w:szCs w:val="20"/>
              </w:rPr>
            </w:pPr>
            <w:r w:rsidRPr="001428E9">
              <w:rPr>
                <w:rFonts w:ascii="Arial Narrow" w:hAnsi="Arial Narrow"/>
                <w:b/>
                <w:bCs/>
                <w:color w:val="333333"/>
                <w:sz w:val="20"/>
                <w:szCs w:val="20"/>
              </w:rPr>
              <w:t xml:space="preserve">Prescribing Instructions: </w:t>
            </w:r>
          </w:p>
          <w:p w14:paraId="6810A1AA" w14:textId="54146AC1" w:rsidR="002A187F" w:rsidRPr="009D2538" w:rsidRDefault="002A187F">
            <w:pPr>
              <w:rPr>
                <w:rFonts w:ascii="Arial Narrow" w:hAnsi="Arial Narrow"/>
                <w:sz w:val="20"/>
                <w:szCs w:val="20"/>
              </w:rPr>
            </w:pPr>
            <w:r w:rsidRPr="009D2538">
              <w:rPr>
                <w:rFonts w:ascii="Arial Narrow" w:hAnsi="Arial Narrow"/>
                <w:sz w:val="20"/>
                <w:szCs w:val="20"/>
              </w:rPr>
              <w:t>Optimised nasal polyps therapy includes:</w:t>
            </w:r>
          </w:p>
          <w:p w14:paraId="6116F097" w14:textId="3D38C32B" w:rsidR="002A187F" w:rsidRPr="009D2538" w:rsidRDefault="002A187F">
            <w:pPr>
              <w:numPr>
                <w:ilvl w:val="0"/>
                <w:numId w:val="7"/>
              </w:numPr>
              <w:jc w:val="left"/>
              <w:rPr>
                <w:rFonts w:ascii="Arial Narrow" w:hAnsi="Arial Narrow"/>
                <w:sz w:val="20"/>
                <w:szCs w:val="20"/>
              </w:rPr>
            </w:pPr>
            <w:r w:rsidRPr="009D2538">
              <w:rPr>
                <w:rFonts w:ascii="Arial Narrow" w:hAnsi="Arial Narrow"/>
                <w:sz w:val="20"/>
                <w:szCs w:val="20"/>
              </w:rPr>
              <w:t>Adherence to intranasal corticosteroid therapy for at least 2 months, unless contraindicated or not tolerated</w:t>
            </w:r>
          </w:p>
          <w:p w14:paraId="4818B808" w14:textId="415B421D" w:rsidR="002A187F" w:rsidRPr="009D2538" w:rsidRDefault="002A187F">
            <w:pPr>
              <w:numPr>
                <w:ilvl w:val="0"/>
                <w:numId w:val="7"/>
              </w:numPr>
              <w:jc w:val="left"/>
              <w:rPr>
                <w:rFonts w:ascii="Arial Narrow" w:hAnsi="Arial Narrow"/>
                <w:sz w:val="20"/>
                <w:szCs w:val="20"/>
              </w:rPr>
            </w:pPr>
            <w:r w:rsidRPr="009D2538">
              <w:rPr>
                <w:rFonts w:ascii="Arial Narrow" w:hAnsi="Arial Narrow"/>
                <w:sz w:val="20"/>
                <w:szCs w:val="20"/>
              </w:rPr>
              <w:t>If required, nasal irrigation with saline</w:t>
            </w:r>
          </w:p>
          <w:p w14:paraId="7758E950" w14:textId="6B5839DB" w:rsidR="002A187F" w:rsidRPr="009D2538" w:rsidRDefault="002A187F">
            <w:pPr>
              <w:rPr>
                <w:rFonts w:ascii="Arial Narrow" w:hAnsi="Arial Narrow"/>
                <w:sz w:val="20"/>
                <w:szCs w:val="20"/>
              </w:rPr>
            </w:pPr>
            <w:r w:rsidRPr="009D2538">
              <w:rPr>
                <w:rFonts w:ascii="Arial Narrow" w:hAnsi="Arial Narrow"/>
                <w:sz w:val="20"/>
                <w:szCs w:val="20"/>
              </w:rPr>
              <w:t>Where the patient has a contraindication or intolerance to intranasal corticosteroid therapy, document the reasons for the contraindication or intolerance in the patient's medical file.</w:t>
            </w:r>
          </w:p>
        </w:tc>
      </w:tr>
      <w:tr w:rsidR="002A187F" w:rsidRPr="001428E9" w14:paraId="30323501" w14:textId="5B915C6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7C9653E" w14:textId="7E951F64" w:rsidR="002A187F" w:rsidRPr="001831A6" w:rsidRDefault="002A187F">
            <w:pPr>
              <w:jc w:val="center"/>
              <w:rPr>
                <w:rFonts w:ascii="Arial Narrow" w:hAnsi="Arial Narrow"/>
                <w:i/>
                <w:iCs/>
                <w:color w:val="333333"/>
                <w:sz w:val="20"/>
                <w:szCs w:val="20"/>
              </w:rPr>
            </w:pPr>
          </w:p>
        </w:tc>
        <w:tc>
          <w:tcPr>
            <w:tcW w:w="7745" w:type="dxa"/>
            <w:gridSpan w:val="6"/>
            <w:vAlign w:val="center"/>
          </w:tcPr>
          <w:p w14:paraId="643DE791" w14:textId="609FA2B3" w:rsidR="002A187F" w:rsidRPr="00836570" w:rsidRDefault="002A187F">
            <w:pPr>
              <w:rPr>
                <w:rFonts w:ascii="Arial Narrow" w:hAnsi="Arial Narrow"/>
                <w:b/>
                <w:bCs/>
                <w:sz w:val="20"/>
                <w:szCs w:val="20"/>
              </w:rPr>
            </w:pPr>
            <w:r w:rsidRPr="00836570">
              <w:rPr>
                <w:rFonts w:ascii="Arial Narrow" w:hAnsi="Arial Narrow"/>
                <w:b/>
                <w:bCs/>
                <w:sz w:val="20"/>
                <w:szCs w:val="20"/>
              </w:rPr>
              <w:t>Prescribing Instructions:</w:t>
            </w:r>
          </w:p>
          <w:p w14:paraId="35E9A308" w14:textId="76C14E42" w:rsidR="002A187F" w:rsidRPr="009D2538" w:rsidRDefault="002A187F">
            <w:pPr>
              <w:rPr>
                <w:rFonts w:ascii="Arial Narrow" w:hAnsi="Arial Narrow"/>
                <w:sz w:val="20"/>
                <w:szCs w:val="20"/>
              </w:rPr>
            </w:pPr>
            <w:r w:rsidRPr="009D2538">
              <w:rPr>
                <w:rFonts w:ascii="Arial Narrow" w:hAnsi="Arial Narrow"/>
                <w:sz w:val="20"/>
                <w:szCs w:val="20"/>
              </w:rPr>
              <w:t>The authority application must be made in writing and must include:</w:t>
            </w:r>
          </w:p>
          <w:p w14:paraId="5F203F53" w14:textId="7F1742C4" w:rsidR="002A187F" w:rsidRPr="00CE3095" w:rsidRDefault="002A187F">
            <w:pPr>
              <w:pStyle w:val="ListParagraph"/>
              <w:numPr>
                <w:ilvl w:val="0"/>
                <w:numId w:val="8"/>
              </w:numPr>
              <w:spacing w:after="0"/>
              <w:ind w:left="360"/>
              <w:contextualSpacing/>
              <w:rPr>
                <w:rFonts w:ascii="Arial Narrow" w:hAnsi="Arial Narrow"/>
                <w:sz w:val="20"/>
                <w:szCs w:val="20"/>
              </w:rPr>
            </w:pPr>
            <w:r w:rsidRPr="00CE3095">
              <w:rPr>
                <w:rFonts w:ascii="Arial Narrow" w:hAnsi="Arial Narrow"/>
                <w:sz w:val="20"/>
                <w:szCs w:val="20"/>
              </w:rPr>
              <w:t>A completed authority prescription form,</w:t>
            </w:r>
          </w:p>
          <w:p w14:paraId="732A2FB0" w14:textId="73676141" w:rsidR="002A187F" w:rsidRPr="009D2538" w:rsidRDefault="002A187F">
            <w:pPr>
              <w:numPr>
                <w:ilvl w:val="0"/>
                <w:numId w:val="8"/>
              </w:numPr>
              <w:ind w:left="360"/>
              <w:jc w:val="left"/>
              <w:rPr>
                <w:rFonts w:ascii="Arial Narrow" w:hAnsi="Arial Narrow"/>
                <w:sz w:val="20"/>
                <w:szCs w:val="20"/>
              </w:rPr>
            </w:pPr>
            <w:r w:rsidRPr="44072162">
              <w:rPr>
                <w:rFonts w:ascii="Arial Narrow" w:hAnsi="Arial Narrow"/>
                <w:sz w:val="20"/>
                <w:szCs w:val="20"/>
              </w:rPr>
              <w:t>A completed authority application form relevant to the indication and treatment phase</w:t>
            </w:r>
          </w:p>
          <w:p w14:paraId="3474594A" w14:textId="1E6AAB17" w:rsidR="002A187F" w:rsidRPr="009D2538" w:rsidRDefault="002A187F">
            <w:pPr>
              <w:numPr>
                <w:ilvl w:val="0"/>
                <w:numId w:val="8"/>
              </w:numPr>
              <w:ind w:left="360"/>
              <w:jc w:val="left"/>
              <w:rPr>
                <w:rFonts w:ascii="Arial Narrow" w:hAnsi="Arial Narrow"/>
                <w:sz w:val="20"/>
                <w:szCs w:val="20"/>
              </w:rPr>
            </w:pPr>
            <w:r w:rsidRPr="009D2538">
              <w:rPr>
                <w:rFonts w:ascii="Arial Narrow" w:hAnsi="Arial Narrow"/>
                <w:sz w:val="20"/>
                <w:szCs w:val="20"/>
              </w:rPr>
              <w:t>Details (date of commencement and duration of therapy) of prior optimised nasal polyp medicine treatment,</w:t>
            </w:r>
          </w:p>
          <w:p w14:paraId="6E924A84" w14:textId="0CF78C03" w:rsidR="002A187F" w:rsidRPr="009D2538" w:rsidRDefault="002A187F">
            <w:pPr>
              <w:numPr>
                <w:ilvl w:val="0"/>
                <w:numId w:val="8"/>
              </w:numPr>
              <w:ind w:left="360"/>
              <w:jc w:val="left"/>
              <w:rPr>
                <w:rFonts w:ascii="Arial Narrow" w:hAnsi="Arial Narrow"/>
                <w:sz w:val="20"/>
                <w:szCs w:val="20"/>
              </w:rPr>
            </w:pPr>
            <w:r w:rsidRPr="009D2538">
              <w:rPr>
                <w:rFonts w:ascii="Arial Narrow" w:hAnsi="Arial Narrow"/>
                <w:sz w:val="20"/>
                <w:szCs w:val="20"/>
              </w:rPr>
              <w:t>Details (date and treatment) of nasal polyp surgery; or</w:t>
            </w:r>
          </w:p>
          <w:p w14:paraId="7D419399" w14:textId="4621138A" w:rsidR="002A187F" w:rsidRPr="009D2538" w:rsidRDefault="002A187F">
            <w:pPr>
              <w:numPr>
                <w:ilvl w:val="0"/>
                <w:numId w:val="8"/>
              </w:numPr>
              <w:ind w:left="360"/>
              <w:jc w:val="left"/>
              <w:rPr>
                <w:rFonts w:ascii="Arial Narrow" w:hAnsi="Arial Narrow"/>
                <w:sz w:val="20"/>
                <w:szCs w:val="20"/>
              </w:rPr>
            </w:pPr>
            <w:r w:rsidRPr="009D2538">
              <w:rPr>
                <w:rFonts w:ascii="Arial Narrow" w:hAnsi="Arial Narrow"/>
                <w:sz w:val="20"/>
                <w:szCs w:val="20"/>
              </w:rPr>
              <w:t>If applicable, details of surgical exception including serious comorbid disease (e.g. cardiovascular, stroke) making the risk of surgery unacceptable,</w:t>
            </w:r>
          </w:p>
          <w:p w14:paraId="57C85947" w14:textId="18189BC1" w:rsidR="002A187F" w:rsidRPr="001831A6" w:rsidRDefault="002A187F">
            <w:pPr>
              <w:numPr>
                <w:ilvl w:val="0"/>
                <w:numId w:val="8"/>
              </w:numPr>
              <w:ind w:left="360"/>
              <w:jc w:val="left"/>
              <w:rPr>
                <w:rFonts w:ascii="Arial Narrow" w:hAnsi="Arial Narrow"/>
                <w:sz w:val="20"/>
                <w:szCs w:val="20"/>
              </w:rPr>
            </w:pPr>
            <w:r w:rsidRPr="009D2538">
              <w:rPr>
                <w:rFonts w:ascii="Arial Narrow" w:hAnsi="Arial Narrow"/>
                <w:sz w:val="20"/>
                <w:szCs w:val="20"/>
              </w:rPr>
              <w:t>The free serum immunoglobulin E level and date,</w:t>
            </w:r>
          </w:p>
          <w:p w14:paraId="3C15ED02" w14:textId="619CE887" w:rsidR="002A187F" w:rsidRPr="001831A6" w:rsidRDefault="002A187F">
            <w:pPr>
              <w:numPr>
                <w:ilvl w:val="0"/>
                <w:numId w:val="8"/>
              </w:numPr>
              <w:ind w:left="360"/>
              <w:jc w:val="left"/>
              <w:rPr>
                <w:rFonts w:ascii="Arial Narrow" w:hAnsi="Arial Narrow"/>
                <w:sz w:val="20"/>
                <w:szCs w:val="20"/>
              </w:rPr>
            </w:pPr>
            <w:r w:rsidRPr="44072162">
              <w:rPr>
                <w:rFonts w:ascii="Arial Narrow" w:hAnsi="Arial Narrow"/>
                <w:sz w:val="20"/>
                <w:szCs w:val="20"/>
              </w:rPr>
              <w:t>Two of the following, measured within the past 12 months: (</w:t>
            </w:r>
            <w:proofErr w:type="spellStart"/>
            <w:r w:rsidRPr="44072162">
              <w:rPr>
                <w:rFonts w:ascii="Arial Narrow" w:hAnsi="Arial Narrow"/>
                <w:sz w:val="20"/>
                <w:szCs w:val="20"/>
              </w:rPr>
              <w:t>i</w:t>
            </w:r>
            <w:proofErr w:type="spellEnd"/>
            <w:r w:rsidRPr="44072162">
              <w:rPr>
                <w:rFonts w:ascii="Arial Narrow" w:hAnsi="Arial Narrow"/>
                <w:sz w:val="20"/>
                <w:szCs w:val="20"/>
              </w:rPr>
              <w:t>) baseline bilateral endoscopic nasal polyp score, (ii) baseline nasal obstruction VAS score, (iii) baseline overall VAS score</w:t>
            </w:r>
          </w:p>
        </w:tc>
      </w:tr>
      <w:tr w:rsidR="002A187F" w:rsidRPr="001428E9" w14:paraId="58A9059B" w14:textId="5CA5EB2E" w:rsidTr="007A13F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CF6EC0C" w14:textId="420466C7" w:rsidR="002A187F" w:rsidRPr="001428E9" w:rsidRDefault="002A187F">
            <w:pPr>
              <w:jc w:val="center"/>
              <w:rPr>
                <w:rFonts w:ascii="Arial Narrow" w:hAnsi="Arial Narrow"/>
                <w:color w:val="333333"/>
                <w:sz w:val="20"/>
                <w:szCs w:val="20"/>
              </w:rPr>
            </w:pPr>
          </w:p>
        </w:tc>
        <w:tc>
          <w:tcPr>
            <w:tcW w:w="7745" w:type="dxa"/>
            <w:gridSpan w:val="6"/>
            <w:vAlign w:val="center"/>
            <w:hideMark/>
          </w:tcPr>
          <w:p w14:paraId="07CA7070" w14:textId="7B7B1770" w:rsidR="002A187F" w:rsidRPr="00334769" w:rsidRDefault="002A187F">
            <w:pPr>
              <w:ind w:left="-57"/>
              <w:rPr>
                <w:rFonts w:ascii="Arial Narrow" w:hAnsi="Arial Narrow"/>
                <w:b/>
                <w:bCs/>
                <w:i/>
                <w:iCs/>
                <w:sz w:val="20"/>
                <w:szCs w:val="20"/>
              </w:rPr>
            </w:pPr>
            <w:r w:rsidRPr="00334769">
              <w:rPr>
                <w:rFonts w:ascii="Arial Narrow" w:hAnsi="Arial Narrow"/>
                <w:b/>
                <w:bCs/>
                <w:i/>
                <w:iCs/>
                <w:sz w:val="20"/>
                <w:szCs w:val="20"/>
              </w:rPr>
              <w:t xml:space="preserve">Administrative advice: </w:t>
            </w:r>
          </w:p>
          <w:p w14:paraId="7C4837A0" w14:textId="5BF2035A" w:rsidR="002A187F" w:rsidRPr="00334769" w:rsidRDefault="002A187F">
            <w:pPr>
              <w:ind w:left="-57"/>
              <w:rPr>
                <w:rFonts w:ascii="Arial Narrow" w:hAnsi="Arial Narrow"/>
                <w:i/>
                <w:iCs/>
                <w:sz w:val="20"/>
                <w:szCs w:val="20"/>
              </w:rPr>
            </w:pPr>
            <w:r w:rsidRPr="00334769">
              <w:rPr>
                <w:rFonts w:ascii="Arial Narrow" w:hAnsi="Arial Narrow"/>
                <w:i/>
                <w:iCs/>
                <w:sz w:val="20"/>
                <w:szCs w:val="20"/>
              </w:rPr>
              <w:t>Any queries concerning the arrangements to prescribe may be directed to Services Australia on 1800 700 270 (hours of operation 8 a.m. to 5 p.m. Monday to Friday). </w:t>
            </w:r>
          </w:p>
          <w:p w14:paraId="798AE524" w14:textId="05D8D425" w:rsidR="002A187F" w:rsidRPr="00334769" w:rsidRDefault="002A187F">
            <w:pPr>
              <w:ind w:left="-57"/>
              <w:rPr>
                <w:rFonts w:ascii="Arial Narrow" w:hAnsi="Arial Narrow"/>
                <w:i/>
                <w:iCs/>
                <w:sz w:val="20"/>
                <w:szCs w:val="20"/>
              </w:rPr>
            </w:pPr>
            <w:r w:rsidRPr="00334769">
              <w:rPr>
                <w:rFonts w:ascii="Arial Narrow" w:hAnsi="Arial Narrow"/>
                <w:i/>
                <w:iCs/>
                <w:sz w:val="20"/>
                <w:szCs w:val="20"/>
              </w:rPr>
              <w:t xml:space="preserve">Prescribing information (including Authority Application forms and other relevant documentation as applicable) is available on the Services Australia website at </w:t>
            </w:r>
            <w:hyperlink r:id="rId8" w:history="1">
              <w:r w:rsidRPr="00334769">
                <w:rPr>
                  <w:rStyle w:val="Hyperlink"/>
                  <w:rFonts w:ascii="Arial Narrow" w:hAnsi="Arial Narrow"/>
                  <w:iCs/>
                  <w:sz w:val="20"/>
                  <w:szCs w:val="20"/>
                </w:rPr>
                <w:t>www.servicesaustralia.gov.au</w:t>
              </w:r>
            </w:hyperlink>
            <w:r w:rsidRPr="00334769">
              <w:rPr>
                <w:rFonts w:ascii="Arial Narrow" w:hAnsi="Arial Narrow"/>
                <w:i/>
                <w:iCs/>
                <w:sz w:val="20"/>
                <w:szCs w:val="20"/>
              </w:rPr>
              <w:t> </w:t>
            </w:r>
          </w:p>
          <w:p w14:paraId="60858532" w14:textId="1D21AEE8" w:rsidR="002A187F" w:rsidRPr="00334769" w:rsidRDefault="002A187F">
            <w:pPr>
              <w:ind w:left="-57"/>
              <w:rPr>
                <w:rFonts w:ascii="Arial Narrow" w:hAnsi="Arial Narrow"/>
                <w:i/>
                <w:iCs/>
                <w:sz w:val="20"/>
                <w:szCs w:val="20"/>
              </w:rPr>
            </w:pPr>
            <w:r w:rsidRPr="00334769">
              <w:rPr>
                <w:rFonts w:ascii="Arial Narrow" w:hAnsi="Arial Narrow"/>
                <w:i/>
                <w:iCs/>
                <w:sz w:val="20"/>
                <w:szCs w:val="20"/>
              </w:rPr>
              <w:t xml:space="preserve">Applications for authorisation under this restriction should be made in real time using the Online PBS Authorities system (see </w:t>
            </w:r>
            <w:hyperlink r:id="rId9" w:history="1">
              <w:r w:rsidRPr="00334769">
                <w:rPr>
                  <w:rStyle w:val="Hyperlink"/>
                  <w:rFonts w:ascii="Arial Narrow" w:hAnsi="Arial Narrow"/>
                  <w:iCs/>
                  <w:sz w:val="20"/>
                  <w:szCs w:val="20"/>
                </w:rPr>
                <w:t>www.servicesaustralia.gov.au/hpos</w:t>
              </w:r>
            </w:hyperlink>
            <w:r w:rsidRPr="00334769">
              <w:rPr>
                <w:rFonts w:ascii="Arial Narrow" w:hAnsi="Arial Narrow"/>
                <w:i/>
                <w:iCs/>
                <w:sz w:val="20"/>
                <w:szCs w:val="20"/>
              </w:rPr>
              <w:t>) </w:t>
            </w:r>
          </w:p>
          <w:p w14:paraId="7D53B763" w14:textId="1109D69C" w:rsidR="002A187F" w:rsidRPr="00334769" w:rsidRDefault="002A187F">
            <w:pPr>
              <w:ind w:left="-57"/>
              <w:rPr>
                <w:rFonts w:ascii="Arial Narrow" w:hAnsi="Arial Narrow"/>
                <w:i/>
                <w:iCs/>
                <w:sz w:val="20"/>
                <w:szCs w:val="20"/>
              </w:rPr>
            </w:pPr>
            <w:r w:rsidRPr="44072162">
              <w:rPr>
                <w:rFonts w:ascii="Arial Narrow" w:hAnsi="Arial Narrow"/>
                <w:i/>
                <w:iCs/>
                <w:sz w:val="20"/>
                <w:szCs w:val="20"/>
              </w:rPr>
              <w:t xml:space="preserve">Alternatively, applications for authority to prescribe can be submitted online using the form upload facility in Health Professional Online Services (HPOS) at </w:t>
            </w:r>
            <w:hyperlink r:id="rId10">
              <w:r w:rsidRPr="44072162">
                <w:rPr>
                  <w:rStyle w:val="Hyperlink"/>
                  <w:rFonts w:ascii="Arial Narrow" w:hAnsi="Arial Narrow"/>
                  <w:iCs/>
                  <w:sz w:val="20"/>
                  <w:szCs w:val="20"/>
                </w:rPr>
                <w:t>www.servicesaustralia.gov.au/hpos</w:t>
              </w:r>
            </w:hyperlink>
            <w:r w:rsidRPr="44072162">
              <w:rPr>
                <w:rFonts w:ascii="Arial Narrow" w:hAnsi="Arial Narrow"/>
                <w:i/>
                <w:iCs/>
                <w:sz w:val="20"/>
                <w:szCs w:val="20"/>
              </w:rPr>
              <w:t> </w:t>
            </w:r>
          </w:p>
          <w:p w14:paraId="0FAF4435" w14:textId="2218D3BE" w:rsidR="002A187F" w:rsidRPr="00334769" w:rsidRDefault="002A187F">
            <w:pPr>
              <w:ind w:left="-57"/>
              <w:rPr>
                <w:rFonts w:ascii="Arial Narrow" w:hAnsi="Arial Narrow"/>
                <w:i/>
                <w:iCs/>
                <w:sz w:val="20"/>
                <w:szCs w:val="20"/>
              </w:rPr>
            </w:pPr>
            <w:r w:rsidRPr="00334769">
              <w:rPr>
                <w:rFonts w:ascii="Arial Narrow" w:hAnsi="Arial Narrow"/>
                <w:i/>
                <w:iCs/>
                <w:sz w:val="20"/>
                <w:szCs w:val="20"/>
              </w:rPr>
              <w:t>Or mailed to: </w:t>
            </w:r>
          </w:p>
          <w:p w14:paraId="51D866D1" w14:textId="1F655EB2" w:rsidR="002A187F" w:rsidRPr="00334769" w:rsidRDefault="002A187F">
            <w:pPr>
              <w:ind w:left="-57"/>
              <w:rPr>
                <w:rFonts w:ascii="Arial Narrow" w:hAnsi="Arial Narrow"/>
                <w:i/>
                <w:iCs/>
                <w:sz w:val="20"/>
                <w:szCs w:val="20"/>
              </w:rPr>
            </w:pPr>
            <w:r w:rsidRPr="00334769">
              <w:rPr>
                <w:rFonts w:ascii="Arial Narrow" w:hAnsi="Arial Narrow"/>
                <w:i/>
                <w:iCs/>
                <w:sz w:val="20"/>
                <w:szCs w:val="20"/>
              </w:rPr>
              <w:t>Services Australia </w:t>
            </w:r>
          </w:p>
          <w:p w14:paraId="75ED374A" w14:textId="71B66C90" w:rsidR="002A187F" w:rsidRPr="00334769" w:rsidRDefault="002A187F">
            <w:pPr>
              <w:ind w:left="-57"/>
              <w:rPr>
                <w:rFonts w:ascii="Arial Narrow" w:hAnsi="Arial Narrow"/>
                <w:i/>
                <w:iCs/>
                <w:sz w:val="20"/>
                <w:szCs w:val="20"/>
              </w:rPr>
            </w:pPr>
            <w:r w:rsidRPr="00334769">
              <w:rPr>
                <w:rFonts w:ascii="Arial Narrow" w:hAnsi="Arial Narrow"/>
                <w:i/>
                <w:iCs/>
                <w:sz w:val="20"/>
                <w:szCs w:val="20"/>
              </w:rPr>
              <w:t>Complex Drugs </w:t>
            </w:r>
          </w:p>
          <w:p w14:paraId="286F0A25" w14:textId="220C9039" w:rsidR="002A187F" w:rsidRDefault="002A187F">
            <w:pPr>
              <w:ind w:left="-57"/>
              <w:rPr>
                <w:rFonts w:ascii="Arial Narrow" w:hAnsi="Arial Narrow"/>
                <w:i/>
                <w:iCs/>
                <w:sz w:val="20"/>
                <w:szCs w:val="20"/>
              </w:rPr>
            </w:pPr>
            <w:r w:rsidRPr="00334769">
              <w:rPr>
                <w:rFonts w:ascii="Arial Narrow" w:hAnsi="Arial Narrow"/>
                <w:i/>
                <w:iCs/>
                <w:sz w:val="20"/>
                <w:szCs w:val="20"/>
              </w:rPr>
              <w:t>Reply Paid 9826 </w:t>
            </w:r>
          </w:p>
          <w:p w14:paraId="46E4F573" w14:textId="253E288A" w:rsidR="002A187F" w:rsidRPr="00334769" w:rsidRDefault="002A187F">
            <w:pPr>
              <w:ind w:left="-57"/>
              <w:rPr>
                <w:rFonts w:ascii="Arial Narrow" w:hAnsi="Arial Narrow"/>
                <w:i/>
                <w:iCs/>
                <w:sz w:val="20"/>
                <w:szCs w:val="20"/>
              </w:rPr>
            </w:pPr>
            <w:r w:rsidRPr="00334769">
              <w:rPr>
                <w:rFonts w:ascii="Arial Narrow" w:hAnsi="Arial Narrow"/>
                <w:i/>
                <w:iCs/>
                <w:sz w:val="20"/>
                <w:szCs w:val="20"/>
              </w:rPr>
              <w:t>HOBART TAS 7001</w:t>
            </w:r>
            <w:r w:rsidRPr="007C6E0D">
              <w:rPr>
                <w:rFonts w:ascii="Arial Narrow" w:hAnsi="Arial Narrow"/>
                <w:b/>
                <w:bCs/>
                <w:sz w:val="20"/>
                <w:szCs w:val="20"/>
              </w:rPr>
              <w:t> </w:t>
            </w:r>
          </w:p>
        </w:tc>
      </w:tr>
    </w:tbl>
    <w:p w14:paraId="6748FA6D" w14:textId="64C33FE7" w:rsidR="002A187F" w:rsidRPr="00196EF7" w:rsidRDefault="002A187F" w:rsidP="000704B3">
      <w:pPr>
        <w:pStyle w:val="5-SubsectionSubheading"/>
      </w:pPr>
      <w:r>
        <w:lastRenderedPageBreak/>
        <w:t>Continuing</w:t>
      </w:r>
      <w:r w:rsidRPr="00196EF7">
        <w:t xml:space="preserve"> treatment phase: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784"/>
        <w:gridCol w:w="2668"/>
        <w:gridCol w:w="811"/>
        <w:gridCol w:w="812"/>
        <w:gridCol w:w="811"/>
        <w:gridCol w:w="812"/>
        <w:gridCol w:w="1831"/>
      </w:tblGrid>
      <w:tr w:rsidR="002A187F" w:rsidRPr="001428E9" w14:paraId="52D25F67" w14:textId="159B9782">
        <w:trPr>
          <w:cantSplit/>
          <w:trHeight w:val="20"/>
        </w:trPr>
        <w:tc>
          <w:tcPr>
            <w:tcW w:w="3939" w:type="dxa"/>
            <w:gridSpan w:val="3"/>
            <w:vAlign w:val="center"/>
          </w:tcPr>
          <w:p w14:paraId="75BC0FBF" w14:textId="4EF22755" w:rsidR="002A187F" w:rsidRPr="001428E9" w:rsidRDefault="002A187F">
            <w:pPr>
              <w:keepLines/>
              <w:rPr>
                <w:rFonts w:ascii="Arial Narrow" w:hAnsi="Arial Narrow"/>
                <w:b/>
                <w:bCs/>
                <w:sz w:val="20"/>
                <w:szCs w:val="20"/>
              </w:rPr>
            </w:pPr>
            <w:r w:rsidRPr="001428E9">
              <w:rPr>
                <w:rFonts w:ascii="Arial Narrow" w:hAnsi="Arial Narrow"/>
                <w:b/>
                <w:bCs/>
                <w:sz w:val="20"/>
                <w:szCs w:val="20"/>
              </w:rPr>
              <w:t>MEDICINAL PRODUCT</w:t>
            </w:r>
          </w:p>
          <w:p w14:paraId="4AB4FEA8" w14:textId="1C38FACB" w:rsidR="002A187F" w:rsidRPr="001428E9" w:rsidRDefault="002A187F">
            <w:pPr>
              <w:keepLines/>
              <w:rPr>
                <w:rFonts w:ascii="Arial Narrow" w:hAnsi="Arial Narrow"/>
                <w:b/>
                <w:sz w:val="20"/>
                <w:szCs w:val="20"/>
              </w:rPr>
            </w:pPr>
            <w:r w:rsidRPr="001428E9">
              <w:rPr>
                <w:rFonts w:ascii="Arial Narrow" w:hAnsi="Arial Narrow"/>
                <w:b/>
                <w:bCs/>
                <w:sz w:val="20"/>
                <w:szCs w:val="20"/>
              </w:rPr>
              <w:t>medicinal product pack</w:t>
            </w:r>
          </w:p>
        </w:tc>
        <w:tc>
          <w:tcPr>
            <w:tcW w:w="811" w:type="dxa"/>
            <w:vAlign w:val="center"/>
          </w:tcPr>
          <w:p w14:paraId="1C9A5F01" w14:textId="21F80EBD" w:rsidR="002A187F" w:rsidRPr="001428E9" w:rsidRDefault="002A187F">
            <w:pPr>
              <w:keepLines/>
              <w:jc w:val="center"/>
              <w:rPr>
                <w:rFonts w:ascii="Arial Narrow" w:hAnsi="Arial Narrow"/>
                <w:b/>
                <w:sz w:val="20"/>
                <w:szCs w:val="20"/>
              </w:rPr>
            </w:pPr>
            <w:r w:rsidRPr="001428E9">
              <w:rPr>
                <w:rFonts w:ascii="Arial Narrow" w:hAnsi="Arial Narrow"/>
                <w:b/>
                <w:sz w:val="20"/>
                <w:szCs w:val="20"/>
              </w:rPr>
              <w:t>PBS item code</w:t>
            </w:r>
          </w:p>
        </w:tc>
        <w:tc>
          <w:tcPr>
            <w:tcW w:w="812" w:type="dxa"/>
            <w:vAlign w:val="center"/>
          </w:tcPr>
          <w:p w14:paraId="693B7962" w14:textId="54E7037B" w:rsidR="002A187F" w:rsidRPr="001428E9" w:rsidRDefault="002A187F">
            <w:pPr>
              <w:keepLines/>
              <w:jc w:val="center"/>
              <w:rPr>
                <w:rFonts w:ascii="Arial Narrow" w:hAnsi="Arial Narrow"/>
                <w:b/>
                <w:sz w:val="20"/>
                <w:szCs w:val="20"/>
              </w:rPr>
            </w:pPr>
            <w:r w:rsidRPr="001428E9">
              <w:rPr>
                <w:rFonts w:ascii="Arial Narrow" w:hAnsi="Arial Narrow"/>
                <w:b/>
                <w:sz w:val="20"/>
                <w:szCs w:val="20"/>
              </w:rPr>
              <w:t>Max. qty packs</w:t>
            </w:r>
          </w:p>
        </w:tc>
        <w:tc>
          <w:tcPr>
            <w:tcW w:w="811" w:type="dxa"/>
            <w:vAlign w:val="center"/>
          </w:tcPr>
          <w:p w14:paraId="29ACA481" w14:textId="11EDF981" w:rsidR="002A187F" w:rsidRPr="001428E9" w:rsidRDefault="002A187F">
            <w:pPr>
              <w:keepLines/>
              <w:jc w:val="center"/>
              <w:rPr>
                <w:rFonts w:ascii="Arial Narrow" w:hAnsi="Arial Narrow"/>
                <w:b/>
                <w:sz w:val="20"/>
                <w:szCs w:val="20"/>
              </w:rPr>
            </w:pPr>
            <w:r w:rsidRPr="001428E9">
              <w:rPr>
                <w:rFonts w:ascii="Arial Narrow" w:hAnsi="Arial Narrow"/>
                <w:b/>
                <w:sz w:val="20"/>
                <w:szCs w:val="20"/>
              </w:rPr>
              <w:t>Max. qty units</w:t>
            </w:r>
          </w:p>
        </w:tc>
        <w:tc>
          <w:tcPr>
            <w:tcW w:w="812" w:type="dxa"/>
            <w:vAlign w:val="center"/>
          </w:tcPr>
          <w:p w14:paraId="5F2FC506" w14:textId="43FEB43E" w:rsidR="002A187F" w:rsidRPr="001428E9" w:rsidRDefault="002A187F">
            <w:pPr>
              <w:keepLines/>
              <w:jc w:val="center"/>
              <w:rPr>
                <w:rFonts w:ascii="Arial Narrow" w:hAnsi="Arial Narrow"/>
                <w:b/>
                <w:bCs/>
                <w:sz w:val="20"/>
                <w:szCs w:val="20"/>
              </w:rPr>
            </w:pPr>
            <w:r w:rsidRPr="44072162">
              <w:rPr>
                <w:rFonts w:ascii="Arial Narrow" w:hAnsi="Arial Narrow"/>
                <w:b/>
                <w:bCs/>
                <w:sz w:val="20"/>
                <w:szCs w:val="20"/>
              </w:rPr>
              <w:t>№.of</w:t>
            </w:r>
          </w:p>
          <w:p w14:paraId="46A6610E" w14:textId="737A3F2E" w:rsidR="002A187F" w:rsidRPr="001428E9" w:rsidRDefault="002A187F">
            <w:pPr>
              <w:keepLines/>
              <w:jc w:val="center"/>
              <w:rPr>
                <w:rFonts w:ascii="Arial Narrow" w:hAnsi="Arial Narrow"/>
                <w:b/>
                <w:bCs/>
                <w:sz w:val="20"/>
                <w:szCs w:val="20"/>
              </w:rPr>
            </w:pPr>
            <w:proofErr w:type="spellStart"/>
            <w:r w:rsidRPr="44072162">
              <w:rPr>
                <w:rFonts w:ascii="Arial Narrow" w:hAnsi="Arial Narrow"/>
                <w:b/>
                <w:bCs/>
                <w:sz w:val="20"/>
                <w:szCs w:val="20"/>
              </w:rPr>
              <w:t>Rpts</w:t>
            </w:r>
            <w:proofErr w:type="spellEnd"/>
          </w:p>
        </w:tc>
        <w:tc>
          <w:tcPr>
            <w:tcW w:w="1831" w:type="dxa"/>
            <w:vAlign w:val="center"/>
          </w:tcPr>
          <w:p w14:paraId="77E622CF" w14:textId="51F3EB6D" w:rsidR="002A187F" w:rsidRPr="001428E9" w:rsidRDefault="002A187F">
            <w:pPr>
              <w:keepLines/>
              <w:rPr>
                <w:rFonts w:ascii="Arial Narrow" w:hAnsi="Arial Narrow"/>
                <w:b/>
                <w:sz w:val="20"/>
                <w:szCs w:val="20"/>
                <w:lang w:val="fr-FR"/>
              </w:rPr>
            </w:pPr>
            <w:r w:rsidRPr="001428E9">
              <w:rPr>
                <w:rFonts w:ascii="Arial Narrow" w:hAnsi="Arial Narrow"/>
                <w:b/>
                <w:sz w:val="20"/>
                <w:szCs w:val="20"/>
              </w:rPr>
              <w:t>Available brands</w:t>
            </w:r>
          </w:p>
        </w:tc>
      </w:tr>
      <w:tr w:rsidR="002A187F" w:rsidRPr="001428E9" w14:paraId="5E4C5F9D" w14:textId="7EE06C52">
        <w:trPr>
          <w:cantSplit/>
          <w:trHeight w:val="20"/>
        </w:trPr>
        <w:tc>
          <w:tcPr>
            <w:tcW w:w="9016" w:type="dxa"/>
            <w:gridSpan w:val="8"/>
            <w:vAlign w:val="center"/>
          </w:tcPr>
          <w:p w14:paraId="6BA2C42A" w14:textId="39F81F95" w:rsidR="002A187F" w:rsidRPr="001428E9" w:rsidRDefault="002A187F">
            <w:pPr>
              <w:keepLines/>
              <w:rPr>
                <w:rFonts w:ascii="Arial Narrow" w:hAnsi="Arial Narrow"/>
                <w:sz w:val="20"/>
                <w:szCs w:val="20"/>
              </w:rPr>
            </w:pPr>
            <w:r>
              <w:rPr>
                <w:rFonts w:ascii="Arial Narrow" w:hAnsi="Arial Narrow"/>
                <w:sz w:val="20"/>
                <w:szCs w:val="20"/>
              </w:rPr>
              <w:t>OMALIZUMAB</w:t>
            </w:r>
          </w:p>
        </w:tc>
      </w:tr>
      <w:tr w:rsidR="002A187F" w:rsidRPr="001428E9" w14:paraId="059E5768" w14:textId="772BE99A">
        <w:trPr>
          <w:cantSplit/>
          <w:trHeight w:val="20"/>
        </w:trPr>
        <w:tc>
          <w:tcPr>
            <w:tcW w:w="3939" w:type="dxa"/>
            <w:gridSpan w:val="3"/>
            <w:vAlign w:val="center"/>
          </w:tcPr>
          <w:p w14:paraId="32FCFAA7" w14:textId="136EB260" w:rsidR="002A187F" w:rsidRPr="001428E9" w:rsidRDefault="002A187F">
            <w:pPr>
              <w:keepLines/>
              <w:rPr>
                <w:rFonts w:ascii="Arial Narrow" w:hAnsi="Arial Narrow"/>
                <w:sz w:val="20"/>
                <w:szCs w:val="20"/>
              </w:rPr>
            </w:pPr>
            <w:r w:rsidRPr="00285BC2">
              <w:rPr>
                <w:rFonts w:ascii="Arial Narrow" w:hAnsi="Arial Narrow"/>
                <w:sz w:val="20"/>
                <w:szCs w:val="20"/>
              </w:rPr>
              <w:t>omalizumab 75 mg/0.5 mL injection, 0.5 mL syringe</w:t>
            </w:r>
          </w:p>
        </w:tc>
        <w:tc>
          <w:tcPr>
            <w:tcW w:w="811" w:type="dxa"/>
            <w:vAlign w:val="center"/>
          </w:tcPr>
          <w:p w14:paraId="2E28B2BC" w14:textId="6158EEB2" w:rsidR="002A187F" w:rsidRDefault="002A187F">
            <w:pPr>
              <w:keepLines/>
              <w:jc w:val="center"/>
              <w:rPr>
                <w:rFonts w:ascii="Arial Narrow" w:hAnsi="Arial Narrow"/>
                <w:sz w:val="20"/>
                <w:szCs w:val="20"/>
              </w:rPr>
            </w:pPr>
            <w:r w:rsidRPr="001428E9">
              <w:rPr>
                <w:rFonts w:ascii="Arial Narrow" w:hAnsi="Arial Narrow"/>
                <w:sz w:val="20"/>
                <w:szCs w:val="20"/>
              </w:rPr>
              <w:t>NEW</w:t>
            </w:r>
            <w:r>
              <w:rPr>
                <w:rFonts w:ascii="Arial Narrow" w:hAnsi="Arial Narrow"/>
                <w:sz w:val="20"/>
                <w:szCs w:val="20"/>
              </w:rPr>
              <w:t>/</w:t>
            </w:r>
          </w:p>
          <w:p w14:paraId="6A5D9682" w14:textId="7FEE46C3" w:rsidR="002A187F" w:rsidRPr="001428E9" w:rsidRDefault="002A187F">
            <w:pPr>
              <w:keepLines/>
              <w:jc w:val="center"/>
              <w:rPr>
                <w:rFonts w:ascii="Arial Narrow" w:hAnsi="Arial Narrow"/>
                <w:sz w:val="20"/>
                <w:szCs w:val="20"/>
              </w:rPr>
            </w:pPr>
            <w:r>
              <w:rPr>
                <w:rFonts w:ascii="Arial Narrow" w:hAnsi="Arial Narrow"/>
                <w:sz w:val="20"/>
                <w:szCs w:val="20"/>
              </w:rPr>
              <w:t>Public</w:t>
            </w:r>
          </w:p>
        </w:tc>
        <w:tc>
          <w:tcPr>
            <w:tcW w:w="812" w:type="dxa"/>
            <w:vAlign w:val="center"/>
          </w:tcPr>
          <w:p w14:paraId="2363EC9E" w14:textId="54D77492" w:rsidR="002A187F" w:rsidRPr="001428E9" w:rsidRDefault="002A187F">
            <w:pPr>
              <w:keepLines/>
              <w:jc w:val="center"/>
              <w:rPr>
                <w:rFonts w:ascii="Arial Narrow" w:hAnsi="Arial Narrow"/>
                <w:sz w:val="20"/>
                <w:szCs w:val="20"/>
              </w:rPr>
            </w:pPr>
            <w:r w:rsidRPr="001428E9">
              <w:rPr>
                <w:rFonts w:ascii="Arial Narrow" w:hAnsi="Arial Narrow"/>
                <w:sz w:val="20"/>
                <w:szCs w:val="20"/>
              </w:rPr>
              <w:t>1</w:t>
            </w:r>
          </w:p>
        </w:tc>
        <w:tc>
          <w:tcPr>
            <w:tcW w:w="811" w:type="dxa"/>
            <w:vAlign w:val="center"/>
          </w:tcPr>
          <w:p w14:paraId="4B7938BF" w14:textId="59D41CC9" w:rsidR="002A187F" w:rsidRPr="001428E9" w:rsidRDefault="002A187F">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0482DEF1" w14:textId="7C9EF085" w:rsidR="002A187F" w:rsidRPr="001428E9" w:rsidRDefault="002A187F">
            <w:pPr>
              <w:keepLines/>
              <w:jc w:val="center"/>
              <w:rPr>
                <w:rFonts w:ascii="Arial Narrow" w:hAnsi="Arial Narrow"/>
                <w:sz w:val="20"/>
                <w:szCs w:val="20"/>
              </w:rPr>
            </w:pPr>
            <w:r w:rsidRPr="002B2F93">
              <w:rPr>
                <w:rFonts w:ascii="Arial Narrow" w:hAnsi="Arial Narrow"/>
                <w:strike/>
                <w:sz w:val="20"/>
                <w:szCs w:val="20"/>
              </w:rPr>
              <w:t>6</w:t>
            </w:r>
            <w:r w:rsidRPr="002B2F93">
              <w:rPr>
                <w:rFonts w:ascii="Arial Narrow" w:hAnsi="Arial Narrow"/>
                <w:i/>
                <w:iCs/>
                <w:sz w:val="20"/>
                <w:szCs w:val="20"/>
              </w:rPr>
              <w:t>5</w:t>
            </w:r>
          </w:p>
        </w:tc>
        <w:tc>
          <w:tcPr>
            <w:tcW w:w="1831" w:type="dxa"/>
            <w:vAlign w:val="center"/>
          </w:tcPr>
          <w:p w14:paraId="2BAF7814" w14:textId="1B17B29D" w:rsidR="002A187F" w:rsidRPr="001428E9" w:rsidRDefault="002A187F">
            <w:pPr>
              <w:keepLines/>
              <w:rPr>
                <w:rFonts w:ascii="Arial Narrow" w:hAnsi="Arial Narrow"/>
                <w:sz w:val="20"/>
                <w:szCs w:val="20"/>
              </w:rPr>
            </w:pPr>
            <w:r>
              <w:rPr>
                <w:rFonts w:ascii="Arial Narrow" w:hAnsi="Arial Narrow"/>
                <w:sz w:val="20"/>
                <w:szCs w:val="20"/>
              </w:rPr>
              <w:t>Xolair</w:t>
            </w:r>
          </w:p>
        </w:tc>
      </w:tr>
      <w:tr w:rsidR="002A187F" w:rsidRPr="001428E9" w14:paraId="03561900" w14:textId="4DD1BFAB">
        <w:trPr>
          <w:cantSplit/>
          <w:trHeight w:val="20"/>
        </w:trPr>
        <w:tc>
          <w:tcPr>
            <w:tcW w:w="3939" w:type="dxa"/>
            <w:gridSpan w:val="3"/>
            <w:vAlign w:val="center"/>
          </w:tcPr>
          <w:p w14:paraId="268BF6D7" w14:textId="2670CF72" w:rsidR="002A187F" w:rsidRPr="001428E9" w:rsidRDefault="002A187F">
            <w:pPr>
              <w:keepLines/>
              <w:rPr>
                <w:rFonts w:ascii="Arial Narrow" w:hAnsi="Arial Narrow"/>
                <w:sz w:val="20"/>
                <w:szCs w:val="20"/>
              </w:rPr>
            </w:pPr>
            <w:r w:rsidRPr="00285BC2">
              <w:rPr>
                <w:rFonts w:ascii="Arial Narrow" w:hAnsi="Arial Narrow"/>
                <w:sz w:val="20"/>
                <w:szCs w:val="20"/>
              </w:rPr>
              <w:t>omalizumab 75 mg/0.5 mL injection, 0.5 mL syringe</w:t>
            </w:r>
          </w:p>
        </w:tc>
        <w:tc>
          <w:tcPr>
            <w:tcW w:w="811" w:type="dxa"/>
            <w:vAlign w:val="center"/>
          </w:tcPr>
          <w:p w14:paraId="62896993" w14:textId="429B1C53" w:rsidR="002A187F" w:rsidRPr="001428E9" w:rsidRDefault="002A187F">
            <w:pPr>
              <w:keepLines/>
              <w:rPr>
                <w:rFonts w:ascii="Arial Narrow" w:hAnsi="Arial Narrow"/>
                <w:sz w:val="20"/>
                <w:szCs w:val="20"/>
              </w:rPr>
            </w:pPr>
            <w:r w:rsidRPr="001428E9">
              <w:rPr>
                <w:rFonts w:ascii="Arial Narrow" w:hAnsi="Arial Narrow"/>
                <w:sz w:val="20"/>
                <w:szCs w:val="20"/>
              </w:rPr>
              <w:t xml:space="preserve"> NEW</w:t>
            </w:r>
            <w:r>
              <w:rPr>
                <w:rFonts w:ascii="Arial Narrow" w:hAnsi="Arial Narrow"/>
                <w:sz w:val="20"/>
                <w:szCs w:val="20"/>
              </w:rPr>
              <w:t>/ Private</w:t>
            </w:r>
          </w:p>
        </w:tc>
        <w:tc>
          <w:tcPr>
            <w:tcW w:w="812" w:type="dxa"/>
            <w:vAlign w:val="center"/>
          </w:tcPr>
          <w:p w14:paraId="4CA41394" w14:textId="6984CDBC" w:rsidR="002A187F" w:rsidRPr="001428E9" w:rsidRDefault="002A187F">
            <w:pPr>
              <w:keepLines/>
              <w:jc w:val="center"/>
              <w:rPr>
                <w:rFonts w:ascii="Arial Narrow" w:hAnsi="Arial Narrow"/>
                <w:sz w:val="20"/>
                <w:szCs w:val="20"/>
              </w:rPr>
            </w:pPr>
            <w:r w:rsidRPr="001428E9">
              <w:rPr>
                <w:rFonts w:ascii="Arial Narrow" w:hAnsi="Arial Narrow"/>
                <w:sz w:val="20"/>
                <w:szCs w:val="20"/>
              </w:rPr>
              <w:t>1</w:t>
            </w:r>
          </w:p>
        </w:tc>
        <w:tc>
          <w:tcPr>
            <w:tcW w:w="811" w:type="dxa"/>
            <w:vAlign w:val="center"/>
          </w:tcPr>
          <w:p w14:paraId="4D8FF32D" w14:textId="699D5AD0" w:rsidR="002A187F" w:rsidRPr="001428E9" w:rsidRDefault="002A187F">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2670DA18" w14:textId="64080761" w:rsidR="002A187F" w:rsidRPr="001428E9" w:rsidRDefault="002A187F">
            <w:pPr>
              <w:keepLines/>
              <w:jc w:val="center"/>
              <w:rPr>
                <w:rFonts w:ascii="Arial Narrow" w:hAnsi="Arial Narrow"/>
                <w:sz w:val="20"/>
                <w:szCs w:val="20"/>
              </w:rPr>
            </w:pPr>
            <w:r w:rsidRPr="002B2F93">
              <w:rPr>
                <w:rFonts w:ascii="Arial Narrow" w:hAnsi="Arial Narrow"/>
                <w:strike/>
                <w:sz w:val="20"/>
                <w:szCs w:val="20"/>
              </w:rPr>
              <w:t>6</w:t>
            </w:r>
            <w:r w:rsidRPr="002B2F93">
              <w:rPr>
                <w:rFonts w:ascii="Arial Narrow" w:hAnsi="Arial Narrow"/>
                <w:i/>
                <w:iCs/>
                <w:sz w:val="20"/>
                <w:szCs w:val="20"/>
              </w:rPr>
              <w:t>5</w:t>
            </w:r>
          </w:p>
        </w:tc>
        <w:tc>
          <w:tcPr>
            <w:tcW w:w="1831" w:type="dxa"/>
            <w:vAlign w:val="center"/>
          </w:tcPr>
          <w:p w14:paraId="526B8EE7" w14:textId="388E8003" w:rsidR="002A187F" w:rsidRPr="001428E9" w:rsidRDefault="002A187F">
            <w:pPr>
              <w:keepLines/>
              <w:rPr>
                <w:rFonts w:ascii="Arial Narrow" w:hAnsi="Arial Narrow"/>
                <w:sz w:val="20"/>
                <w:szCs w:val="20"/>
              </w:rPr>
            </w:pPr>
            <w:r>
              <w:rPr>
                <w:rFonts w:ascii="Arial Narrow" w:hAnsi="Arial Narrow"/>
                <w:sz w:val="20"/>
                <w:szCs w:val="20"/>
              </w:rPr>
              <w:t>Xolair</w:t>
            </w:r>
          </w:p>
        </w:tc>
      </w:tr>
      <w:tr w:rsidR="002A187F" w:rsidRPr="001428E9" w14:paraId="32F2114F" w14:textId="0CC9D066">
        <w:trPr>
          <w:cantSplit/>
          <w:trHeight w:val="20"/>
        </w:trPr>
        <w:tc>
          <w:tcPr>
            <w:tcW w:w="3939" w:type="dxa"/>
            <w:gridSpan w:val="3"/>
            <w:vAlign w:val="center"/>
          </w:tcPr>
          <w:p w14:paraId="1909C9C1" w14:textId="0F4ADA2D" w:rsidR="002A187F" w:rsidRPr="00285BC2" w:rsidRDefault="002A187F">
            <w:pPr>
              <w:keepLines/>
              <w:rPr>
                <w:rFonts w:ascii="Arial Narrow" w:hAnsi="Arial Narrow"/>
                <w:sz w:val="20"/>
                <w:szCs w:val="20"/>
              </w:rPr>
            </w:pPr>
            <w:r w:rsidRPr="00285BC2">
              <w:rPr>
                <w:rFonts w:ascii="Arial Narrow" w:hAnsi="Arial Narrow"/>
                <w:sz w:val="20"/>
                <w:szCs w:val="20"/>
              </w:rPr>
              <w:t xml:space="preserve">omalizumab </w:t>
            </w:r>
            <w:r>
              <w:rPr>
                <w:rFonts w:ascii="Arial Narrow" w:hAnsi="Arial Narrow"/>
                <w:sz w:val="20"/>
                <w:szCs w:val="20"/>
              </w:rPr>
              <w:t>150</w:t>
            </w:r>
            <w:r w:rsidRPr="00285BC2">
              <w:rPr>
                <w:rFonts w:ascii="Arial Narrow" w:hAnsi="Arial Narrow"/>
                <w:sz w:val="20"/>
                <w:szCs w:val="20"/>
              </w:rPr>
              <w:t xml:space="preserve"> mg/</w:t>
            </w:r>
            <w:r>
              <w:rPr>
                <w:rFonts w:ascii="Arial Narrow" w:hAnsi="Arial Narrow"/>
                <w:sz w:val="20"/>
                <w:szCs w:val="20"/>
              </w:rPr>
              <w:t xml:space="preserve"> </w:t>
            </w:r>
            <w:r w:rsidRPr="00285BC2">
              <w:rPr>
                <w:rFonts w:ascii="Arial Narrow" w:hAnsi="Arial Narrow"/>
                <w:sz w:val="20"/>
                <w:szCs w:val="20"/>
              </w:rPr>
              <w:t xml:space="preserve">mL injection, </w:t>
            </w:r>
            <w:r>
              <w:rPr>
                <w:rFonts w:ascii="Arial Narrow" w:hAnsi="Arial Narrow"/>
                <w:sz w:val="20"/>
                <w:szCs w:val="20"/>
              </w:rPr>
              <w:t>1</w:t>
            </w:r>
            <w:r w:rsidRPr="00285BC2">
              <w:rPr>
                <w:rFonts w:ascii="Arial Narrow" w:hAnsi="Arial Narrow"/>
                <w:sz w:val="20"/>
                <w:szCs w:val="20"/>
              </w:rPr>
              <w:t xml:space="preserve"> mL syringe</w:t>
            </w:r>
          </w:p>
        </w:tc>
        <w:tc>
          <w:tcPr>
            <w:tcW w:w="811" w:type="dxa"/>
            <w:vAlign w:val="center"/>
          </w:tcPr>
          <w:p w14:paraId="278D9FCC" w14:textId="7383A03D" w:rsidR="002A187F" w:rsidRDefault="002A187F">
            <w:pPr>
              <w:keepLines/>
              <w:jc w:val="center"/>
              <w:rPr>
                <w:rFonts w:ascii="Arial Narrow" w:hAnsi="Arial Narrow"/>
                <w:sz w:val="20"/>
                <w:szCs w:val="20"/>
              </w:rPr>
            </w:pPr>
            <w:r w:rsidRPr="001428E9">
              <w:rPr>
                <w:rFonts w:ascii="Arial Narrow" w:hAnsi="Arial Narrow"/>
                <w:sz w:val="20"/>
                <w:szCs w:val="20"/>
              </w:rPr>
              <w:t>NEW</w:t>
            </w:r>
            <w:r>
              <w:rPr>
                <w:rFonts w:ascii="Arial Narrow" w:hAnsi="Arial Narrow"/>
                <w:sz w:val="20"/>
                <w:szCs w:val="20"/>
              </w:rPr>
              <w:t>/</w:t>
            </w:r>
          </w:p>
          <w:p w14:paraId="7F380ECD" w14:textId="77252180" w:rsidR="002A187F" w:rsidRPr="001428E9" w:rsidRDefault="002A187F">
            <w:pPr>
              <w:keepLines/>
              <w:jc w:val="center"/>
              <w:rPr>
                <w:rFonts w:ascii="Arial Narrow" w:hAnsi="Arial Narrow"/>
                <w:sz w:val="20"/>
                <w:szCs w:val="20"/>
              </w:rPr>
            </w:pPr>
            <w:r>
              <w:rPr>
                <w:rFonts w:ascii="Arial Narrow" w:hAnsi="Arial Narrow"/>
                <w:sz w:val="20"/>
                <w:szCs w:val="20"/>
              </w:rPr>
              <w:t>Public</w:t>
            </w:r>
          </w:p>
        </w:tc>
        <w:tc>
          <w:tcPr>
            <w:tcW w:w="812" w:type="dxa"/>
            <w:vAlign w:val="center"/>
          </w:tcPr>
          <w:p w14:paraId="249CC96F" w14:textId="4F6D1E84" w:rsidR="002A187F" w:rsidRPr="001428E9" w:rsidRDefault="002A187F">
            <w:pPr>
              <w:keepLines/>
              <w:jc w:val="center"/>
              <w:rPr>
                <w:rFonts w:ascii="Arial Narrow" w:hAnsi="Arial Narrow"/>
                <w:sz w:val="20"/>
                <w:szCs w:val="20"/>
              </w:rPr>
            </w:pPr>
            <w:r w:rsidRPr="001428E9">
              <w:rPr>
                <w:rFonts w:ascii="Arial Narrow" w:hAnsi="Arial Narrow"/>
                <w:sz w:val="20"/>
                <w:szCs w:val="20"/>
              </w:rPr>
              <w:t>1</w:t>
            </w:r>
          </w:p>
        </w:tc>
        <w:tc>
          <w:tcPr>
            <w:tcW w:w="811" w:type="dxa"/>
            <w:vAlign w:val="center"/>
          </w:tcPr>
          <w:p w14:paraId="2DE85DA6" w14:textId="1CFD5A11" w:rsidR="002A187F" w:rsidRDefault="002A187F">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465D773B" w14:textId="7BBB3A62" w:rsidR="002A187F" w:rsidRPr="002B2F93" w:rsidRDefault="002A187F">
            <w:pPr>
              <w:keepLines/>
              <w:jc w:val="center"/>
              <w:rPr>
                <w:rFonts w:ascii="Arial Narrow" w:hAnsi="Arial Narrow"/>
                <w:strike/>
                <w:sz w:val="20"/>
                <w:szCs w:val="20"/>
              </w:rPr>
            </w:pPr>
            <w:r w:rsidRPr="002B2F93">
              <w:rPr>
                <w:rFonts w:ascii="Arial Narrow" w:hAnsi="Arial Narrow"/>
                <w:strike/>
                <w:sz w:val="20"/>
                <w:szCs w:val="20"/>
              </w:rPr>
              <w:t>6</w:t>
            </w:r>
            <w:r w:rsidRPr="002B2F93">
              <w:rPr>
                <w:rFonts w:ascii="Arial Narrow" w:hAnsi="Arial Narrow"/>
                <w:i/>
                <w:iCs/>
                <w:sz w:val="20"/>
                <w:szCs w:val="20"/>
              </w:rPr>
              <w:t>5</w:t>
            </w:r>
          </w:p>
        </w:tc>
        <w:tc>
          <w:tcPr>
            <w:tcW w:w="1831" w:type="dxa"/>
            <w:vAlign w:val="center"/>
          </w:tcPr>
          <w:p w14:paraId="0AB3E8AE" w14:textId="36238C4A" w:rsidR="002A187F" w:rsidRDefault="002A187F">
            <w:pPr>
              <w:keepLines/>
              <w:rPr>
                <w:rFonts w:ascii="Arial Narrow" w:hAnsi="Arial Narrow"/>
                <w:sz w:val="20"/>
                <w:szCs w:val="20"/>
              </w:rPr>
            </w:pPr>
            <w:r>
              <w:rPr>
                <w:rFonts w:ascii="Arial Narrow" w:hAnsi="Arial Narrow"/>
                <w:sz w:val="20"/>
                <w:szCs w:val="20"/>
              </w:rPr>
              <w:t>Xolair</w:t>
            </w:r>
          </w:p>
        </w:tc>
      </w:tr>
      <w:tr w:rsidR="002A187F" w:rsidRPr="001428E9" w14:paraId="05785628" w14:textId="1F92C1DD">
        <w:trPr>
          <w:cantSplit/>
          <w:trHeight w:val="20"/>
        </w:trPr>
        <w:tc>
          <w:tcPr>
            <w:tcW w:w="3939" w:type="dxa"/>
            <w:gridSpan w:val="3"/>
            <w:vAlign w:val="center"/>
          </w:tcPr>
          <w:p w14:paraId="0B8EE316" w14:textId="38F41DE2" w:rsidR="002A187F" w:rsidRPr="00285BC2" w:rsidRDefault="002A187F">
            <w:pPr>
              <w:keepLines/>
              <w:rPr>
                <w:rFonts w:ascii="Arial Narrow" w:hAnsi="Arial Narrow"/>
                <w:sz w:val="20"/>
                <w:szCs w:val="20"/>
              </w:rPr>
            </w:pPr>
            <w:r w:rsidRPr="00285BC2">
              <w:rPr>
                <w:rFonts w:ascii="Arial Narrow" w:hAnsi="Arial Narrow"/>
                <w:sz w:val="20"/>
                <w:szCs w:val="20"/>
              </w:rPr>
              <w:t xml:space="preserve">omalizumab </w:t>
            </w:r>
            <w:r>
              <w:rPr>
                <w:rFonts w:ascii="Arial Narrow" w:hAnsi="Arial Narrow"/>
                <w:sz w:val="20"/>
                <w:szCs w:val="20"/>
              </w:rPr>
              <w:t>150</w:t>
            </w:r>
            <w:r w:rsidRPr="00285BC2">
              <w:rPr>
                <w:rFonts w:ascii="Arial Narrow" w:hAnsi="Arial Narrow"/>
                <w:sz w:val="20"/>
                <w:szCs w:val="20"/>
              </w:rPr>
              <w:t xml:space="preserve"> mg/ mL injection, </w:t>
            </w:r>
            <w:r>
              <w:rPr>
                <w:rFonts w:ascii="Arial Narrow" w:hAnsi="Arial Narrow"/>
                <w:sz w:val="20"/>
                <w:szCs w:val="20"/>
              </w:rPr>
              <w:t>1</w:t>
            </w:r>
            <w:r w:rsidRPr="00285BC2">
              <w:rPr>
                <w:rFonts w:ascii="Arial Narrow" w:hAnsi="Arial Narrow"/>
                <w:sz w:val="20"/>
                <w:szCs w:val="20"/>
              </w:rPr>
              <w:t xml:space="preserve"> mL syringe</w:t>
            </w:r>
          </w:p>
        </w:tc>
        <w:tc>
          <w:tcPr>
            <w:tcW w:w="811" w:type="dxa"/>
            <w:vAlign w:val="center"/>
          </w:tcPr>
          <w:p w14:paraId="03AA7F3D" w14:textId="22FA464E" w:rsidR="002A187F" w:rsidRPr="001428E9" w:rsidRDefault="002A187F">
            <w:pPr>
              <w:keepLines/>
              <w:jc w:val="center"/>
              <w:rPr>
                <w:rFonts w:ascii="Arial Narrow" w:hAnsi="Arial Narrow"/>
                <w:sz w:val="20"/>
                <w:szCs w:val="20"/>
              </w:rPr>
            </w:pPr>
            <w:r w:rsidRPr="001428E9">
              <w:rPr>
                <w:rFonts w:ascii="Arial Narrow" w:hAnsi="Arial Narrow"/>
                <w:sz w:val="20"/>
                <w:szCs w:val="20"/>
              </w:rPr>
              <w:t>NEW</w:t>
            </w:r>
            <w:r>
              <w:rPr>
                <w:rFonts w:ascii="Arial Narrow" w:hAnsi="Arial Narrow"/>
                <w:sz w:val="20"/>
                <w:szCs w:val="20"/>
              </w:rPr>
              <w:t>/ Private</w:t>
            </w:r>
          </w:p>
        </w:tc>
        <w:tc>
          <w:tcPr>
            <w:tcW w:w="812" w:type="dxa"/>
            <w:vAlign w:val="center"/>
          </w:tcPr>
          <w:p w14:paraId="3EDFFC23" w14:textId="0B194582" w:rsidR="002A187F" w:rsidRPr="001428E9" w:rsidRDefault="002A187F">
            <w:pPr>
              <w:keepLines/>
              <w:jc w:val="center"/>
              <w:rPr>
                <w:rFonts w:ascii="Arial Narrow" w:hAnsi="Arial Narrow"/>
                <w:sz w:val="20"/>
                <w:szCs w:val="20"/>
              </w:rPr>
            </w:pPr>
            <w:r w:rsidRPr="001428E9">
              <w:rPr>
                <w:rFonts w:ascii="Arial Narrow" w:hAnsi="Arial Narrow"/>
                <w:sz w:val="20"/>
                <w:szCs w:val="20"/>
              </w:rPr>
              <w:t>1</w:t>
            </w:r>
          </w:p>
        </w:tc>
        <w:tc>
          <w:tcPr>
            <w:tcW w:w="811" w:type="dxa"/>
            <w:vAlign w:val="center"/>
          </w:tcPr>
          <w:p w14:paraId="31D88E4D" w14:textId="193D8DFE" w:rsidR="002A187F" w:rsidRDefault="002A187F">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5BD7F3AB" w14:textId="6FC66029" w:rsidR="002A187F" w:rsidRPr="002B2F93" w:rsidRDefault="002A187F">
            <w:pPr>
              <w:keepLines/>
              <w:jc w:val="center"/>
              <w:rPr>
                <w:rFonts w:ascii="Arial Narrow" w:hAnsi="Arial Narrow"/>
                <w:strike/>
                <w:sz w:val="20"/>
                <w:szCs w:val="20"/>
              </w:rPr>
            </w:pPr>
            <w:r w:rsidRPr="002B2F93">
              <w:rPr>
                <w:rFonts w:ascii="Arial Narrow" w:hAnsi="Arial Narrow"/>
                <w:strike/>
                <w:sz w:val="20"/>
                <w:szCs w:val="20"/>
              </w:rPr>
              <w:t>6</w:t>
            </w:r>
            <w:r w:rsidRPr="002B2F93">
              <w:rPr>
                <w:rFonts w:ascii="Arial Narrow" w:hAnsi="Arial Narrow"/>
                <w:i/>
                <w:iCs/>
                <w:sz w:val="20"/>
                <w:szCs w:val="20"/>
              </w:rPr>
              <w:t>5</w:t>
            </w:r>
          </w:p>
        </w:tc>
        <w:tc>
          <w:tcPr>
            <w:tcW w:w="1831" w:type="dxa"/>
            <w:vAlign w:val="center"/>
          </w:tcPr>
          <w:p w14:paraId="06ABBCD8" w14:textId="1CE88714" w:rsidR="002A187F" w:rsidRDefault="002A187F">
            <w:pPr>
              <w:keepLines/>
              <w:rPr>
                <w:rFonts w:ascii="Arial Narrow" w:hAnsi="Arial Narrow"/>
                <w:sz w:val="20"/>
                <w:szCs w:val="20"/>
              </w:rPr>
            </w:pPr>
            <w:r>
              <w:rPr>
                <w:rFonts w:ascii="Arial Narrow" w:hAnsi="Arial Narrow"/>
                <w:sz w:val="20"/>
                <w:szCs w:val="20"/>
              </w:rPr>
              <w:t>Xolair</w:t>
            </w:r>
          </w:p>
        </w:tc>
      </w:tr>
      <w:tr w:rsidR="002A187F" w:rsidRPr="001428E9" w14:paraId="03A4F542" w14:textId="6E038D0A">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748DEC08" w14:textId="5C240C95" w:rsidR="002A187F" w:rsidRPr="001428E9" w:rsidRDefault="002A187F">
            <w:pPr>
              <w:rPr>
                <w:rFonts w:ascii="Arial Narrow" w:hAnsi="Arial Narrow"/>
                <w:sz w:val="20"/>
                <w:szCs w:val="20"/>
              </w:rPr>
            </w:pPr>
          </w:p>
        </w:tc>
      </w:tr>
      <w:tr w:rsidR="002A187F" w:rsidRPr="001428E9" w14:paraId="3B50C0C4" w14:textId="28AF5F43">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6A618C50" w14:textId="2255FE96" w:rsidR="002A187F" w:rsidRPr="001428E9" w:rsidRDefault="002A187F">
            <w:pPr>
              <w:keepLines/>
              <w:rPr>
                <w:rFonts w:ascii="Arial Narrow" w:hAnsi="Arial Narrow"/>
                <w:b/>
                <w:sz w:val="20"/>
                <w:szCs w:val="20"/>
              </w:rPr>
            </w:pPr>
            <w:r w:rsidRPr="001428E9">
              <w:rPr>
                <w:rFonts w:ascii="Arial Narrow" w:hAnsi="Arial Narrow"/>
                <w:b/>
                <w:sz w:val="20"/>
                <w:szCs w:val="20"/>
              </w:rPr>
              <w:t xml:space="preserve">Restriction Summary / Treatment of Concept: </w:t>
            </w:r>
          </w:p>
        </w:tc>
      </w:tr>
      <w:tr w:rsidR="002A187F" w:rsidRPr="001428E9" w14:paraId="47CCF18D" w14:textId="6DAC322A">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23FFE1AB" w14:textId="63D01C7B" w:rsidR="002A187F" w:rsidRPr="001428E9" w:rsidRDefault="002A187F">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A811505" w14:textId="6093CD17" w:rsidR="002A187F" w:rsidRDefault="002A187F">
            <w:pPr>
              <w:keepLines/>
              <w:rPr>
                <w:rFonts w:ascii="Arial Narrow" w:eastAsia="Calibri"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p>
          <w:p w14:paraId="351027A0" w14:textId="7064FF8A" w:rsidR="002A187F" w:rsidRPr="001428E9" w:rsidRDefault="002A187F">
            <w:pPr>
              <w:keepLines/>
              <w:rPr>
                <w:rFonts w:ascii="Arial Narrow" w:hAnsi="Arial Narrow"/>
                <w:sz w:val="20"/>
                <w:szCs w:val="20"/>
              </w:rPr>
            </w:pP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Section 100 – Highly Specialised Drugs Program – Public (Code HB)</w:t>
            </w:r>
            <w:r w:rsidRPr="001428E9">
              <w:rPr>
                <w:rFonts w:ascii="Arial Narrow" w:eastAsia="Calibri" w:hAnsi="Arial Narrow"/>
                <w:color w:val="FF0000"/>
                <w:sz w:val="20"/>
                <w:szCs w:val="20"/>
              </w:rPr>
              <w:t xml:space="preserve"> </w:t>
            </w:r>
            <w:r>
              <w:rPr>
                <w:rFonts w:ascii="Arial Narrow" w:eastAsia="Calibri" w:hAnsi="Arial Narrow"/>
                <w:sz w:val="20"/>
                <w:szCs w:val="20"/>
              </w:rPr>
              <w:t>/ Private (Code HS)</w:t>
            </w:r>
          </w:p>
        </w:tc>
      </w:tr>
      <w:tr w:rsidR="002A187F" w:rsidRPr="001428E9" w14:paraId="192F404E" w14:textId="6C83D884">
        <w:tblPrEx>
          <w:tblCellMar>
            <w:top w:w="15" w:type="dxa"/>
            <w:bottom w:w="15" w:type="dxa"/>
          </w:tblCellMar>
          <w:tblLook w:val="04A0" w:firstRow="1" w:lastRow="0" w:firstColumn="1" w:lastColumn="0" w:noHBand="0" w:noVBand="1"/>
        </w:tblPrEx>
        <w:trPr>
          <w:trHeight w:val="20"/>
        </w:trPr>
        <w:tc>
          <w:tcPr>
            <w:tcW w:w="1271" w:type="dxa"/>
            <w:gridSpan w:val="2"/>
            <w:vMerge/>
          </w:tcPr>
          <w:p w14:paraId="1C5B928E" w14:textId="020D57CB" w:rsidR="002A187F" w:rsidRPr="001428E9" w:rsidRDefault="002A187F">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0120D62" w14:textId="10B12782" w:rsidR="002A187F" w:rsidRDefault="002A187F">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p>
          <w:p w14:paraId="4F981A21" w14:textId="2433A669" w:rsidR="002A187F" w:rsidRPr="001428E9" w:rsidRDefault="002A187F">
            <w:pPr>
              <w:keepLines/>
              <w:rPr>
                <w:rFonts w:ascii="Arial Narrow" w:hAnsi="Arial Narrow"/>
                <w:b/>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2A187F" w:rsidRPr="001428E9" w14:paraId="7508AF88" w14:textId="5BBAC781">
        <w:tblPrEx>
          <w:tblCellMar>
            <w:top w:w="15" w:type="dxa"/>
            <w:bottom w:w="15" w:type="dxa"/>
          </w:tblCellMar>
          <w:tblLook w:val="04A0" w:firstRow="1" w:lastRow="0" w:firstColumn="1" w:lastColumn="0" w:noHBand="0" w:noVBand="1"/>
        </w:tblPrEx>
        <w:trPr>
          <w:trHeight w:val="20"/>
        </w:trPr>
        <w:tc>
          <w:tcPr>
            <w:tcW w:w="1271" w:type="dxa"/>
            <w:gridSpan w:val="2"/>
            <w:vMerge/>
          </w:tcPr>
          <w:p w14:paraId="44C2A90F" w14:textId="19164002" w:rsidR="002A187F" w:rsidRPr="001428E9" w:rsidRDefault="002A187F">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ADC6B2E" w14:textId="4ADEADB5" w:rsidR="002A187F" w:rsidRPr="00D56F94" w:rsidRDefault="002A187F">
            <w:pPr>
              <w:keepLines/>
              <w:jc w:val="left"/>
              <w:rPr>
                <w:rFonts w:ascii="Arial Narrow" w:eastAsia="Calibri" w:hAnsi="Arial Narrow"/>
                <w:color w:val="FF0000"/>
                <w:sz w:val="20"/>
                <w:szCs w:val="20"/>
              </w:rPr>
            </w:pPr>
            <w:r w:rsidRPr="001428E9">
              <w:rPr>
                <w:rFonts w:ascii="Arial Narrow" w:hAnsi="Arial Narrow"/>
                <w:b/>
                <w:sz w:val="20"/>
                <w:szCs w:val="20"/>
              </w:rPr>
              <w:t xml:space="preserve">Restriction type: </w:t>
            </w:r>
            <w:r>
              <w:rPr>
                <w:rFonts w:ascii="Arial Narrow" w:eastAsia="Calibri" w:hAnsi="Arial Narrow"/>
                <w:color w:val="FF0000"/>
                <w:sz w:val="20"/>
                <w:szCs w:val="20"/>
              </w:rPr>
              <w:br/>
            </w:r>
            <w:r w:rsidRPr="00BB6E99">
              <w:rPr>
                <w:rFonts w:ascii="Arial Narrow" w:eastAsia="Calibri" w:hAnsi="Arial Narrow"/>
                <w:sz w:val="18"/>
                <w:szCs w:val="18"/>
              </w:rPr>
              <w:fldChar w:fldCharType="begin">
                <w:ffData>
                  <w:name w:val=""/>
                  <w:enabled/>
                  <w:calcOnExit w:val="0"/>
                  <w:checkBox>
                    <w:sizeAuto/>
                    <w:default w:val="1"/>
                  </w:checkBox>
                </w:ffData>
              </w:fldChar>
            </w:r>
            <w:r w:rsidRPr="00BB6E99">
              <w:rPr>
                <w:rFonts w:ascii="Arial Narrow" w:eastAsia="Calibri" w:hAnsi="Arial Narrow"/>
                <w:sz w:val="18"/>
                <w:szCs w:val="18"/>
              </w:rPr>
              <w:instrText xml:space="preserve"> FORMCHECKBOX </w:instrText>
            </w:r>
            <w:r w:rsidRPr="00BB6E99">
              <w:rPr>
                <w:rFonts w:ascii="Arial Narrow" w:eastAsia="Calibri" w:hAnsi="Arial Narrow"/>
                <w:sz w:val="18"/>
                <w:szCs w:val="18"/>
              </w:rPr>
            </w:r>
            <w:r w:rsidRPr="00BB6E99">
              <w:rPr>
                <w:rFonts w:ascii="Arial Narrow" w:eastAsia="Calibri" w:hAnsi="Arial Narrow"/>
                <w:sz w:val="18"/>
                <w:szCs w:val="18"/>
              </w:rPr>
              <w:fldChar w:fldCharType="separate"/>
            </w:r>
            <w:r w:rsidRPr="00BB6E99">
              <w:rPr>
                <w:rFonts w:ascii="Arial Narrow" w:eastAsia="Calibri" w:hAnsi="Arial Narrow"/>
                <w:sz w:val="18"/>
                <w:szCs w:val="18"/>
              </w:rPr>
              <w:fldChar w:fldCharType="end"/>
            </w:r>
            <w:r w:rsidRPr="00BB6E99">
              <w:rPr>
                <w:rFonts w:ascii="Arial Narrow" w:eastAsia="Calibri" w:hAnsi="Arial Narrow"/>
                <w:sz w:val="18"/>
                <w:szCs w:val="18"/>
              </w:rPr>
              <w:t xml:space="preserve"> </w:t>
            </w:r>
            <w:r w:rsidRPr="002F32F2">
              <w:rPr>
                <w:rFonts w:ascii="Arial Narrow" w:eastAsia="Calibri" w:hAnsi="Arial Narrow"/>
                <w:sz w:val="20"/>
                <w:szCs w:val="20"/>
              </w:rPr>
              <w:t>Authority Required (telephone/electronic via PBS Authorities system)</w:t>
            </w:r>
          </w:p>
        </w:tc>
      </w:tr>
      <w:tr w:rsidR="002A187F" w:rsidRPr="001428E9" w14:paraId="7C3D4C76" w14:textId="3F8B085E">
        <w:tblPrEx>
          <w:tblCellMar>
            <w:top w:w="15" w:type="dxa"/>
            <w:bottom w:w="15" w:type="dxa"/>
          </w:tblCellMar>
          <w:tblLook w:val="04A0" w:firstRow="1" w:lastRow="0" w:firstColumn="1" w:lastColumn="0" w:noHBand="0" w:noVBand="1"/>
        </w:tblPrEx>
        <w:trPr>
          <w:trHeight w:val="20"/>
        </w:trPr>
        <w:tc>
          <w:tcPr>
            <w:tcW w:w="1271" w:type="dxa"/>
            <w:gridSpan w:val="2"/>
            <w:vMerge/>
          </w:tcPr>
          <w:p w14:paraId="6942DCEE" w14:textId="27847608" w:rsidR="002A187F" w:rsidRPr="001428E9" w:rsidRDefault="002A187F">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5227F49" w14:textId="6083BA8F" w:rsidR="002A187F" w:rsidRDefault="002A187F">
            <w:pPr>
              <w:keepLines/>
              <w:rPr>
                <w:rFonts w:ascii="Arial Narrow" w:eastAsia="Calibri" w:hAnsi="Arial Narrow"/>
                <w:sz w:val="20"/>
                <w:szCs w:val="20"/>
              </w:rPr>
            </w:pPr>
            <w:r>
              <w:rPr>
                <w:rFonts w:ascii="Arial Narrow" w:hAnsi="Arial Narrow"/>
                <w:b/>
                <w:sz w:val="20"/>
                <w:szCs w:val="20"/>
              </w:rPr>
              <w:t xml:space="preserve">Authority type: </w:t>
            </w:r>
          </w:p>
          <w:p w14:paraId="5779F1C7" w14:textId="5ABA7E45" w:rsidR="002A187F" w:rsidRPr="00A65248" w:rsidRDefault="002A187F">
            <w:pPr>
              <w:keepLines/>
              <w:rPr>
                <w:rFonts w:ascii="Arial Narrow" w:hAnsi="Arial Narrow"/>
                <w:b/>
                <w:color w:val="FF0000"/>
                <w:sz w:val="20"/>
                <w:szCs w:val="20"/>
              </w:rPr>
            </w:pP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Complex Authority Required (CAR)</w:t>
            </w:r>
          </w:p>
        </w:tc>
      </w:tr>
      <w:tr w:rsidR="002A187F" w:rsidRPr="001428E9" w14:paraId="43A5AEA9" w14:textId="1B2BB54B">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56AB3DA8" w14:textId="41E18FA6" w:rsidR="002A187F" w:rsidRPr="001428E9" w:rsidRDefault="002A187F">
            <w:pPr>
              <w:jc w:val="center"/>
              <w:rPr>
                <w:rFonts w:ascii="Arial Narrow" w:hAnsi="Arial Narrow"/>
                <w:sz w:val="20"/>
                <w:szCs w:val="20"/>
              </w:rPr>
            </w:pPr>
          </w:p>
        </w:tc>
        <w:tc>
          <w:tcPr>
            <w:tcW w:w="784" w:type="dxa"/>
            <w:vAlign w:val="center"/>
          </w:tcPr>
          <w:p w14:paraId="02693A5D" w14:textId="05509B8A" w:rsidR="002A187F" w:rsidRPr="00CE3095" w:rsidRDefault="002A187F">
            <w:pPr>
              <w:jc w:val="center"/>
              <w:rPr>
                <w:rFonts w:ascii="Arial Narrow" w:hAnsi="Arial Narrow"/>
                <w:i/>
                <w:iCs/>
                <w:color w:val="333333"/>
                <w:sz w:val="20"/>
                <w:szCs w:val="20"/>
              </w:rPr>
            </w:pPr>
          </w:p>
        </w:tc>
        <w:tc>
          <w:tcPr>
            <w:tcW w:w="7745" w:type="dxa"/>
            <w:gridSpan w:val="6"/>
            <w:vAlign w:val="center"/>
          </w:tcPr>
          <w:p w14:paraId="19F0BD95" w14:textId="64152B51" w:rsidR="002A187F" w:rsidRPr="00CE3095" w:rsidRDefault="002A187F">
            <w:pPr>
              <w:rPr>
                <w:rFonts w:ascii="Arial Narrow" w:hAnsi="Arial Narrow"/>
                <w:i/>
                <w:iCs/>
                <w:color w:val="333333"/>
                <w:sz w:val="20"/>
                <w:szCs w:val="20"/>
              </w:rPr>
            </w:pPr>
            <w:r w:rsidRPr="13B184C8">
              <w:rPr>
                <w:rFonts w:ascii="Arial Narrow" w:hAnsi="Arial Narrow"/>
                <w:b/>
                <w:bCs/>
                <w:i/>
                <w:iCs/>
                <w:sz w:val="20"/>
                <w:szCs w:val="20"/>
              </w:rPr>
              <w:t xml:space="preserve">Administrative Advice: </w:t>
            </w:r>
            <w:r w:rsidRPr="13B184C8">
              <w:rPr>
                <w:rFonts w:ascii="Arial Narrow" w:hAnsi="Arial Narrow"/>
                <w:i/>
                <w:iCs/>
                <w:sz w:val="20"/>
                <w:szCs w:val="20"/>
              </w:rPr>
              <w:t>No increase in the maximum quantity or number of units may be authorised.</w:t>
            </w:r>
          </w:p>
        </w:tc>
      </w:tr>
      <w:tr w:rsidR="002A187F" w:rsidRPr="001428E9" w14:paraId="35B628E6" w14:textId="04D16EAC">
        <w:tblPrEx>
          <w:tblCellMar>
            <w:top w:w="15" w:type="dxa"/>
            <w:bottom w:w="15" w:type="dxa"/>
          </w:tblCellMar>
          <w:tblLook w:val="04A0" w:firstRow="1" w:lastRow="0" w:firstColumn="1" w:lastColumn="0" w:noHBand="0" w:noVBand="1"/>
        </w:tblPrEx>
        <w:trPr>
          <w:trHeight w:val="20"/>
        </w:trPr>
        <w:tc>
          <w:tcPr>
            <w:tcW w:w="487" w:type="dxa"/>
            <w:vMerge/>
          </w:tcPr>
          <w:p w14:paraId="462A5659" w14:textId="76D6C32D" w:rsidR="002A187F" w:rsidRPr="001428E9" w:rsidRDefault="002A187F">
            <w:pPr>
              <w:rPr>
                <w:rFonts w:ascii="Arial Narrow" w:hAnsi="Arial Narrow"/>
                <w:sz w:val="20"/>
                <w:szCs w:val="20"/>
              </w:rPr>
            </w:pPr>
          </w:p>
        </w:tc>
        <w:tc>
          <w:tcPr>
            <w:tcW w:w="784" w:type="dxa"/>
            <w:vAlign w:val="center"/>
          </w:tcPr>
          <w:p w14:paraId="613F5CB6" w14:textId="006BB482" w:rsidR="002A187F" w:rsidRPr="00CE3095" w:rsidRDefault="002A187F">
            <w:pPr>
              <w:jc w:val="center"/>
              <w:rPr>
                <w:rFonts w:ascii="Arial Narrow" w:hAnsi="Arial Narrow"/>
                <w:i/>
                <w:iCs/>
                <w:color w:val="333333"/>
                <w:sz w:val="20"/>
                <w:szCs w:val="20"/>
              </w:rPr>
            </w:pPr>
          </w:p>
        </w:tc>
        <w:tc>
          <w:tcPr>
            <w:tcW w:w="7745" w:type="dxa"/>
            <w:gridSpan w:val="6"/>
            <w:vAlign w:val="center"/>
          </w:tcPr>
          <w:p w14:paraId="56D49DCA" w14:textId="39BF8EAE" w:rsidR="002A187F" w:rsidRPr="00CE3095" w:rsidRDefault="002A187F">
            <w:pPr>
              <w:rPr>
                <w:rFonts w:ascii="Arial Narrow" w:hAnsi="Arial Narrow"/>
                <w:b/>
                <w:bCs/>
                <w:i/>
                <w:iCs/>
                <w:color w:val="333333"/>
                <w:sz w:val="20"/>
                <w:szCs w:val="20"/>
              </w:rPr>
            </w:pPr>
            <w:r w:rsidRPr="00CE3095">
              <w:rPr>
                <w:rFonts w:ascii="Arial Narrow" w:hAnsi="Arial Narrow"/>
                <w:b/>
                <w:bCs/>
                <w:i/>
                <w:iCs/>
                <w:sz w:val="20"/>
                <w:szCs w:val="20"/>
              </w:rPr>
              <w:t xml:space="preserve">Administrative Advice: </w:t>
            </w:r>
            <w:r w:rsidRPr="00CE3095">
              <w:rPr>
                <w:rFonts w:ascii="Arial Narrow" w:hAnsi="Arial Narrow"/>
                <w:bCs/>
                <w:i/>
                <w:iCs/>
                <w:sz w:val="20"/>
                <w:szCs w:val="20"/>
              </w:rPr>
              <w:t>No increase in the maximum number of repeats may be authorised.</w:t>
            </w:r>
          </w:p>
        </w:tc>
      </w:tr>
      <w:tr w:rsidR="002A187F" w:rsidRPr="001428E9" w14:paraId="7B81A6A0" w14:textId="480CECA1">
        <w:tblPrEx>
          <w:tblCellMar>
            <w:top w:w="15" w:type="dxa"/>
            <w:bottom w:w="15" w:type="dxa"/>
          </w:tblCellMar>
          <w:tblLook w:val="04A0" w:firstRow="1" w:lastRow="0" w:firstColumn="1" w:lastColumn="0" w:noHBand="0" w:noVBand="1"/>
        </w:tblPrEx>
        <w:trPr>
          <w:trHeight w:val="20"/>
        </w:trPr>
        <w:tc>
          <w:tcPr>
            <w:tcW w:w="487" w:type="dxa"/>
            <w:vMerge/>
          </w:tcPr>
          <w:p w14:paraId="284BC337" w14:textId="718F7E92" w:rsidR="002A187F" w:rsidRPr="001428E9" w:rsidRDefault="002A187F">
            <w:pPr>
              <w:rPr>
                <w:rFonts w:ascii="Arial Narrow" w:hAnsi="Arial Narrow"/>
                <w:sz w:val="20"/>
                <w:szCs w:val="20"/>
              </w:rPr>
            </w:pPr>
          </w:p>
        </w:tc>
        <w:tc>
          <w:tcPr>
            <w:tcW w:w="784" w:type="dxa"/>
            <w:vAlign w:val="center"/>
          </w:tcPr>
          <w:p w14:paraId="7D8CEFA4" w14:textId="3EF89B9F" w:rsidR="002A187F" w:rsidRPr="00CE3095" w:rsidRDefault="002A187F">
            <w:pPr>
              <w:jc w:val="center"/>
              <w:rPr>
                <w:rFonts w:ascii="Arial Narrow" w:hAnsi="Arial Narrow"/>
                <w:i/>
                <w:iCs/>
                <w:color w:val="333333"/>
                <w:sz w:val="20"/>
                <w:szCs w:val="20"/>
              </w:rPr>
            </w:pPr>
          </w:p>
        </w:tc>
        <w:tc>
          <w:tcPr>
            <w:tcW w:w="7745" w:type="dxa"/>
            <w:gridSpan w:val="6"/>
            <w:vAlign w:val="center"/>
          </w:tcPr>
          <w:p w14:paraId="22D25E8A" w14:textId="0DC48AC9" w:rsidR="002A187F" w:rsidRPr="00CE3095" w:rsidRDefault="002A187F">
            <w:pPr>
              <w:rPr>
                <w:rFonts w:ascii="Arial Narrow" w:hAnsi="Arial Narrow"/>
                <w:b/>
                <w:bCs/>
                <w:i/>
                <w:iCs/>
                <w:color w:val="333333"/>
                <w:sz w:val="20"/>
                <w:szCs w:val="20"/>
              </w:rPr>
            </w:pPr>
            <w:r w:rsidRPr="00CE3095">
              <w:rPr>
                <w:rFonts w:ascii="Arial Narrow" w:hAnsi="Arial Narrow"/>
                <w:b/>
                <w:bCs/>
                <w:i/>
                <w:iCs/>
                <w:sz w:val="20"/>
                <w:szCs w:val="20"/>
              </w:rPr>
              <w:t xml:space="preserve">Administrative Advice: </w:t>
            </w:r>
            <w:r w:rsidRPr="00CE3095">
              <w:rPr>
                <w:rFonts w:ascii="Arial Narrow" w:hAnsi="Arial Narrow"/>
                <w:bCs/>
                <w:i/>
                <w:iCs/>
                <w:sz w:val="20"/>
                <w:szCs w:val="20"/>
              </w:rPr>
              <w:t>Special Pricing Arrangements apply.</w:t>
            </w:r>
          </w:p>
        </w:tc>
      </w:tr>
      <w:tr w:rsidR="002A187F" w:rsidRPr="001428E9" w14:paraId="2C4013F9" w14:textId="16211002">
        <w:tblPrEx>
          <w:tblCellMar>
            <w:top w:w="15" w:type="dxa"/>
            <w:bottom w:w="15" w:type="dxa"/>
          </w:tblCellMar>
          <w:tblLook w:val="04A0" w:firstRow="1" w:lastRow="0" w:firstColumn="1" w:lastColumn="0" w:noHBand="0" w:noVBand="1"/>
        </w:tblPrEx>
        <w:trPr>
          <w:trHeight w:val="20"/>
        </w:trPr>
        <w:tc>
          <w:tcPr>
            <w:tcW w:w="487" w:type="dxa"/>
            <w:vMerge/>
          </w:tcPr>
          <w:p w14:paraId="37E247CE" w14:textId="32DEAB64" w:rsidR="002A187F" w:rsidRPr="001428E9" w:rsidRDefault="002A187F">
            <w:pPr>
              <w:rPr>
                <w:rFonts w:ascii="Arial Narrow" w:hAnsi="Arial Narrow"/>
                <w:sz w:val="20"/>
                <w:szCs w:val="20"/>
              </w:rPr>
            </w:pPr>
          </w:p>
        </w:tc>
        <w:tc>
          <w:tcPr>
            <w:tcW w:w="784" w:type="dxa"/>
            <w:vAlign w:val="center"/>
          </w:tcPr>
          <w:p w14:paraId="7EE97117" w14:textId="6276E5AC" w:rsidR="002A187F" w:rsidRPr="00063369" w:rsidRDefault="002A187F">
            <w:pPr>
              <w:jc w:val="center"/>
              <w:rPr>
                <w:rFonts w:ascii="Arial Narrow" w:hAnsi="Arial Narrow"/>
                <w:bCs/>
                <w:i/>
                <w:iCs/>
                <w:sz w:val="20"/>
                <w:szCs w:val="20"/>
              </w:rPr>
            </w:pPr>
          </w:p>
        </w:tc>
        <w:tc>
          <w:tcPr>
            <w:tcW w:w="7745" w:type="dxa"/>
            <w:gridSpan w:val="6"/>
            <w:vAlign w:val="center"/>
          </w:tcPr>
          <w:p w14:paraId="5CA47597" w14:textId="6C1253AD" w:rsidR="002A187F" w:rsidRPr="00063369" w:rsidRDefault="002A187F">
            <w:pPr>
              <w:rPr>
                <w:rFonts w:ascii="Arial Narrow" w:hAnsi="Arial Narrow"/>
                <w:b/>
                <w:bCs/>
                <w:i/>
                <w:iCs/>
                <w:sz w:val="20"/>
                <w:szCs w:val="20"/>
              </w:rPr>
            </w:pPr>
            <w:r w:rsidRPr="00063369">
              <w:rPr>
                <w:rFonts w:ascii="Arial Narrow" w:hAnsi="Arial Narrow"/>
                <w:b/>
                <w:bCs/>
                <w:i/>
                <w:iCs/>
                <w:sz w:val="20"/>
                <w:szCs w:val="20"/>
              </w:rPr>
              <w:t xml:space="preserve">Administrative Advice: </w:t>
            </w:r>
            <w:r w:rsidRPr="00063369">
              <w:rPr>
                <w:rFonts w:ascii="Arial Narrow" w:hAnsi="Arial Narrow"/>
                <w:i/>
                <w:iCs/>
                <w:sz w:val="20"/>
                <w:szCs w:val="20"/>
              </w:rPr>
              <w:t>The length of a break in therapy is measured from the date that the relevant PBS-subsidised medicine listed for this PBS indication is ceased during the most recent treatment cycle, until the date of the subsequent application for treatment under a new treatment cycle.</w:t>
            </w:r>
          </w:p>
        </w:tc>
      </w:tr>
      <w:tr w:rsidR="002A187F" w:rsidRPr="001428E9" w14:paraId="61A5FC92" w14:textId="7DA9EF8F">
        <w:tblPrEx>
          <w:tblCellMar>
            <w:top w:w="15" w:type="dxa"/>
            <w:bottom w:w="15" w:type="dxa"/>
          </w:tblCellMar>
          <w:tblLook w:val="04A0" w:firstRow="1" w:lastRow="0" w:firstColumn="1" w:lastColumn="0" w:noHBand="0" w:noVBand="1"/>
        </w:tblPrEx>
        <w:trPr>
          <w:trHeight w:val="20"/>
        </w:trPr>
        <w:tc>
          <w:tcPr>
            <w:tcW w:w="487" w:type="dxa"/>
            <w:vMerge/>
          </w:tcPr>
          <w:p w14:paraId="314B036F" w14:textId="0D6FCF75" w:rsidR="002A187F" w:rsidRPr="001428E9" w:rsidRDefault="002A187F">
            <w:pPr>
              <w:rPr>
                <w:rFonts w:ascii="Arial Narrow" w:hAnsi="Arial Narrow"/>
                <w:sz w:val="20"/>
                <w:szCs w:val="20"/>
              </w:rPr>
            </w:pPr>
          </w:p>
        </w:tc>
        <w:tc>
          <w:tcPr>
            <w:tcW w:w="784" w:type="dxa"/>
            <w:vAlign w:val="center"/>
          </w:tcPr>
          <w:p w14:paraId="25CF9A35" w14:textId="0655E4A9" w:rsidR="002A187F" w:rsidRPr="00063369" w:rsidRDefault="002A187F">
            <w:pPr>
              <w:jc w:val="center"/>
              <w:rPr>
                <w:rFonts w:ascii="Arial Narrow" w:hAnsi="Arial Narrow"/>
                <w:bCs/>
                <w:i/>
                <w:iCs/>
                <w:sz w:val="20"/>
                <w:szCs w:val="20"/>
              </w:rPr>
            </w:pPr>
          </w:p>
        </w:tc>
        <w:tc>
          <w:tcPr>
            <w:tcW w:w="7745" w:type="dxa"/>
            <w:gridSpan w:val="6"/>
            <w:vAlign w:val="center"/>
          </w:tcPr>
          <w:p w14:paraId="285BB7C6" w14:textId="4E2507D2" w:rsidR="002A187F" w:rsidRPr="00063369" w:rsidRDefault="002A187F">
            <w:pPr>
              <w:rPr>
                <w:rFonts w:ascii="Arial Narrow" w:hAnsi="Arial Narrow"/>
                <w:b/>
                <w:bCs/>
                <w:i/>
                <w:iCs/>
                <w:sz w:val="20"/>
                <w:szCs w:val="20"/>
              </w:rPr>
            </w:pPr>
            <w:r w:rsidRPr="00063369">
              <w:rPr>
                <w:rFonts w:ascii="Arial Narrow" w:hAnsi="Arial Narrow"/>
                <w:b/>
                <w:bCs/>
                <w:i/>
                <w:iCs/>
                <w:sz w:val="20"/>
                <w:szCs w:val="20"/>
              </w:rPr>
              <w:t xml:space="preserve">Administrative Advice: </w:t>
            </w:r>
            <w:r w:rsidRPr="00063369">
              <w:rPr>
                <w:rFonts w:ascii="Arial Narrow" w:hAnsi="Arial Narrow"/>
                <w:i/>
                <w:iCs/>
                <w:sz w:val="20"/>
                <w:szCs w:val="20"/>
              </w:rPr>
              <w:t>Medical practitioners should request the appropriate maximum quantity and number of repeats to provide for an initial course of omalizumab consisting of the recommended number of doses for the baseline IgE level and body weight of the patient (refer to the TGA-approved Product Information) to be administered every 2 or 4 weeks.</w:t>
            </w:r>
          </w:p>
        </w:tc>
      </w:tr>
      <w:tr w:rsidR="002A187F" w:rsidRPr="001428E9" w14:paraId="14B29C19" w14:textId="6E3112C0" w:rsidTr="007A13F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7D75E7B" w14:textId="2831CD76" w:rsidR="002A187F" w:rsidRPr="001428E9" w:rsidRDefault="002A187F">
            <w:pPr>
              <w:keepLines/>
              <w:jc w:val="center"/>
              <w:rPr>
                <w:rFonts w:ascii="Arial Narrow" w:hAnsi="Arial Narrow"/>
                <w:color w:val="333333"/>
                <w:sz w:val="20"/>
                <w:szCs w:val="20"/>
              </w:rPr>
            </w:pPr>
          </w:p>
        </w:tc>
        <w:tc>
          <w:tcPr>
            <w:tcW w:w="7745" w:type="dxa"/>
            <w:gridSpan w:val="6"/>
            <w:vAlign w:val="center"/>
            <w:hideMark/>
          </w:tcPr>
          <w:p w14:paraId="5C506EAC" w14:textId="1FFAA8F9" w:rsidR="002A187F" w:rsidRPr="001428E9" w:rsidRDefault="002A187F" w:rsidP="007A13F3">
            <w:pPr>
              <w:keepLines/>
              <w:rPr>
                <w:rFonts w:ascii="Arial Narrow" w:hAnsi="Arial Narrow"/>
                <w:color w:val="333333"/>
                <w:sz w:val="20"/>
                <w:szCs w:val="20"/>
              </w:rPr>
            </w:pPr>
            <w:r w:rsidRPr="44072162">
              <w:rPr>
                <w:rFonts w:ascii="Arial Narrow" w:hAnsi="Arial Narrow"/>
                <w:b/>
                <w:bCs/>
                <w:color w:val="333333"/>
                <w:sz w:val="20"/>
                <w:szCs w:val="20"/>
              </w:rPr>
              <w:t>Indication:</w:t>
            </w:r>
            <w:r w:rsidRPr="44072162">
              <w:rPr>
                <w:rFonts w:ascii="Arial Narrow" w:hAnsi="Arial Narrow"/>
                <w:color w:val="333333"/>
                <w:sz w:val="20"/>
                <w:szCs w:val="20"/>
              </w:rPr>
              <w:t xml:space="preserve"> Chronic rhinosinusitis with nasal polyps (</w:t>
            </w:r>
            <w:proofErr w:type="spellStart"/>
            <w:r w:rsidRPr="44072162">
              <w:rPr>
                <w:rFonts w:ascii="Arial Narrow" w:hAnsi="Arial Narrow"/>
                <w:color w:val="333333"/>
                <w:sz w:val="20"/>
                <w:szCs w:val="20"/>
              </w:rPr>
              <w:t>CRSwNP</w:t>
            </w:r>
            <w:proofErr w:type="spellEnd"/>
            <w:r w:rsidRPr="44072162">
              <w:rPr>
                <w:rFonts w:ascii="Arial Narrow" w:hAnsi="Arial Narrow"/>
                <w:color w:val="333333"/>
                <w:sz w:val="20"/>
                <w:szCs w:val="20"/>
              </w:rPr>
              <w:t>)</w:t>
            </w:r>
          </w:p>
        </w:tc>
      </w:tr>
      <w:tr w:rsidR="002A187F" w:rsidRPr="001428E9" w14:paraId="0B7822D6" w14:textId="0ED30A4A" w:rsidTr="007A13F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31B15DE" w14:textId="6BA935BA" w:rsidR="002A187F" w:rsidRPr="001428E9" w:rsidRDefault="002A187F">
            <w:pPr>
              <w:jc w:val="center"/>
              <w:rPr>
                <w:rFonts w:ascii="Arial Narrow" w:hAnsi="Arial Narrow"/>
                <w:color w:val="333333"/>
                <w:sz w:val="20"/>
                <w:szCs w:val="20"/>
              </w:rPr>
            </w:pPr>
          </w:p>
        </w:tc>
        <w:tc>
          <w:tcPr>
            <w:tcW w:w="7745" w:type="dxa"/>
            <w:gridSpan w:val="6"/>
            <w:vAlign w:val="center"/>
            <w:hideMark/>
          </w:tcPr>
          <w:p w14:paraId="6122B49F" w14:textId="42C15B29" w:rsidR="002A187F" w:rsidRPr="001428E9" w:rsidRDefault="002A187F" w:rsidP="007A13F3">
            <w:pPr>
              <w:rPr>
                <w:rFonts w:ascii="Arial Narrow" w:hAnsi="Arial Narrow"/>
                <w:sz w:val="20"/>
                <w:szCs w:val="20"/>
              </w:rPr>
            </w:pPr>
            <w:r w:rsidRPr="001428E9">
              <w:rPr>
                <w:rFonts w:ascii="Arial Narrow" w:hAnsi="Arial Narrow"/>
                <w:b/>
                <w:bCs/>
                <w:color w:val="333333"/>
                <w:sz w:val="20"/>
                <w:szCs w:val="20"/>
              </w:rPr>
              <w:t>Treatment Phase</w:t>
            </w:r>
            <w:r w:rsidRPr="000B47A2">
              <w:rPr>
                <w:rFonts w:ascii="Arial Narrow" w:hAnsi="Arial Narrow"/>
                <w:b/>
                <w:bCs/>
                <w:sz w:val="20"/>
                <w:szCs w:val="20"/>
              </w:rPr>
              <w:t>:</w:t>
            </w:r>
            <w:r w:rsidRPr="000B47A2">
              <w:rPr>
                <w:rFonts w:ascii="Arial Narrow" w:hAnsi="Arial Narrow"/>
                <w:sz w:val="20"/>
                <w:szCs w:val="20"/>
              </w:rPr>
              <w:t xml:space="preserve"> </w:t>
            </w:r>
            <w:r>
              <w:rPr>
                <w:rFonts w:ascii="Arial Narrow" w:hAnsi="Arial Narrow"/>
                <w:sz w:val="20"/>
                <w:szCs w:val="20"/>
              </w:rPr>
              <w:t>Continuing</w:t>
            </w:r>
            <w:r w:rsidRPr="000B47A2">
              <w:rPr>
                <w:rFonts w:ascii="Arial Narrow" w:hAnsi="Arial Narrow"/>
                <w:sz w:val="20"/>
                <w:szCs w:val="20"/>
              </w:rPr>
              <w:t xml:space="preserve"> treatment</w:t>
            </w:r>
          </w:p>
        </w:tc>
      </w:tr>
      <w:tr w:rsidR="002A187F" w:rsidRPr="001428E9" w14:paraId="0DC3F23F" w14:textId="243DB65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ADD34E0" w14:textId="19A3E5D6" w:rsidR="002A187F" w:rsidRPr="001428E9" w:rsidRDefault="002A187F">
            <w:pPr>
              <w:jc w:val="center"/>
              <w:rPr>
                <w:rFonts w:ascii="Arial Narrow" w:hAnsi="Arial Narrow"/>
                <w:color w:val="333333"/>
                <w:sz w:val="20"/>
                <w:szCs w:val="20"/>
              </w:rPr>
            </w:pPr>
          </w:p>
        </w:tc>
        <w:tc>
          <w:tcPr>
            <w:tcW w:w="7745" w:type="dxa"/>
            <w:gridSpan w:val="6"/>
            <w:vAlign w:val="center"/>
            <w:hideMark/>
          </w:tcPr>
          <w:p w14:paraId="334233A4" w14:textId="29C27636" w:rsidR="002A187F" w:rsidRPr="001428E9" w:rsidRDefault="002A187F" w:rsidP="007A13F3">
            <w:pPr>
              <w:rPr>
                <w:rFonts w:ascii="Arial Narrow" w:hAnsi="Arial Narrow"/>
                <w:sz w:val="20"/>
                <w:szCs w:val="20"/>
              </w:rPr>
            </w:pPr>
            <w:r w:rsidRPr="001428E9">
              <w:rPr>
                <w:rFonts w:ascii="Arial Narrow" w:hAnsi="Arial Narrow"/>
                <w:b/>
                <w:bCs/>
                <w:color w:val="333333"/>
                <w:sz w:val="20"/>
                <w:szCs w:val="20"/>
              </w:rPr>
              <w:t xml:space="preserve">Clinical criteria: </w:t>
            </w:r>
          </w:p>
        </w:tc>
      </w:tr>
      <w:tr w:rsidR="002A187F" w:rsidRPr="001428E9" w14:paraId="4A8083CF" w14:textId="68AB471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131224B" w14:textId="3FB4FE89" w:rsidR="002A187F" w:rsidRPr="001428E9" w:rsidRDefault="002A187F">
            <w:pPr>
              <w:jc w:val="center"/>
              <w:rPr>
                <w:rFonts w:ascii="Arial Narrow" w:hAnsi="Arial Narrow"/>
                <w:color w:val="333333"/>
                <w:sz w:val="20"/>
                <w:szCs w:val="20"/>
              </w:rPr>
            </w:pPr>
          </w:p>
        </w:tc>
        <w:tc>
          <w:tcPr>
            <w:tcW w:w="7745" w:type="dxa"/>
            <w:gridSpan w:val="6"/>
            <w:vAlign w:val="center"/>
            <w:hideMark/>
          </w:tcPr>
          <w:p w14:paraId="44FD750E" w14:textId="24303699" w:rsidR="002A187F" w:rsidRPr="00E94023" w:rsidRDefault="002A187F" w:rsidP="007A13F3">
            <w:pPr>
              <w:pStyle w:val="PBACTabletext"/>
              <w:spacing w:after="0"/>
            </w:pPr>
            <w:r w:rsidRPr="007F54FD">
              <w:t>Patient must have previously received PBS-subsidised treatment with this drug for this condition</w:t>
            </w:r>
          </w:p>
        </w:tc>
      </w:tr>
      <w:tr w:rsidR="002A187F" w:rsidRPr="001428E9" w14:paraId="08CA1238" w14:textId="111BD76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F4D815A" w14:textId="0DD28649" w:rsidR="002A187F" w:rsidRPr="001428E9" w:rsidRDefault="002A187F">
            <w:pPr>
              <w:jc w:val="center"/>
              <w:rPr>
                <w:rFonts w:ascii="Arial Narrow" w:hAnsi="Arial Narrow"/>
                <w:color w:val="333333"/>
                <w:sz w:val="20"/>
                <w:szCs w:val="20"/>
              </w:rPr>
            </w:pPr>
          </w:p>
        </w:tc>
        <w:tc>
          <w:tcPr>
            <w:tcW w:w="7745" w:type="dxa"/>
            <w:gridSpan w:val="6"/>
            <w:vAlign w:val="center"/>
          </w:tcPr>
          <w:p w14:paraId="1B683BC7" w14:textId="390BB497" w:rsidR="002A187F" w:rsidRPr="00575A27" w:rsidRDefault="002A187F" w:rsidP="007A13F3">
            <w:pPr>
              <w:pStyle w:val="PBACTabletext"/>
              <w:spacing w:after="0"/>
            </w:pPr>
            <w:r w:rsidRPr="001428E9">
              <w:rPr>
                <w:rFonts w:eastAsia="Times New Roman"/>
                <w:b/>
                <w:bCs/>
                <w:color w:val="333333"/>
                <w:lang w:eastAsia="en-AU"/>
              </w:rPr>
              <w:t>AND</w:t>
            </w:r>
          </w:p>
        </w:tc>
      </w:tr>
      <w:tr w:rsidR="002A187F" w:rsidRPr="001428E9" w14:paraId="53DF0B22" w14:textId="4BF07DD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B29A86A" w14:textId="1D95A5AA" w:rsidR="002A187F" w:rsidRPr="001428E9" w:rsidRDefault="002A187F">
            <w:pPr>
              <w:jc w:val="center"/>
              <w:rPr>
                <w:rFonts w:ascii="Arial Narrow" w:hAnsi="Arial Narrow"/>
                <w:color w:val="333333"/>
                <w:sz w:val="20"/>
                <w:szCs w:val="20"/>
              </w:rPr>
            </w:pPr>
          </w:p>
        </w:tc>
        <w:tc>
          <w:tcPr>
            <w:tcW w:w="7745" w:type="dxa"/>
            <w:gridSpan w:val="6"/>
            <w:vAlign w:val="center"/>
          </w:tcPr>
          <w:p w14:paraId="182EBB95" w14:textId="2AFD213A" w:rsidR="002A187F" w:rsidRPr="00575A27" w:rsidRDefault="002A187F" w:rsidP="007A13F3">
            <w:pPr>
              <w:pStyle w:val="PBACTabletext"/>
              <w:spacing w:after="0"/>
            </w:pPr>
            <w:r w:rsidRPr="001428E9">
              <w:rPr>
                <w:rFonts w:eastAsia="Times New Roman"/>
                <w:b/>
                <w:bCs/>
                <w:color w:val="333333"/>
                <w:lang w:eastAsia="en-AU"/>
              </w:rPr>
              <w:t>Clinical criteria:</w:t>
            </w:r>
          </w:p>
        </w:tc>
      </w:tr>
      <w:tr w:rsidR="002A187F" w:rsidRPr="001428E9" w14:paraId="379FFC30" w14:textId="5FF0E9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EBB068C" w14:textId="110120B6" w:rsidR="002A187F" w:rsidRPr="001428E9" w:rsidRDefault="002A187F">
            <w:pPr>
              <w:jc w:val="center"/>
              <w:rPr>
                <w:rFonts w:ascii="Arial Narrow" w:hAnsi="Arial Narrow"/>
                <w:color w:val="333333"/>
                <w:sz w:val="20"/>
                <w:szCs w:val="20"/>
              </w:rPr>
            </w:pPr>
          </w:p>
        </w:tc>
        <w:tc>
          <w:tcPr>
            <w:tcW w:w="7745" w:type="dxa"/>
            <w:gridSpan w:val="6"/>
            <w:vAlign w:val="center"/>
          </w:tcPr>
          <w:p w14:paraId="57F6F19D" w14:textId="72AFDE52" w:rsidR="002A187F" w:rsidRPr="00575A27" w:rsidRDefault="002A187F" w:rsidP="007A13F3">
            <w:pPr>
              <w:pStyle w:val="PBACTabletext"/>
              <w:spacing w:after="0"/>
            </w:pPr>
            <w:r w:rsidRPr="44072162">
              <w:t>Patient must have both demonstrated and sustained an adequate response to this drug, defined as having at least one of: (</w:t>
            </w:r>
            <w:proofErr w:type="spellStart"/>
            <w:r w:rsidRPr="44072162">
              <w:t>i</w:t>
            </w:r>
            <w:proofErr w:type="spellEnd"/>
            <w:r w:rsidRPr="44072162">
              <w:t>) an improvement in bilateral endoscopic nasal polyp score of at least 1.0 compared to the baseline level provided with the initial authority application, (ii) an improvement in nasal obstruction visual analogue scale (VAS) score of at least 3.0 compared to the baseline level provided with the initial authority application, (iii) an improvement in overall symptom VAS score of at least 2.5 compared to the baseline level provided with the initial authority application</w:t>
            </w:r>
          </w:p>
        </w:tc>
      </w:tr>
      <w:tr w:rsidR="002A187F" w:rsidRPr="001428E9" w14:paraId="63B3B7B4" w14:textId="7FF2E2A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F9A8359" w14:textId="73509133" w:rsidR="002A187F" w:rsidRPr="001428E9" w:rsidRDefault="002A187F">
            <w:pPr>
              <w:keepNext/>
              <w:jc w:val="center"/>
              <w:rPr>
                <w:rFonts w:ascii="Arial Narrow" w:hAnsi="Arial Narrow"/>
                <w:color w:val="333333"/>
                <w:sz w:val="20"/>
                <w:szCs w:val="20"/>
              </w:rPr>
            </w:pPr>
          </w:p>
        </w:tc>
        <w:tc>
          <w:tcPr>
            <w:tcW w:w="7745" w:type="dxa"/>
            <w:gridSpan w:val="6"/>
            <w:vAlign w:val="center"/>
            <w:hideMark/>
          </w:tcPr>
          <w:p w14:paraId="35ADB2DE" w14:textId="582AE07C" w:rsidR="002A187F" w:rsidRPr="001428E9" w:rsidRDefault="002A187F">
            <w:pPr>
              <w:keepNext/>
              <w:rPr>
                <w:rFonts w:ascii="Arial Narrow" w:hAnsi="Arial Narrow"/>
                <w:color w:val="333333"/>
                <w:sz w:val="20"/>
                <w:szCs w:val="20"/>
              </w:rPr>
            </w:pPr>
            <w:r w:rsidRPr="001428E9">
              <w:rPr>
                <w:rFonts w:ascii="Arial Narrow" w:hAnsi="Arial Narrow"/>
                <w:b/>
                <w:bCs/>
                <w:color w:val="333333"/>
                <w:sz w:val="20"/>
                <w:szCs w:val="20"/>
              </w:rPr>
              <w:t>Treatment criteria:</w:t>
            </w:r>
          </w:p>
        </w:tc>
      </w:tr>
      <w:tr w:rsidR="002A187F" w:rsidRPr="001428E9" w14:paraId="7592A09F" w14:textId="4D3883E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09B520E" w14:textId="74DF3C5F" w:rsidR="002A187F" w:rsidRPr="001428E9" w:rsidRDefault="002A187F">
            <w:pPr>
              <w:jc w:val="center"/>
              <w:rPr>
                <w:rFonts w:ascii="Arial Narrow" w:hAnsi="Arial Narrow"/>
                <w:color w:val="333333"/>
                <w:sz w:val="20"/>
                <w:szCs w:val="20"/>
              </w:rPr>
            </w:pPr>
          </w:p>
        </w:tc>
        <w:tc>
          <w:tcPr>
            <w:tcW w:w="7745" w:type="dxa"/>
            <w:gridSpan w:val="6"/>
            <w:vAlign w:val="center"/>
            <w:hideMark/>
          </w:tcPr>
          <w:p w14:paraId="61A79882" w14:textId="126BD0DE" w:rsidR="002A187F" w:rsidRPr="001428E9" w:rsidRDefault="002A187F">
            <w:pPr>
              <w:autoSpaceDE w:val="0"/>
              <w:autoSpaceDN w:val="0"/>
              <w:adjustRightInd w:val="0"/>
              <w:rPr>
                <w:rFonts w:ascii="Arial Narrow" w:hAnsi="Arial Narrow" w:cs="Arial Narrow"/>
                <w:i/>
                <w:iCs/>
                <w:sz w:val="20"/>
                <w:szCs w:val="20"/>
              </w:rPr>
            </w:pPr>
            <w:r w:rsidRPr="44072162">
              <w:rPr>
                <w:rFonts w:ascii="Arial Narrow" w:hAnsi="Arial Narrow" w:cs="Arial Narrow"/>
                <w:sz w:val="20"/>
                <w:szCs w:val="20"/>
              </w:rPr>
              <w:t>Patient must be treated by a medical practitioner who is either a: (</w:t>
            </w:r>
            <w:proofErr w:type="spellStart"/>
            <w:r w:rsidRPr="44072162">
              <w:rPr>
                <w:rFonts w:ascii="Arial Narrow" w:hAnsi="Arial Narrow" w:cs="Arial Narrow"/>
                <w:sz w:val="20"/>
                <w:szCs w:val="20"/>
              </w:rPr>
              <w:t>i</w:t>
            </w:r>
            <w:proofErr w:type="spellEnd"/>
            <w:r w:rsidRPr="44072162">
              <w:rPr>
                <w:rFonts w:ascii="Arial Narrow" w:hAnsi="Arial Narrow" w:cs="Arial Narrow"/>
                <w:sz w:val="20"/>
                <w:szCs w:val="20"/>
              </w:rPr>
              <w:t xml:space="preserve">) respiratory physician, (ii) clinical immunologist, (iii) allergist, (iv) ear nose and throat specialist (ENT) or (v) general physician experienced in the management of patients with </w:t>
            </w:r>
            <w:proofErr w:type="spellStart"/>
            <w:r w:rsidRPr="44072162">
              <w:rPr>
                <w:rFonts w:ascii="Arial Narrow" w:hAnsi="Arial Narrow" w:cs="Arial Narrow"/>
                <w:sz w:val="20"/>
                <w:szCs w:val="20"/>
              </w:rPr>
              <w:t>CRSwNP</w:t>
            </w:r>
            <w:proofErr w:type="spellEnd"/>
          </w:p>
        </w:tc>
      </w:tr>
      <w:tr w:rsidR="002A187F" w:rsidRPr="001428E9" w14:paraId="7625531F" w14:textId="2E0AD7F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528E08F" w14:textId="331C099D" w:rsidR="002A187F" w:rsidRPr="001428E9" w:rsidRDefault="002A187F">
            <w:pPr>
              <w:jc w:val="center"/>
              <w:rPr>
                <w:rFonts w:ascii="Arial Narrow" w:hAnsi="Arial Narrow"/>
                <w:color w:val="333333"/>
                <w:sz w:val="20"/>
                <w:szCs w:val="20"/>
              </w:rPr>
            </w:pPr>
          </w:p>
        </w:tc>
        <w:tc>
          <w:tcPr>
            <w:tcW w:w="7745" w:type="dxa"/>
            <w:gridSpan w:val="6"/>
            <w:vAlign w:val="center"/>
            <w:hideMark/>
          </w:tcPr>
          <w:p w14:paraId="5C3B9DE5" w14:textId="0B11342A" w:rsidR="002A187F" w:rsidRPr="001428E9" w:rsidRDefault="002A187F">
            <w:pPr>
              <w:rPr>
                <w:rFonts w:ascii="Arial Narrow" w:hAnsi="Arial Narrow"/>
                <w:color w:val="333333"/>
                <w:sz w:val="20"/>
                <w:szCs w:val="20"/>
              </w:rPr>
            </w:pPr>
            <w:r w:rsidRPr="001428E9">
              <w:rPr>
                <w:rFonts w:ascii="Arial Narrow" w:hAnsi="Arial Narrow"/>
                <w:b/>
                <w:bCs/>
                <w:color w:val="333333"/>
                <w:sz w:val="20"/>
                <w:szCs w:val="20"/>
              </w:rPr>
              <w:t>Population criteria:</w:t>
            </w:r>
          </w:p>
        </w:tc>
      </w:tr>
      <w:tr w:rsidR="002A187F" w:rsidRPr="001428E9" w14:paraId="50DE63C6" w14:textId="3228F4A3" w:rsidTr="007A13F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0F2D2E9" w14:textId="55A9A4AD" w:rsidR="002A187F" w:rsidRPr="001428E9" w:rsidRDefault="002A187F">
            <w:pPr>
              <w:jc w:val="center"/>
              <w:rPr>
                <w:rFonts w:ascii="Arial Narrow" w:hAnsi="Arial Narrow"/>
                <w:color w:val="333333"/>
                <w:sz w:val="20"/>
                <w:szCs w:val="20"/>
              </w:rPr>
            </w:pPr>
          </w:p>
        </w:tc>
        <w:tc>
          <w:tcPr>
            <w:tcW w:w="7745" w:type="dxa"/>
            <w:gridSpan w:val="6"/>
            <w:vAlign w:val="center"/>
            <w:hideMark/>
          </w:tcPr>
          <w:p w14:paraId="4E91F7DB" w14:textId="562059FC" w:rsidR="002A187F" w:rsidRPr="00002946" w:rsidRDefault="002A187F">
            <w:pPr>
              <w:rPr>
                <w:rFonts w:ascii="Arial Narrow" w:hAnsi="Arial Narrow"/>
                <w:i/>
                <w:iCs/>
                <w:color w:val="333333"/>
                <w:sz w:val="20"/>
                <w:szCs w:val="20"/>
              </w:rPr>
            </w:pPr>
            <w:r w:rsidRPr="00AA7651">
              <w:rPr>
                <w:rFonts w:ascii="Arial Narrow" w:hAnsi="Arial Narrow"/>
                <w:color w:val="333333"/>
                <w:sz w:val="20"/>
                <w:szCs w:val="20"/>
              </w:rPr>
              <w:t xml:space="preserve">Patient must be </w:t>
            </w:r>
            <w:r w:rsidRPr="00002946">
              <w:rPr>
                <w:rFonts w:ascii="Arial Narrow" w:hAnsi="Arial Narrow"/>
                <w:strike/>
                <w:color w:val="333333"/>
                <w:sz w:val="20"/>
                <w:szCs w:val="20"/>
              </w:rPr>
              <w:t xml:space="preserve">aged </w:t>
            </w:r>
            <w:r>
              <w:rPr>
                <w:rFonts w:ascii="Arial Narrow" w:hAnsi="Arial Narrow"/>
                <w:i/>
                <w:iCs/>
                <w:color w:val="333333"/>
                <w:sz w:val="20"/>
                <w:szCs w:val="20"/>
              </w:rPr>
              <w:t xml:space="preserve">at least </w:t>
            </w:r>
            <w:r w:rsidRPr="00AA7651">
              <w:rPr>
                <w:rFonts w:ascii="Arial Narrow" w:hAnsi="Arial Narrow"/>
                <w:color w:val="333333"/>
                <w:sz w:val="20"/>
                <w:szCs w:val="20"/>
              </w:rPr>
              <w:t xml:space="preserve">18 years </w:t>
            </w:r>
            <w:r w:rsidRPr="00002946">
              <w:rPr>
                <w:rFonts w:ascii="Arial Narrow" w:hAnsi="Arial Narrow"/>
                <w:strike/>
                <w:color w:val="333333"/>
                <w:sz w:val="20"/>
                <w:szCs w:val="20"/>
              </w:rPr>
              <w:t>or older.</w:t>
            </w:r>
            <w:r>
              <w:rPr>
                <w:rFonts w:ascii="Arial Narrow" w:hAnsi="Arial Narrow"/>
                <w:strike/>
                <w:color w:val="333333"/>
                <w:sz w:val="20"/>
                <w:szCs w:val="20"/>
              </w:rPr>
              <w:t xml:space="preserve"> </w:t>
            </w:r>
            <w:r w:rsidRPr="00002946">
              <w:rPr>
                <w:rFonts w:ascii="Arial Narrow" w:hAnsi="Arial Narrow"/>
                <w:i/>
                <w:iCs/>
                <w:color w:val="333333"/>
                <w:sz w:val="20"/>
                <w:szCs w:val="20"/>
              </w:rPr>
              <w:t>of age</w:t>
            </w:r>
          </w:p>
        </w:tc>
      </w:tr>
      <w:tr w:rsidR="002A187F" w:rsidRPr="001428E9" w14:paraId="727E4334" w14:textId="7ACE5386" w:rsidTr="007A13F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527F4A5" w14:textId="14A0A88D" w:rsidR="002A187F" w:rsidRPr="001428E9" w:rsidRDefault="002A187F">
            <w:pPr>
              <w:jc w:val="center"/>
              <w:rPr>
                <w:rFonts w:ascii="Arial Narrow" w:hAnsi="Arial Narrow"/>
                <w:color w:val="333333"/>
                <w:sz w:val="20"/>
                <w:szCs w:val="20"/>
              </w:rPr>
            </w:pPr>
          </w:p>
        </w:tc>
        <w:tc>
          <w:tcPr>
            <w:tcW w:w="7745" w:type="dxa"/>
            <w:gridSpan w:val="6"/>
            <w:vAlign w:val="center"/>
            <w:hideMark/>
          </w:tcPr>
          <w:p w14:paraId="48E13FCC" w14:textId="229CAA9F" w:rsidR="002A187F" w:rsidRPr="00334769" w:rsidRDefault="002A187F">
            <w:pPr>
              <w:ind w:left="-57"/>
              <w:rPr>
                <w:rFonts w:ascii="Arial Narrow" w:hAnsi="Arial Narrow"/>
                <w:b/>
                <w:bCs/>
                <w:i/>
                <w:iCs/>
                <w:sz w:val="20"/>
                <w:szCs w:val="20"/>
              </w:rPr>
            </w:pPr>
            <w:r w:rsidRPr="00334769">
              <w:rPr>
                <w:rFonts w:ascii="Arial Narrow" w:hAnsi="Arial Narrow"/>
                <w:b/>
                <w:bCs/>
                <w:i/>
                <w:iCs/>
                <w:sz w:val="20"/>
                <w:szCs w:val="20"/>
              </w:rPr>
              <w:t xml:space="preserve">Administrative advice: </w:t>
            </w:r>
          </w:p>
          <w:p w14:paraId="0459577F" w14:textId="05507612" w:rsidR="002A187F" w:rsidRPr="00334769" w:rsidRDefault="002A187F">
            <w:pPr>
              <w:ind w:left="-57"/>
              <w:rPr>
                <w:rFonts w:ascii="Arial Narrow" w:hAnsi="Arial Narrow"/>
                <w:i/>
                <w:iCs/>
                <w:sz w:val="20"/>
                <w:szCs w:val="20"/>
              </w:rPr>
            </w:pPr>
            <w:r w:rsidRPr="00D1470A">
              <w:rPr>
                <w:rFonts w:ascii="Arial Narrow" w:hAnsi="Arial Narrow"/>
                <w:i/>
                <w:iC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1FDE558A" w14:textId="4B5B6985" w:rsidR="002A187F" w:rsidRPr="001E38BF" w:rsidRDefault="002A187F" w:rsidP="000704B3">
      <w:pPr>
        <w:pStyle w:val="5-SubsectionSubheading"/>
      </w:pPr>
      <w:r w:rsidRPr="001E38BF">
        <w:t xml:space="preserve">Grandfather treatment phase: </w:t>
      </w:r>
    </w:p>
    <w:tbl>
      <w:tblPr>
        <w:tblW w:w="5004"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784"/>
        <w:gridCol w:w="2670"/>
        <w:gridCol w:w="811"/>
        <w:gridCol w:w="812"/>
        <w:gridCol w:w="811"/>
        <w:gridCol w:w="812"/>
        <w:gridCol w:w="1834"/>
      </w:tblGrid>
      <w:tr w:rsidR="002A187F" w:rsidRPr="001428E9" w14:paraId="08DC2281" w14:textId="4991A1B0">
        <w:trPr>
          <w:cantSplit/>
          <w:trHeight w:val="20"/>
        </w:trPr>
        <w:tc>
          <w:tcPr>
            <w:tcW w:w="3943" w:type="dxa"/>
            <w:gridSpan w:val="3"/>
            <w:vAlign w:val="center"/>
          </w:tcPr>
          <w:p w14:paraId="2F845019" w14:textId="54F8468B" w:rsidR="002A187F" w:rsidRPr="001428E9" w:rsidRDefault="002A187F">
            <w:pPr>
              <w:keepLines/>
              <w:rPr>
                <w:rFonts w:ascii="Arial Narrow" w:hAnsi="Arial Narrow"/>
                <w:b/>
                <w:bCs/>
                <w:sz w:val="20"/>
                <w:szCs w:val="20"/>
              </w:rPr>
            </w:pPr>
            <w:r w:rsidRPr="001428E9">
              <w:rPr>
                <w:rFonts w:ascii="Arial Narrow" w:hAnsi="Arial Narrow"/>
                <w:b/>
                <w:bCs/>
                <w:sz w:val="20"/>
                <w:szCs w:val="20"/>
              </w:rPr>
              <w:t>MEDICINAL PRODUCT</w:t>
            </w:r>
          </w:p>
          <w:p w14:paraId="02019512" w14:textId="33EC13B9" w:rsidR="002A187F" w:rsidRPr="001428E9" w:rsidRDefault="002A187F">
            <w:pPr>
              <w:keepLines/>
              <w:rPr>
                <w:rFonts w:ascii="Arial Narrow" w:hAnsi="Arial Narrow"/>
                <w:b/>
                <w:sz w:val="20"/>
                <w:szCs w:val="20"/>
              </w:rPr>
            </w:pPr>
            <w:r w:rsidRPr="001428E9">
              <w:rPr>
                <w:rFonts w:ascii="Arial Narrow" w:hAnsi="Arial Narrow"/>
                <w:b/>
                <w:bCs/>
                <w:sz w:val="20"/>
                <w:szCs w:val="20"/>
              </w:rPr>
              <w:t>medicinal product pack</w:t>
            </w:r>
          </w:p>
        </w:tc>
        <w:tc>
          <w:tcPr>
            <w:tcW w:w="811" w:type="dxa"/>
            <w:vAlign w:val="center"/>
          </w:tcPr>
          <w:p w14:paraId="11C079AE" w14:textId="3A2DEDF6" w:rsidR="002A187F" w:rsidRPr="001428E9" w:rsidRDefault="002A187F">
            <w:pPr>
              <w:keepLines/>
              <w:jc w:val="center"/>
              <w:rPr>
                <w:rFonts w:ascii="Arial Narrow" w:hAnsi="Arial Narrow"/>
                <w:b/>
                <w:sz w:val="20"/>
                <w:szCs w:val="20"/>
              </w:rPr>
            </w:pPr>
            <w:r w:rsidRPr="001428E9">
              <w:rPr>
                <w:rFonts w:ascii="Arial Narrow" w:hAnsi="Arial Narrow"/>
                <w:b/>
                <w:sz w:val="20"/>
                <w:szCs w:val="20"/>
              </w:rPr>
              <w:t>PBS item code</w:t>
            </w:r>
          </w:p>
        </w:tc>
        <w:tc>
          <w:tcPr>
            <w:tcW w:w="812" w:type="dxa"/>
            <w:vAlign w:val="center"/>
          </w:tcPr>
          <w:p w14:paraId="2008CD26" w14:textId="6E1FB4B1" w:rsidR="002A187F" w:rsidRPr="001428E9" w:rsidRDefault="002A187F">
            <w:pPr>
              <w:keepLines/>
              <w:jc w:val="center"/>
              <w:rPr>
                <w:rFonts w:ascii="Arial Narrow" w:hAnsi="Arial Narrow"/>
                <w:b/>
                <w:sz w:val="20"/>
                <w:szCs w:val="20"/>
              </w:rPr>
            </w:pPr>
            <w:r w:rsidRPr="001428E9">
              <w:rPr>
                <w:rFonts w:ascii="Arial Narrow" w:hAnsi="Arial Narrow"/>
                <w:b/>
                <w:sz w:val="20"/>
                <w:szCs w:val="20"/>
              </w:rPr>
              <w:t>Max. qty packs</w:t>
            </w:r>
          </w:p>
        </w:tc>
        <w:tc>
          <w:tcPr>
            <w:tcW w:w="811" w:type="dxa"/>
            <w:vAlign w:val="center"/>
          </w:tcPr>
          <w:p w14:paraId="0CB2F97C" w14:textId="0189E438" w:rsidR="002A187F" w:rsidRPr="001428E9" w:rsidRDefault="002A187F">
            <w:pPr>
              <w:keepLines/>
              <w:jc w:val="center"/>
              <w:rPr>
                <w:rFonts w:ascii="Arial Narrow" w:hAnsi="Arial Narrow"/>
                <w:b/>
                <w:sz w:val="20"/>
                <w:szCs w:val="20"/>
              </w:rPr>
            </w:pPr>
            <w:r w:rsidRPr="001428E9">
              <w:rPr>
                <w:rFonts w:ascii="Arial Narrow" w:hAnsi="Arial Narrow"/>
                <w:b/>
                <w:sz w:val="20"/>
                <w:szCs w:val="20"/>
              </w:rPr>
              <w:t>Max. qty units</w:t>
            </w:r>
          </w:p>
        </w:tc>
        <w:tc>
          <w:tcPr>
            <w:tcW w:w="812" w:type="dxa"/>
            <w:vAlign w:val="center"/>
          </w:tcPr>
          <w:p w14:paraId="4919B2E2" w14:textId="2F11A8E8" w:rsidR="002A187F" w:rsidRPr="001428E9" w:rsidRDefault="002A187F">
            <w:pPr>
              <w:keepLines/>
              <w:jc w:val="center"/>
              <w:rPr>
                <w:rFonts w:ascii="Arial Narrow" w:hAnsi="Arial Narrow"/>
                <w:b/>
                <w:bCs/>
                <w:sz w:val="20"/>
                <w:szCs w:val="20"/>
              </w:rPr>
            </w:pPr>
            <w:r w:rsidRPr="44072162">
              <w:rPr>
                <w:rFonts w:ascii="Arial Narrow" w:hAnsi="Arial Narrow"/>
                <w:b/>
                <w:bCs/>
                <w:sz w:val="20"/>
                <w:szCs w:val="20"/>
              </w:rPr>
              <w:t>№.of</w:t>
            </w:r>
          </w:p>
          <w:p w14:paraId="79F061B6" w14:textId="61AFC0C4" w:rsidR="002A187F" w:rsidRPr="001428E9" w:rsidRDefault="002A187F">
            <w:pPr>
              <w:keepLines/>
              <w:jc w:val="center"/>
              <w:rPr>
                <w:rFonts w:ascii="Arial Narrow" w:hAnsi="Arial Narrow"/>
                <w:b/>
                <w:bCs/>
                <w:sz w:val="20"/>
                <w:szCs w:val="20"/>
              </w:rPr>
            </w:pPr>
            <w:proofErr w:type="spellStart"/>
            <w:r w:rsidRPr="44072162">
              <w:rPr>
                <w:rFonts w:ascii="Arial Narrow" w:hAnsi="Arial Narrow"/>
                <w:b/>
                <w:bCs/>
                <w:sz w:val="20"/>
                <w:szCs w:val="20"/>
              </w:rPr>
              <w:t>Rpts</w:t>
            </w:r>
            <w:proofErr w:type="spellEnd"/>
          </w:p>
        </w:tc>
        <w:tc>
          <w:tcPr>
            <w:tcW w:w="1834" w:type="dxa"/>
            <w:vAlign w:val="center"/>
          </w:tcPr>
          <w:p w14:paraId="15E18C9D" w14:textId="736D7796" w:rsidR="002A187F" w:rsidRPr="001428E9" w:rsidRDefault="002A187F">
            <w:pPr>
              <w:keepLines/>
              <w:rPr>
                <w:rFonts w:ascii="Arial Narrow" w:hAnsi="Arial Narrow"/>
                <w:b/>
                <w:sz w:val="20"/>
                <w:szCs w:val="20"/>
                <w:lang w:val="fr-FR"/>
              </w:rPr>
            </w:pPr>
            <w:r w:rsidRPr="001428E9">
              <w:rPr>
                <w:rFonts w:ascii="Arial Narrow" w:hAnsi="Arial Narrow"/>
                <w:b/>
                <w:sz w:val="20"/>
                <w:szCs w:val="20"/>
              </w:rPr>
              <w:t>Available brands</w:t>
            </w:r>
          </w:p>
        </w:tc>
      </w:tr>
      <w:tr w:rsidR="002A187F" w:rsidRPr="001428E9" w14:paraId="0E001F3D" w14:textId="45173217">
        <w:trPr>
          <w:cantSplit/>
          <w:trHeight w:val="20"/>
        </w:trPr>
        <w:tc>
          <w:tcPr>
            <w:tcW w:w="9023" w:type="dxa"/>
            <w:gridSpan w:val="8"/>
            <w:vAlign w:val="center"/>
          </w:tcPr>
          <w:p w14:paraId="00245C93" w14:textId="32BE2ED3" w:rsidR="002A187F" w:rsidRPr="001428E9" w:rsidRDefault="002A187F">
            <w:pPr>
              <w:keepLines/>
              <w:rPr>
                <w:rFonts w:ascii="Arial Narrow" w:hAnsi="Arial Narrow"/>
                <w:sz w:val="20"/>
                <w:szCs w:val="20"/>
              </w:rPr>
            </w:pPr>
            <w:r>
              <w:rPr>
                <w:rFonts w:ascii="Arial Narrow" w:hAnsi="Arial Narrow"/>
                <w:sz w:val="20"/>
                <w:szCs w:val="20"/>
              </w:rPr>
              <w:t>OMALIZUMAB</w:t>
            </w:r>
          </w:p>
        </w:tc>
      </w:tr>
      <w:tr w:rsidR="002A187F" w:rsidRPr="001428E9" w14:paraId="5C5168C8" w14:textId="5852EB17">
        <w:trPr>
          <w:cantSplit/>
          <w:trHeight w:val="20"/>
        </w:trPr>
        <w:tc>
          <w:tcPr>
            <w:tcW w:w="3943" w:type="dxa"/>
            <w:gridSpan w:val="3"/>
            <w:vAlign w:val="center"/>
          </w:tcPr>
          <w:p w14:paraId="35BB249B" w14:textId="0590EE8F" w:rsidR="002A187F" w:rsidRPr="001428E9" w:rsidRDefault="002A187F">
            <w:pPr>
              <w:keepLines/>
              <w:rPr>
                <w:rFonts w:ascii="Arial Narrow" w:hAnsi="Arial Narrow"/>
                <w:sz w:val="20"/>
                <w:szCs w:val="20"/>
              </w:rPr>
            </w:pPr>
            <w:r w:rsidRPr="00285BC2">
              <w:rPr>
                <w:rFonts w:ascii="Arial Narrow" w:hAnsi="Arial Narrow"/>
                <w:sz w:val="20"/>
                <w:szCs w:val="20"/>
              </w:rPr>
              <w:t>omalizumab 75 mg/0.5 mL injection, 0.5 mL syringe</w:t>
            </w:r>
          </w:p>
        </w:tc>
        <w:tc>
          <w:tcPr>
            <w:tcW w:w="811" w:type="dxa"/>
            <w:vAlign w:val="center"/>
          </w:tcPr>
          <w:p w14:paraId="67780E0D" w14:textId="04C7132B" w:rsidR="002A187F" w:rsidRDefault="002A187F">
            <w:pPr>
              <w:keepLines/>
              <w:jc w:val="center"/>
              <w:rPr>
                <w:rFonts w:ascii="Arial Narrow" w:hAnsi="Arial Narrow"/>
                <w:sz w:val="20"/>
                <w:szCs w:val="20"/>
              </w:rPr>
            </w:pPr>
            <w:r w:rsidRPr="001428E9">
              <w:rPr>
                <w:rFonts w:ascii="Arial Narrow" w:hAnsi="Arial Narrow"/>
                <w:sz w:val="20"/>
                <w:szCs w:val="20"/>
              </w:rPr>
              <w:t>NEW</w:t>
            </w:r>
            <w:r>
              <w:rPr>
                <w:rFonts w:ascii="Arial Narrow" w:hAnsi="Arial Narrow"/>
                <w:sz w:val="20"/>
                <w:szCs w:val="20"/>
              </w:rPr>
              <w:t>/</w:t>
            </w:r>
          </w:p>
          <w:p w14:paraId="03C00089" w14:textId="2C260BCB" w:rsidR="002A187F" w:rsidRPr="001428E9" w:rsidRDefault="002A187F">
            <w:pPr>
              <w:keepLines/>
              <w:jc w:val="center"/>
              <w:rPr>
                <w:rFonts w:ascii="Arial Narrow" w:hAnsi="Arial Narrow"/>
                <w:sz w:val="20"/>
                <w:szCs w:val="20"/>
              </w:rPr>
            </w:pPr>
            <w:r>
              <w:rPr>
                <w:rFonts w:ascii="Arial Narrow" w:hAnsi="Arial Narrow"/>
                <w:sz w:val="20"/>
                <w:szCs w:val="20"/>
              </w:rPr>
              <w:t>Public</w:t>
            </w:r>
          </w:p>
        </w:tc>
        <w:tc>
          <w:tcPr>
            <w:tcW w:w="812" w:type="dxa"/>
            <w:vAlign w:val="center"/>
          </w:tcPr>
          <w:p w14:paraId="77E14C40" w14:textId="59C3CF6C" w:rsidR="002A187F" w:rsidRPr="001428E9" w:rsidRDefault="002A187F">
            <w:pPr>
              <w:keepLines/>
              <w:jc w:val="center"/>
              <w:rPr>
                <w:rFonts w:ascii="Arial Narrow" w:hAnsi="Arial Narrow"/>
                <w:sz w:val="20"/>
                <w:szCs w:val="20"/>
              </w:rPr>
            </w:pPr>
            <w:r w:rsidRPr="001428E9">
              <w:rPr>
                <w:rFonts w:ascii="Arial Narrow" w:hAnsi="Arial Narrow"/>
                <w:sz w:val="20"/>
                <w:szCs w:val="20"/>
              </w:rPr>
              <w:t>1</w:t>
            </w:r>
          </w:p>
        </w:tc>
        <w:tc>
          <w:tcPr>
            <w:tcW w:w="811" w:type="dxa"/>
            <w:vAlign w:val="center"/>
          </w:tcPr>
          <w:p w14:paraId="19373434" w14:textId="4353CA9A" w:rsidR="002A187F" w:rsidRPr="001428E9" w:rsidRDefault="002A187F">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75DA7997" w14:textId="4B7808AB" w:rsidR="002A187F" w:rsidRPr="001428E9" w:rsidRDefault="002A187F">
            <w:pPr>
              <w:keepLines/>
              <w:jc w:val="center"/>
              <w:rPr>
                <w:rFonts w:ascii="Arial Narrow" w:hAnsi="Arial Narrow"/>
                <w:sz w:val="20"/>
                <w:szCs w:val="20"/>
              </w:rPr>
            </w:pPr>
            <w:r w:rsidRPr="002B2F93">
              <w:rPr>
                <w:rFonts w:ascii="Arial Narrow" w:hAnsi="Arial Narrow"/>
                <w:strike/>
                <w:sz w:val="20"/>
                <w:szCs w:val="20"/>
              </w:rPr>
              <w:t>6</w:t>
            </w:r>
            <w:r w:rsidRPr="002B2F93">
              <w:rPr>
                <w:rFonts w:ascii="Arial Narrow" w:hAnsi="Arial Narrow"/>
                <w:i/>
                <w:iCs/>
                <w:sz w:val="20"/>
                <w:szCs w:val="20"/>
              </w:rPr>
              <w:t>5</w:t>
            </w:r>
          </w:p>
        </w:tc>
        <w:tc>
          <w:tcPr>
            <w:tcW w:w="1834" w:type="dxa"/>
            <w:vAlign w:val="center"/>
          </w:tcPr>
          <w:p w14:paraId="597799BA" w14:textId="071F56D5" w:rsidR="002A187F" w:rsidRPr="001428E9" w:rsidRDefault="002A187F">
            <w:pPr>
              <w:keepLines/>
              <w:rPr>
                <w:rFonts w:ascii="Arial Narrow" w:hAnsi="Arial Narrow"/>
                <w:sz w:val="20"/>
                <w:szCs w:val="20"/>
              </w:rPr>
            </w:pPr>
            <w:r>
              <w:rPr>
                <w:rFonts w:ascii="Arial Narrow" w:hAnsi="Arial Narrow"/>
                <w:sz w:val="20"/>
                <w:szCs w:val="20"/>
              </w:rPr>
              <w:t>Xolair</w:t>
            </w:r>
          </w:p>
        </w:tc>
      </w:tr>
      <w:tr w:rsidR="002A187F" w:rsidRPr="001428E9" w14:paraId="3EDBC7F4" w14:textId="045CD36F">
        <w:trPr>
          <w:cantSplit/>
          <w:trHeight w:val="20"/>
        </w:trPr>
        <w:tc>
          <w:tcPr>
            <w:tcW w:w="3943" w:type="dxa"/>
            <w:gridSpan w:val="3"/>
            <w:vAlign w:val="center"/>
          </w:tcPr>
          <w:p w14:paraId="3A2DB64B" w14:textId="42993B0D" w:rsidR="002A187F" w:rsidRPr="001428E9" w:rsidRDefault="002A187F">
            <w:pPr>
              <w:keepLines/>
              <w:rPr>
                <w:rFonts w:ascii="Arial Narrow" w:hAnsi="Arial Narrow"/>
                <w:sz w:val="20"/>
                <w:szCs w:val="20"/>
              </w:rPr>
            </w:pPr>
            <w:r w:rsidRPr="00285BC2">
              <w:rPr>
                <w:rFonts w:ascii="Arial Narrow" w:hAnsi="Arial Narrow"/>
                <w:sz w:val="20"/>
                <w:szCs w:val="20"/>
              </w:rPr>
              <w:t>omalizumab 75 mg/0.5 mL injection, 0.5 mL syringe</w:t>
            </w:r>
          </w:p>
        </w:tc>
        <w:tc>
          <w:tcPr>
            <w:tcW w:w="811" w:type="dxa"/>
            <w:vAlign w:val="center"/>
          </w:tcPr>
          <w:p w14:paraId="06B73BD5" w14:textId="720E106F" w:rsidR="002A187F" w:rsidRPr="001428E9" w:rsidRDefault="002A187F">
            <w:pPr>
              <w:keepLines/>
              <w:rPr>
                <w:rFonts w:ascii="Arial Narrow" w:hAnsi="Arial Narrow"/>
                <w:sz w:val="20"/>
                <w:szCs w:val="20"/>
              </w:rPr>
            </w:pPr>
            <w:r w:rsidRPr="001428E9">
              <w:rPr>
                <w:rFonts w:ascii="Arial Narrow" w:hAnsi="Arial Narrow"/>
                <w:sz w:val="20"/>
                <w:szCs w:val="20"/>
              </w:rPr>
              <w:t xml:space="preserve"> NEW</w:t>
            </w:r>
            <w:r>
              <w:rPr>
                <w:rFonts w:ascii="Arial Narrow" w:hAnsi="Arial Narrow"/>
                <w:sz w:val="20"/>
                <w:szCs w:val="20"/>
              </w:rPr>
              <w:t>/ Private</w:t>
            </w:r>
          </w:p>
        </w:tc>
        <w:tc>
          <w:tcPr>
            <w:tcW w:w="812" w:type="dxa"/>
            <w:vAlign w:val="center"/>
          </w:tcPr>
          <w:p w14:paraId="3E7F1306" w14:textId="39473CBD" w:rsidR="002A187F" w:rsidRPr="001428E9" w:rsidRDefault="002A187F">
            <w:pPr>
              <w:keepLines/>
              <w:jc w:val="center"/>
              <w:rPr>
                <w:rFonts w:ascii="Arial Narrow" w:hAnsi="Arial Narrow"/>
                <w:sz w:val="20"/>
                <w:szCs w:val="20"/>
              </w:rPr>
            </w:pPr>
            <w:r w:rsidRPr="001428E9">
              <w:rPr>
                <w:rFonts w:ascii="Arial Narrow" w:hAnsi="Arial Narrow"/>
                <w:sz w:val="20"/>
                <w:szCs w:val="20"/>
              </w:rPr>
              <w:t>1</w:t>
            </w:r>
          </w:p>
        </w:tc>
        <w:tc>
          <w:tcPr>
            <w:tcW w:w="811" w:type="dxa"/>
            <w:vAlign w:val="center"/>
          </w:tcPr>
          <w:p w14:paraId="2C09B34F" w14:textId="6A7AF0CC" w:rsidR="002A187F" w:rsidRPr="001428E9" w:rsidRDefault="002A187F">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0B30A748" w14:textId="34F20D1F" w:rsidR="002A187F" w:rsidRPr="001428E9" w:rsidRDefault="002A187F">
            <w:pPr>
              <w:keepLines/>
              <w:jc w:val="center"/>
              <w:rPr>
                <w:rFonts w:ascii="Arial Narrow" w:hAnsi="Arial Narrow"/>
                <w:sz w:val="20"/>
                <w:szCs w:val="20"/>
              </w:rPr>
            </w:pPr>
            <w:r w:rsidRPr="002B2F93">
              <w:rPr>
                <w:rFonts w:ascii="Arial Narrow" w:hAnsi="Arial Narrow"/>
                <w:strike/>
                <w:sz w:val="20"/>
                <w:szCs w:val="20"/>
              </w:rPr>
              <w:t>6</w:t>
            </w:r>
            <w:r w:rsidRPr="002B2F93">
              <w:rPr>
                <w:rFonts w:ascii="Arial Narrow" w:hAnsi="Arial Narrow"/>
                <w:i/>
                <w:iCs/>
                <w:sz w:val="20"/>
                <w:szCs w:val="20"/>
              </w:rPr>
              <w:t>5</w:t>
            </w:r>
          </w:p>
        </w:tc>
        <w:tc>
          <w:tcPr>
            <w:tcW w:w="1834" w:type="dxa"/>
            <w:vAlign w:val="center"/>
          </w:tcPr>
          <w:p w14:paraId="648E36DE" w14:textId="021BECEC" w:rsidR="002A187F" w:rsidRPr="001428E9" w:rsidRDefault="002A187F">
            <w:pPr>
              <w:keepLines/>
              <w:rPr>
                <w:rFonts w:ascii="Arial Narrow" w:hAnsi="Arial Narrow"/>
                <w:sz w:val="20"/>
                <w:szCs w:val="20"/>
              </w:rPr>
            </w:pPr>
            <w:r>
              <w:rPr>
                <w:rFonts w:ascii="Arial Narrow" w:hAnsi="Arial Narrow"/>
                <w:sz w:val="20"/>
                <w:szCs w:val="20"/>
              </w:rPr>
              <w:t>Xolair</w:t>
            </w:r>
          </w:p>
        </w:tc>
      </w:tr>
      <w:tr w:rsidR="002A187F" w:rsidRPr="001428E9" w14:paraId="17401E2F" w14:textId="60818DB5">
        <w:trPr>
          <w:cantSplit/>
          <w:trHeight w:val="20"/>
        </w:trPr>
        <w:tc>
          <w:tcPr>
            <w:tcW w:w="3943" w:type="dxa"/>
            <w:gridSpan w:val="3"/>
            <w:vAlign w:val="center"/>
          </w:tcPr>
          <w:p w14:paraId="1092A54C" w14:textId="2D018AD9" w:rsidR="002A187F" w:rsidRPr="00D25143" w:rsidRDefault="002A187F">
            <w:pPr>
              <w:keepLines/>
              <w:rPr>
                <w:rFonts w:ascii="Arial Narrow" w:hAnsi="Arial Narrow"/>
                <w:sz w:val="20"/>
                <w:szCs w:val="20"/>
              </w:rPr>
            </w:pPr>
            <w:r w:rsidRPr="00063369">
              <w:rPr>
                <w:rFonts w:ascii="Arial Narrow" w:hAnsi="Arial Narrow"/>
                <w:sz w:val="20"/>
                <w:szCs w:val="20"/>
              </w:rPr>
              <w:t>omalizumab 150 mg/ mL injection, 1 mL syringe</w:t>
            </w:r>
          </w:p>
        </w:tc>
        <w:tc>
          <w:tcPr>
            <w:tcW w:w="811" w:type="dxa"/>
            <w:vAlign w:val="center"/>
          </w:tcPr>
          <w:p w14:paraId="64DC1D4A" w14:textId="20DBEFA4" w:rsidR="002A187F" w:rsidRPr="00063369" w:rsidRDefault="002A187F">
            <w:pPr>
              <w:keepLines/>
              <w:jc w:val="center"/>
              <w:rPr>
                <w:rFonts w:ascii="Arial Narrow" w:hAnsi="Arial Narrow"/>
                <w:sz w:val="20"/>
                <w:szCs w:val="20"/>
              </w:rPr>
            </w:pPr>
            <w:r w:rsidRPr="00063369">
              <w:rPr>
                <w:rFonts w:ascii="Arial Narrow" w:hAnsi="Arial Narrow"/>
                <w:sz w:val="20"/>
                <w:szCs w:val="20"/>
              </w:rPr>
              <w:t>NEW/</w:t>
            </w:r>
          </w:p>
          <w:p w14:paraId="6B5C8110" w14:textId="7DAFB7F8" w:rsidR="002A187F" w:rsidRPr="00D25143" w:rsidRDefault="002A187F">
            <w:pPr>
              <w:keepLines/>
              <w:jc w:val="center"/>
              <w:rPr>
                <w:rFonts w:ascii="Arial Narrow" w:hAnsi="Arial Narrow"/>
                <w:sz w:val="20"/>
                <w:szCs w:val="20"/>
              </w:rPr>
            </w:pPr>
            <w:r w:rsidRPr="00063369">
              <w:rPr>
                <w:rFonts w:ascii="Arial Narrow" w:hAnsi="Arial Narrow"/>
                <w:sz w:val="20"/>
                <w:szCs w:val="20"/>
              </w:rPr>
              <w:t>Public</w:t>
            </w:r>
          </w:p>
        </w:tc>
        <w:tc>
          <w:tcPr>
            <w:tcW w:w="812" w:type="dxa"/>
            <w:vAlign w:val="center"/>
          </w:tcPr>
          <w:p w14:paraId="56D03334" w14:textId="60B34586" w:rsidR="002A187F" w:rsidRPr="00D25143" w:rsidRDefault="002A187F">
            <w:pPr>
              <w:keepLines/>
              <w:jc w:val="center"/>
              <w:rPr>
                <w:rFonts w:ascii="Arial Narrow" w:hAnsi="Arial Narrow"/>
                <w:sz w:val="20"/>
                <w:szCs w:val="20"/>
              </w:rPr>
            </w:pPr>
            <w:r w:rsidRPr="00063369">
              <w:rPr>
                <w:rFonts w:ascii="Arial Narrow" w:hAnsi="Arial Narrow"/>
                <w:sz w:val="20"/>
                <w:szCs w:val="20"/>
              </w:rPr>
              <w:t>1</w:t>
            </w:r>
          </w:p>
        </w:tc>
        <w:tc>
          <w:tcPr>
            <w:tcW w:w="811" w:type="dxa"/>
            <w:vAlign w:val="center"/>
          </w:tcPr>
          <w:p w14:paraId="0C493D6B" w14:textId="1E8FDB4A" w:rsidR="002A187F" w:rsidRPr="00D25143" w:rsidRDefault="002A187F">
            <w:pPr>
              <w:keepLines/>
              <w:jc w:val="center"/>
              <w:rPr>
                <w:rFonts w:ascii="Arial Narrow" w:hAnsi="Arial Narrow"/>
                <w:sz w:val="20"/>
                <w:szCs w:val="20"/>
              </w:rPr>
            </w:pPr>
            <w:r w:rsidRPr="00063369">
              <w:rPr>
                <w:rFonts w:ascii="Arial Narrow" w:hAnsi="Arial Narrow"/>
                <w:sz w:val="20"/>
                <w:szCs w:val="20"/>
              </w:rPr>
              <w:t>1</w:t>
            </w:r>
          </w:p>
        </w:tc>
        <w:tc>
          <w:tcPr>
            <w:tcW w:w="812" w:type="dxa"/>
            <w:vAlign w:val="center"/>
          </w:tcPr>
          <w:p w14:paraId="70C5D815" w14:textId="16D3B390" w:rsidR="002A187F" w:rsidRPr="00D25143" w:rsidRDefault="002A187F">
            <w:pPr>
              <w:keepLines/>
              <w:jc w:val="center"/>
              <w:rPr>
                <w:rFonts w:ascii="Arial Narrow" w:hAnsi="Arial Narrow"/>
                <w:strike/>
                <w:sz w:val="20"/>
                <w:szCs w:val="20"/>
              </w:rPr>
            </w:pPr>
            <w:r w:rsidRPr="00D25143">
              <w:rPr>
                <w:rFonts w:ascii="Arial Narrow" w:hAnsi="Arial Narrow"/>
                <w:strike/>
                <w:sz w:val="20"/>
                <w:szCs w:val="20"/>
              </w:rPr>
              <w:t>6</w:t>
            </w:r>
            <w:r w:rsidRPr="00063369">
              <w:rPr>
                <w:rFonts w:ascii="Arial Narrow" w:hAnsi="Arial Narrow"/>
                <w:sz w:val="20"/>
                <w:szCs w:val="20"/>
              </w:rPr>
              <w:t>5</w:t>
            </w:r>
          </w:p>
        </w:tc>
        <w:tc>
          <w:tcPr>
            <w:tcW w:w="1834" w:type="dxa"/>
            <w:vAlign w:val="center"/>
          </w:tcPr>
          <w:p w14:paraId="70FF8FE4" w14:textId="55D17BA7" w:rsidR="002A187F" w:rsidRPr="00D25143" w:rsidRDefault="002A187F">
            <w:pPr>
              <w:keepLines/>
              <w:rPr>
                <w:rFonts w:ascii="Arial Narrow" w:hAnsi="Arial Narrow"/>
                <w:sz w:val="20"/>
                <w:szCs w:val="20"/>
              </w:rPr>
            </w:pPr>
            <w:r w:rsidRPr="00063369">
              <w:rPr>
                <w:rFonts w:ascii="Arial Narrow" w:hAnsi="Arial Narrow"/>
                <w:sz w:val="20"/>
                <w:szCs w:val="20"/>
              </w:rPr>
              <w:t>Xolair</w:t>
            </w:r>
          </w:p>
        </w:tc>
      </w:tr>
      <w:tr w:rsidR="002A187F" w:rsidRPr="001428E9" w14:paraId="453AE9B8" w14:textId="391B98B6">
        <w:trPr>
          <w:cantSplit/>
          <w:trHeight w:val="20"/>
        </w:trPr>
        <w:tc>
          <w:tcPr>
            <w:tcW w:w="3943" w:type="dxa"/>
            <w:gridSpan w:val="3"/>
            <w:vAlign w:val="center"/>
          </w:tcPr>
          <w:p w14:paraId="11D2AA66" w14:textId="07E54692" w:rsidR="002A187F" w:rsidRPr="00D25143" w:rsidRDefault="002A187F">
            <w:pPr>
              <w:keepLines/>
              <w:rPr>
                <w:rFonts w:ascii="Arial Narrow" w:hAnsi="Arial Narrow"/>
                <w:sz w:val="20"/>
                <w:szCs w:val="20"/>
              </w:rPr>
            </w:pPr>
            <w:r w:rsidRPr="00063369">
              <w:rPr>
                <w:rFonts w:ascii="Arial Narrow" w:hAnsi="Arial Narrow"/>
                <w:sz w:val="20"/>
                <w:szCs w:val="20"/>
              </w:rPr>
              <w:t>omalizumab 150 mg/ mL injection, 1 mL syringe</w:t>
            </w:r>
          </w:p>
        </w:tc>
        <w:tc>
          <w:tcPr>
            <w:tcW w:w="811" w:type="dxa"/>
            <w:vAlign w:val="center"/>
          </w:tcPr>
          <w:p w14:paraId="59DFBCCE" w14:textId="4D0394F9" w:rsidR="002A187F" w:rsidRPr="00D25143" w:rsidRDefault="002A187F">
            <w:pPr>
              <w:keepLines/>
              <w:jc w:val="center"/>
              <w:rPr>
                <w:rFonts w:ascii="Arial Narrow" w:hAnsi="Arial Narrow"/>
                <w:sz w:val="20"/>
                <w:szCs w:val="20"/>
              </w:rPr>
            </w:pPr>
            <w:r w:rsidRPr="00063369">
              <w:rPr>
                <w:rFonts w:ascii="Arial Narrow" w:hAnsi="Arial Narrow"/>
                <w:sz w:val="20"/>
                <w:szCs w:val="20"/>
              </w:rPr>
              <w:t>NEW/ Private</w:t>
            </w:r>
          </w:p>
        </w:tc>
        <w:tc>
          <w:tcPr>
            <w:tcW w:w="812" w:type="dxa"/>
            <w:vAlign w:val="center"/>
          </w:tcPr>
          <w:p w14:paraId="775B1C0D" w14:textId="79ABBF3C" w:rsidR="002A187F" w:rsidRPr="00D25143" w:rsidRDefault="002A187F">
            <w:pPr>
              <w:keepLines/>
              <w:jc w:val="center"/>
              <w:rPr>
                <w:rFonts w:ascii="Arial Narrow" w:hAnsi="Arial Narrow"/>
                <w:sz w:val="20"/>
                <w:szCs w:val="20"/>
              </w:rPr>
            </w:pPr>
            <w:r w:rsidRPr="00063369">
              <w:rPr>
                <w:rFonts w:ascii="Arial Narrow" w:hAnsi="Arial Narrow"/>
                <w:sz w:val="20"/>
                <w:szCs w:val="20"/>
              </w:rPr>
              <w:t>1</w:t>
            </w:r>
          </w:p>
        </w:tc>
        <w:tc>
          <w:tcPr>
            <w:tcW w:w="811" w:type="dxa"/>
            <w:vAlign w:val="center"/>
          </w:tcPr>
          <w:p w14:paraId="7D500A2B" w14:textId="0889268C" w:rsidR="002A187F" w:rsidRPr="00D25143" w:rsidRDefault="002A187F">
            <w:pPr>
              <w:keepLines/>
              <w:jc w:val="center"/>
              <w:rPr>
                <w:rFonts w:ascii="Arial Narrow" w:hAnsi="Arial Narrow"/>
                <w:sz w:val="20"/>
                <w:szCs w:val="20"/>
              </w:rPr>
            </w:pPr>
            <w:r w:rsidRPr="00063369">
              <w:rPr>
                <w:rFonts w:ascii="Arial Narrow" w:hAnsi="Arial Narrow"/>
                <w:sz w:val="20"/>
                <w:szCs w:val="20"/>
              </w:rPr>
              <w:t>1</w:t>
            </w:r>
          </w:p>
        </w:tc>
        <w:tc>
          <w:tcPr>
            <w:tcW w:w="812" w:type="dxa"/>
            <w:vAlign w:val="center"/>
          </w:tcPr>
          <w:p w14:paraId="02A2FFBF" w14:textId="2C700402" w:rsidR="002A187F" w:rsidRPr="00D25143" w:rsidRDefault="002A187F">
            <w:pPr>
              <w:keepLines/>
              <w:jc w:val="center"/>
              <w:rPr>
                <w:rFonts w:ascii="Arial Narrow" w:hAnsi="Arial Narrow"/>
                <w:strike/>
                <w:sz w:val="20"/>
                <w:szCs w:val="20"/>
              </w:rPr>
            </w:pPr>
            <w:r w:rsidRPr="00D25143">
              <w:rPr>
                <w:rFonts w:ascii="Arial Narrow" w:hAnsi="Arial Narrow"/>
                <w:strike/>
                <w:sz w:val="20"/>
                <w:szCs w:val="20"/>
              </w:rPr>
              <w:t>6</w:t>
            </w:r>
            <w:r w:rsidRPr="00063369">
              <w:rPr>
                <w:rFonts w:ascii="Arial Narrow" w:hAnsi="Arial Narrow"/>
                <w:sz w:val="20"/>
                <w:szCs w:val="20"/>
              </w:rPr>
              <w:t>5</w:t>
            </w:r>
          </w:p>
        </w:tc>
        <w:tc>
          <w:tcPr>
            <w:tcW w:w="1834" w:type="dxa"/>
            <w:vAlign w:val="center"/>
          </w:tcPr>
          <w:p w14:paraId="4239FA0F" w14:textId="71DCA7BB" w:rsidR="002A187F" w:rsidRPr="00D25143" w:rsidRDefault="002A187F">
            <w:pPr>
              <w:keepLines/>
              <w:rPr>
                <w:rFonts w:ascii="Arial Narrow" w:hAnsi="Arial Narrow"/>
                <w:sz w:val="20"/>
                <w:szCs w:val="20"/>
              </w:rPr>
            </w:pPr>
            <w:r w:rsidRPr="00063369">
              <w:rPr>
                <w:rFonts w:ascii="Arial Narrow" w:hAnsi="Arial Narrow"/>
                <w:sz w:val="20"/>
                <w:szCs w:val="20"/>
              </w:rPr>
              <w:t>Xolair</w:t>
            </w:r>
          </w:p>
        </w:tc>
      </w:tr>
      <w:tr w:rsidR="002A187F" w:rsidRPr="001428E9" w14:paraId="26AEB492" w14:textId="08CE7FDF">
        <w:tblPrEx>
          <w:tblCellMar>
            <w:top w:w="15" w:type="dxa"/>
            <w:bottom w:w="15" w:type="dxa"/>
          </w:tblCellMar>
          <w:tblLook w:val="04A0" w:firstRow="1" w:lastRow="0" w:firstColumn="1" w:lastColumn="0" w:noHBand="0" w:noVBand="1"/>
        </w:tblPrEx>
        <w:trPr>
          <w:trHeight w:val="20"/>
        </w:trPr>
        <w:tc>
          <w:tcPr>
            <w:tcW w:w="9023" w:type="dxa"/>
            <w:gridSpan w:val="8"/>
            <w:tcBorders>
              <w:top w:val="single" w:sz="4" w:space="0" w:color="auto"/>
              <w:left w:val="single" w:sz="4" w:space="0" w:color="auto"/>
              <w:right w:val="single" w:sz="4" w:space="0" w:color="auto"/>
            </w:tcBorders>
            <w:vAlign w:val="center"/>
          </w:tcPr>
          <w:p w14:paraId="00250147" w14:textId="72BE479E" w:rsidR="002A187F" w:rsidRPr="001428E9" w:rsidRDefault="002A187F">
            <w:pPr>
              <w:rPr>
                <w:rFonts w:ascii="Arial Narrow" w:hAnsi="Arial Narrow"/>
                <w:sz w:val="20"/>
                <w:szCs w:val="20"/>
              </w:rPr>
            </w:pPr>
          </w:p>
        </w:tc>
      </w:tr>
      <w:tr w:rsidR="002A187F" w:rsidRPr="001428E9" w14:paraId="41ABBE00" w14:textId="030DC128">
        <w:tblPrEx>
          <w:tblCellMar>
            <w:top w:w="15" w:type="dxa"/>
            <w:bottom w:w="15" w:type="dxa"/>
          </w:tblCellMar>
          <w:tblLook w:val="04A0" w:firstRow="1" w:lastRow="0" w:firstColumn="1" w:lastColumn="0" w:noHBand="0" w:noVBand="1"/>
        </w:tblPrEx>
        <w:trPr>
          <w:trHeight w:val="20"/>
        </w:trPr>
        <w:tc>
          <w:tcPr>
            <w:tcW w:w="9023" w:type="dxa"/>
            <w:gridSpan w:val="8"/>
            <w:tcBorders>
              <w:top w:val="single" w:sz="4" w:space="0" w:color="auto"/>
              <w:left w:val="single" w:sz="4" w:space="0" w:color="auto"/>
              <w:right w:val="single" w:sz="4" w:space="0" w:color="auto"/>
            </w:tcBorders>
            <w:vAlign w:val="center"/>
          </w:tcPr>
          <w:p w14:paraId="17520C3A" w14:textId="77A75E6F" w:rsidR="002A187F" w:rsidRPr="00D44EF9" w:rsidRDefault="002A187F">
            <w:pPr>
              <w:keepLines/>
              <w:rPr>
                <w:rFonts w:ascii="Arial Narrow" w:hAnsi="Arial Narrow"/>
                <w:b/>
                <w:i/>
                <w:iCs/>
                <w:sz w:val="20"/>
                <w:szCs w:val="20"/>
              </w:rPr>
            </w:pPr>
            <w:r w:rsidRPr="00D44EF9">
              <w:rPr>
                <w:rFonts w:ascii="Arial Narrow" w:hAnsi="Arial Narrow"/>
                <w:b/>
                <w:i/>
                <w:iCs/>
                <w:sz w:val="20"/>
                <w:szCs w:val="20"/>
              </w:rPr>
              <w:t xml:space="preserve">Restriction Summary / Treatment of Concept: </w:t>
            </w:r>
          </w:p>
        </w:tc>
      </w:tr>
      <w:tr w:rsidR="002A187F" w:rsidRPr="001428E9" w14:paraId="6E2B1A64" w14:textId="011213EA">
        <w:tblPrEx>
          <w:tblCellMar>
            <w:top w:w="15" w:type="dxa"/>
            <w:bottom w:w="15" w:type="dxa"/>
          </w:tblCellMar>
          <w:tblLook w:val="04A0" w:firstRow="1" w:lastRow="0" w:firstColumn="1" w:lastColumn="0" w:noHBand="0" w:noVBand="1"/>
        </w:tblPrEx>
        <w:trPr>
          <w:trHeight w:val="20"/>
        </w:trPr>
        <w:tc>
          <w:tcPr>
            <w:tcW w:w="1273" w:type="dxa"/>
            <w:gridSpan w:val="2"/>
            <w:vMerge w:val="restart"/>
            <w:tcBorders>
              <w:top w:val="single" w:sz="4" w:space="0" w:color="auto"/>
              <w:left w:val="single" w:sz="4" w:space="0" w:color="auto"/>
              <w:right w:val="single" w:sz="4" w:space="0" w:color="auto"/>
            </w:tcBorders>
          </w:tcPr>
          <w:p w14:paraId="74A4D0ED" w14:textId="7BC90283" w:rsidR="002A187F" w:rsidRPr="00D44EF9" w:rsidRDefault="002A187F">
            <w:pPr>
              <w:jc w:val="center"/>
              <w:rPr>
                <w:rFonts w:ascii="Arial Narrow" w:hAnsi="Arial Narrow"/>
                <w:b/>
                <w:i/>
                <w:iCs/>
                <w:sz w:val="20"/>
                <w:szCs w:val="20"/>
              </w:rPr>
            </w:pPr>
          </w:p>
        </w:tc>
        <w:tc>
          <w:tcPr>
            <w:tcW w:w="7750" w:type="dxa"/>
            <w:gridSpan w:val="6"/>
            <w:tcBorders>
              <w:top w:val="single" w:sz="4" w:space="0" w:color="auto"/>
              <w:left w:val="single" w:sz="4" w:space="0" w:color="auto"/>
              <w:bottom w:val="single" w:sz="4" w:space="0" w:color="auto"/>
              <w:right w:val="single" w:sz="4" w:space="0" w:color="auto"/>
            </w:tcBorders>
            <w:vAlign w:val="center"/>
          </w:tcPr>
          <w:p w14:paraId="71F00683" w14:textId="0811C628" w:rsidR="002A187F" w:rsidRPr="00D44EF9" w:rsidRDefault="002A187F">
            <w:pPr>
              <w:keepLines/>
              <w:rPr>
                <w:rFonts w:ascii="Arial Narrow" w:eastAsia="Calibri" w:hAnsi="Arial Narrow"/>
                <w:i/>
                <w:iCs/>
                <w:sz w:val="20"/>
                <w:szCs w:val="20"/>
              </w:rPr>
            </w:pPr>
            <w:r w:rsidRPr="00D44EF9">
              <w:rPr>
                <w:rFonts w:ascii="Arial Narrow" w:hAnsi="Arial Narrow"/>
                <w:b/>
                <w:i/>
                <w:iCs/>
                <w:sz w:val="20"/>
                <w:szCs w:val="20"/>
              </w:rPr>
              <w:t>Category / Program:</w:t>
            </w:r>
            <w:r w:rsidRPr="00D44EF9">
              <w:rPr>
                <w:rFonts w:ascii="Arial Narrow" w:hAnsi="Arial Narrow"/>
                <w:i/>
                <w:iCs/>
                <w:color w:val="FF0000"/>
                <w:sz w:val="20"/>
                <w:szCs w:val="20"/>
              </w:rPr>
              <w:t xml:space="preserve"> </w:t>
            </w:r>
          </w:p>
          <w:p w14:paraId="2036B785" w14:textId="493493AC" w:rsidR="002A187F" w:rsidRPr="00D44EF9" w:rsidRDefault="002A187F">
            <w:pPr>
              <w:keepLines/>
              <w:rPr>
                <w:rFonts w:ascii="Arial Narrow" w:hAnsi="Arial Narrow"/>
                <w:i/>
                <w:iCs/>
                <w:sz w:val="20"/>
                <w:szCs w:val="20"/>
              </w:rPr>
            </w:pPr>
            <w:r w:rsidRPr="00D44EF9">
              <w:rPr>
                <w:rFonts w:ascii="Arial Narrow" w:eastAsia="Calibri" w:hAnsi="Arial Narrow"/>
                <w:i/>
                <w:iCs/>
                <w:sz w:val="20"/>
                <w:szCs w:val="20"/>
              </w:rPr>
              <w:fldChar w:fldCharType="begin">
                <w:ffData>
                  <w:name w:val=""/>
                  <w:enabled/>
                  <w:calcOnExit w:val="0"/>
                  <w:checkBox>
                    <w:sizeAuto/>
                    <w:default w:val="1"/>
                  </w:checkBox>
                </w:ffData>
              </w:fldChar>
            </w:r>
            <w:r w:rsidRPr="00D44EF9">
              <w:rPr>
                <w:rFonts w:ascii="Arial Narrow" w:eastAsia="Calibri" w:hAnsi="Arial Narrow"/>
                <w:i/>
                <w:iCs/>
                <w:sz w:val="20"/>
                <w:szCs w:val="20"/>
              </w:rPr>
              <w:instrText xml:space="preserve"> FORMCHECKBOX </w:instrText>
            </w:r>
            <w:r w:rsidRPr="00D44EF9">
              <w:rPr>
                <w:rFonts w:ascii="Arial Narrow" w:eastAsia="Calibri" w:hAnsi="Arial Narrow"/>
                <w:i/>
                <w:iCs/>
                <w:sz w:val="20"/>
                <w:szCs w:val="20"/>
              </w:rPr>
            </w:r>
            <w:r w:rsidRPr="00D44EF9">
              <w:rPr>
                <w:rFonts w:ascii="Arial Narrow" w:eastAsia="Calibri" w:hAnsi="Arial Narrow"/>
                <w:i/>
                <w:iCs/>
                <w:sz w:val="20"/>
                <w:szCs w:val="20"/>
              </w:rPr>
              <w:fldChar w:fldCharType="separate"/>
            </w:r>
            <w:r w:rsidRPr="00D44EF9">
              <w:rPr>
                <w:rFonts w:ascii="Arial Narrow" w:eastAsia="Calibri" w:hAnsi="Arial Narrow"/>
                <w:i/>
                <w:iCs/>
                <w:sz w:val="20"/>
                <w:szCs w:val="20"/>
              </w:rPr>
              <w:fldChar w:fldCharType="end"/>
            </w:r>
            <w:r w:rsidRPr="00D44EF9">
              <w:rPr>
                <w:rFonts w:ascii="Arial Narrow" w:eastAsia="Calibri" w:hAnsi="Arial Narrow"/>
                <w:i/>
                <w:iCs/>
                <w:sz w:val="20"/>
                <w:szCs w:val="20"/>
              </w:rPr>
              <w:t xml:space="preserve"> Section 100 – Highly Specialised Drugs Program – Public (Code HB)</w:t>
            </w:r>
            <w:r w:rsidRPr="00D44EF9">
              <w:rPr>
                <w:rFonts w:ascii="Arial Narrow" w:eastAsia="Calibri" w:hAnsi="Arial Narrow"/>
                <w:i/>
                <w:iCs/>
                <w:color w:val="FF0000"/>
                <w:sz w:val="20"/>
                <w:szCs w:val="20"/>
              </w:rPr>
              <w:t xml:space="preserve"> </w:t>
            </w:r>
            <w:r w:rsidRPr="00D44EF9">
              <w:rPr>
                <w:rFonts w:ascii="Arial Narrow" w:eastAsia="Calibri" w:hAnsi="Arial Narrow"/>
                <w:i/>
                <w:iCs/>
                <w:sz w:val="20"/>
                <w:szCs w:val="20"/>
              </w:rPr>
              <w:t>/ Private (Code HS)</w:t>
            </w:r>
          </w:p>
        </w:tc>
      </w:tr>
      <w:tr w:rsidR="002A187F" w:rsidRPr="001428E9" w14:paraId="796E6566" w14:textId="7897C8C7">
        <w:tblPrEx>
          <w:tblCellMar>
            <w:top w:w="15" w:type="dxa"/>
            <w:bottom w:w="15" w:type="dxa"/>
          </w:tblCellMar>
          <w:tblLook w:val="04A0" w:firstRow="1" w:lastRow="0" w:firstColumn="1" w:lastColumn="0" w:noHBand="0" w:noVBand="1"/>
        </w:tblPrEx>
        <w:trPr>
          <w:trHeight w:val="20"/>
        </w:trPr>
        <w:tc>
          <w:tcPr>
            <w:tcW w:w="1273" w:type="dxa"/>
            <w:gridSpan w:val="2"/>
            <w:vMerge/>
          </w:tcPr>
          <w:p w14:paraId="06A06D8F" w14:textId="2D92B719" w:rsidR="002A187F" w:rsidRPr="00D44EF9" w:rsidRDefault="002A187F">
            <w:pPr>
              <w:rPr>
                <w:rFonts w:ascii="Arial Narrow" w:hAnsi="Arial Narrow"/>
                <w:i/>
                <w:iCs/>
                <w:sz w:val="20"/>
                <w:szCs w:val="20"/>
              </w:rPr>
            </w:pPr>
          </w:p>
        </w:tc>
        <w:tc>
          <w:tcPr>
            <w:tcW w:w="7750" w:type="dxa"/>
            <w:gridSpan w:val="6"/>
            <w:tcBorders>
              <w:top w:val="single" w:sz="4" w:space="0" w:color="auto"/>
              <w:left w:val="single" w:sz="4" w:space="0" w:color="auto"/>
              <w:bottom w:val="single" w:sz="4" w:space="0" w:color="auto"/>
              <w:right w:val="single" w:sz="4" w:space="0" w:color="auto"/>
            </w:tcBorders>
            <w:vAlign w:val="center"/>
          </w:tcPr>
          <w:p w14:paraId="5397CAE9" w14:textId="08BDE5CB" w:rsidR="002A187F" w:rsidRPr="00D44EF9" w:rsidRDefault="002A187F">
            <w:pPr>
              <w:keepLines/>
              <w:rPr>
                <w:rFonts w:ascii="Arial Narrow" w:hAnsi="Arial Narrow"/>
                <w:b/>
                <w:i/>
                <w:iCs/>
                <w:sz w:val="20"/>
                <w:szCs w:val="20"/>
              </w:rPr>
            </w:pPr>
            <w:r w:rsidRPr="00D44EF9">
              <w:rPr>
                <w:rFonts w:ascii="Arial Narrow" w:hAnsi="Arial Narrow"/>
                <w:b/>
                <w:i/>
                <w:iCs/>
                <w:sz w:val="20"/>
                <w:szCs w:val="20"/>
              </w:rPr>
              <w:t xml:space="preserve">Prescriber type: </w:t>
            </w:r>
          </w:p>
          <w:p w14:paraId="01501CD2" w14:textId="5EAB9C4B" w:rsidR="002A187F" w:rsidRPr="00D44EF9" w:rsidRDefault="002A187F">
            <w:pPr>
              <w:keepLines/>
              <w:rPr>
                <w:rFonts w:ascii="Arial Narrow" w:hAnsi="Arial Narrow"/>
                <w:b/>
                <w:i/>
                <w:iCs/>
                <w:sz w:val="20"/>
                <w:szCs w:val="20"/>
              </w:rPr>
            </w:pPr>
            <w:r w:rsidRPr="00D44EF9">
              <w:rPr>
                <w:rFonts w:ascii="Arial Narrow" w:hAnsi="Arial Narrow"/>
                <w:i/>
                <w:iCs/>
                <w:sz w:val="20"/>
                <w:szCs w:val="20"/>
              </w:rPr>
              <w:fldChar w:fldCharType="begin">
                <w:ffData>
                  <w:name w:val=""/>
                  <w:enabled/>
                  <w:calcOnExit w:val="0"/>
                  <w:checkBox>
                    <w:sizeAuto/>
                    <w:default w:val="1"/>
                  </w:checkBox>
                </w:ffData>
              </w:fldChar>
            </w:r>
            <w:r w:rsidRPr="00D44EF9">
              <w:rPr>
                <w:rFonts w:ascii="Arial Narrow" w:hAnsi="Arial Narrow"/>
                <w:i/>
                <w:iCs/>
                <w:sz w:val="20"/>
                <w:szCs w:val="20"/>
              </w:rPr>
              <w:instrText xml:space="preserve"> FORMCHECKBOX </w:instrText>
            </w:r>
            <w:r w:rsidRPr="00D44EF9">
              <w:rPr>
                <w:rFonts w:ascii="Arial Narrow" w:hAnsi="Arial Narrow"/>
                <w:i/>
                <w:iCs/>
                <w:sz w:val="20"/>
                <w:szCs w:val="20"/>
              </w:rPr>
            </w:r>
            <w:r w:rsidRPr="00D44EF9">
              <w:rPr>
                <w:rFonts w:ascii="Arial Narrow" w:hAnsi="Arial Narrow"/>
                <w:i/>
                <w:iCs/>
                <w:sz w:val="20"/>
                <w:szCs w:val="20"/>
              </w:rPr>
              <w:fldChar w:fldCharType="separate"/>
            </w:r>
            <w:r w:rsidRPr="00D44EF9">
              <w:rPr>
                <w:rFonts w:ascii="Arial Narrow" w:hAnsi="Arial Narrow"/>
                <w:i/>
                <w:iCs/>
                <w:sz w:val="20"/>
                <w:szCs w:val="20"/>
              </w:rPr>
              <w:fldChar w:fldCharType="end"/>
            </w:r>
            <w:r w:rsidRPr="00D44EF9">
              <w:rPr>
                <w:rFonts w:ascii="Arial Narrow" w:hAnsi="Arial Narrow"/>
                <w:i/>
                <w:iCs/>
                <w:sz w:val="20"/>
                <w:szCs w:val="20"/>
              </w:rPr>
              <w:t xml:space="preserve">Medical Practitioners </w:t>
            </w:r>
          </w:p>
        </w:tc>
      </w:tr>
      <w:tr w:rsidR="002A187F" w:rsidRPr="001428E9" w14:paraId="4A6DC36A" w14:textId="58412D5F">
        <w:tblPrEx>
          <w:tblCellMar>
            <w:top w:w="15" w:type="dxa"/>
            <w:bottom w:w="15" w:type="dxa"/>
          </w:tblCellMar>
          <w:tblLook w:val="04A0" w:firstRow="1" w:lastRow="0" w:firstColumn="1" w:lastColumn="0" w:noHBand="0" w:noVBand="1"/>
        </w:tblPrEx>
        <w:trPr>
          <w:trHeight w:val="20"/>
        </w:trPr>
        <w:tc>
          <w:tcPr>
            <w:tcW w:w="1273" w:type="dxa"/>
            <w:gridSpan w:val="2"/>
            <w:vMerge/>
          </w:tcPr>
          <w:p w14:paraId="1B34F457" w14:textId="71FE6AD5" w:rsidR="002A187F" w:rsidRPr="00D44EF9" w:rsidRDefault="002A187F">
            <w:pPr>
              <w:rPr>
                <w:rFonts w:ascii="Arial Narrow" w:hAnsi="Arial Narrow"/>
                <w:i/>
                <w:iCs/>
                <w:sz w:val="20"/>
                <w:szCs w:val="20"/>
              </w:rPr>
            </w:pPr>
          </w:p>
        </w:tc>
        <w:tc>
          <w:tcPr>
            <w:tcW w:w="7750" w:type="dxa"/>
            <w:gridSpan w:val="6"/>
            <w:tcBorders>
              <w:top w:val="single" w:sz="4" w:space="0" w:color="auto"/>
              <w:left w:val="single" w:sz="4" w:space="0" w:color="auto"/>
              <w:bottom w:val="single" w:sz="4" w:space="0" w:color="auto"/>
              <w:right w:val="single" w:sz="4" w:space="0" w:color="auto"/>
            </w:tcBorders>
            <w:vAlign w:val="center"/>
          </w:tcPr>
          <w:p w14:paraId="598E7D67" w14:textId="15C8ED38" w:rsidR="002A187F" w:rsidRPr="00D44EF9" w:rsidRDefault="002A187F">
            <w:pPr>
              <w:keepLines/>
              <w:jc w:val="left"/>
              <w:rPr>
                <w:rFonts w:ascii="Arial Narrow" w:eastAsia="Calibri" w:hAnsi="Arial Narrow"/>
                <w:i/>
                <w:iCs/>
                <w:color w:val="FF0000"/>
                <w:sz w:val="20"/>
                <w:szCs w:val="20"/>
              </w:rPr>
            </w:pPr>
            <w:r w:rsidRPr="00D44EF9">
              <w:rPr>
                <w:rFonts w:ascii="Arial Narrow" w:hAnsi="Arial Narrow"/>
                <w:b/>
                <w:i/>
                <w:iCs/>
                <w:sz w:val="20"/>
                <w:szCs w:val="20"/>
              </w:rPr>
              <w:t xml:space="preserve">Restriction type: </w:t>
            </w:r>
            <w:r w:rsidRPr="00D44EF9">
              <w:rPr>
                <w:rFonts w:ascii="Arial Narrow" w:eastAsia="Calibri" w:hAnsi="Arial Narrow"/>
                <w:i/>
                <w:iCs/>
                <w:color w:val="FF0000"/>
                <w:sz w:val="20"/>
                <w:szCs w:val="20"/>
              </w:rPr>
              <w:br/>
            </w:r>
            <w:r w:rsidRPr="00D44EF9">
              <w:rPr>
                <w:rFonts w:ascii="Arial Narrow" w:eastAsia="Calibri" w:hAnsi="Arial Narrow"/>
                <w:i/>
                <w:iCs/>
                <w:sz w:val="20"/>
                <w:szCs w:val="20"/>
              </w:rPr>
              <w:fldChar w:fldCharType="begin">
                <w:ffData>
                  <w:name w:val=""/>
                  <w:enabled/>
                  <w:calcOnExit w:val="0"/>
                  <w:checkBox>
                    <w:sizeAuto/>
                    <w:default w:val="1"/>
                  </w:checkBox>
                </w:ffData>
              </w:fldChar>
            </w:r>
            <w:r w:rsidRPr="00D44EF9">
              <w:rPr>
                <w:rFonts w:ascii="Arial Narrow" w:eastAsia="Calibri" w:hAnsi="Arial Narrow"/>
                <w:i/>
                <w:iCs/>
                <w:sz w:val="20"/>
                <w:szCs w:val="20"/>
              </w:rPr>
              <w:instrText xml:space="preserve"> FORMCHECKBOX </w:instrText>
            </w:r>
            <w:r w:rsidRPr="00D44EF9">
              <w:rPr>
                <w:rFonts w:ascii="Arial Narrow" w:eastAsia="Calibri" w:hAnsi="Arial Narrow"/>
                <w:i/>
                <w:iCs/>
                <w:sz w:val="20"/>
                <w:szCs w:val="20"/>
              </w:rPr>
            </w:r>
            <w:r w:rsidRPr="00D44EF9">
              <w:rPr>
                <w:rFonts w:ascii="Arial Narrow" w:eastAsia="Calibri" w:hAnsi="Arial Narrow"/>
                <w:i/>
                <w:iCs/>
                <w:sz w:val="20"/>
                <w:szCs w:val="20"/>
              </w:rPr>
              <w:fldChar w:fldCharType="separate"/>
            </w:r>
            <w:r w:rsidRPr="00D44EF9">
              <w:rPr>
                <w:rFonts w:ascii="Arial Narrow" w:eastAsia="Calibri" w:hAnsi="Arial Narrow"/>
                <w:i/>
                <w:iCs/>
                <w:sz w:val="20"/>
                <w:szCs w:val="20"/>
              </w:rPr>
              <w:fldChar w:fldCharType="end"/>
            </w:r>
            <w:r w:rsidRPr="00D44EF9">
              <w:rPr>
                <w:rFonts w:ascii="Arial Narrow" w:eastAsia="Calibri" w:hAnsi="Arial Narrow"/>
                <w:i/>
                <w:iCs/>
                <w:sz w:val="20"/>
                <w:szCs w:val="20"/>
              </w:rPr>
              <w:t xml:space="preserve">Authority Required (FULL assessment) in writing only via post/HPOS upload) </w:t>
            </w:r>
          </w:p>
        </w:tc>
      </w:tr>
      <w:tr w:rsidR="002A187F" w:rsidRPr="001428E9" w14:paraId="0DC1CBD3" w14:textId="112303DA">
        <w:tblPrEx>
          <w:tblCellMar>
            <w:top w:w="15" w:type="dxa"/>
            <w:bottom w:w="15" w:type="dxa"/>
          </w:tblCellMar>
          <w:tblLook w:val="04A0" w:firstRow="1" w:lastRow="0" w:firstColumn="1" w:lastColumn="0" w:noHBand="0" w:noVBand="1"/>
        </w:tblPrEx>
        <w:trPr>
          <w:trHeight w:val="20"/>
        </w:trPr>
        <w:tc>
          <w:tcPr>
            <w:tcW w:w="1273" w:type="dxa"/>
            <w:gridSpan w:val="2"/>
            <w:vMerge/>
          </w:tcPr>
          <w:p w14:paraId="6FEEA208" w14:textId="57767FE9" w:rsidR="002A187F" w:rsidRPr="00D44EF9" w:rsidRDefault="002A187F">
            <w:pPr>
              <w:rPr>
                <w:rFonts w:ascii="Arial Narrow" w:hAnsi="Arial Narrow"/>
                <w:i/>
                <w:iCs/>
                <w:sz w:val="20"/>
                <w:szCs w:val="20"/>
              </w:rPr>
            </w:pPr>
          </w:p>
        </w:tc>
        <w:tc>
          <w:tcPr>
            <w:tcW w:w="7750" w:type="dxa"/>
            <w:gridSpan w:val="6"/>
            <w:tcBorders>
              <w:top w:val="single" w:sz="4" w:space="0" w:color="auto"/>
              <w:left w:val="single" w:sz="4" w:space="0" w:color="auto"/>
              <w:bottom w:val="single" w:sz="4" w:space="0" w:color="auto"/>
              <w:right w:val="single" w:sz="4" w:space="0" w:color="auto"/>
            </w:tcBorders>
            <w:vAlign w:val="center"/>
          </w:tcPr>
          <w:p w14:paraId="30CAF5A8" w14:textId="7AF6D65F" w:rsidR="002A187F" w:rsidRPr="00D44EF9" w:rsidRDefault="002A187F">
            <w:pPr>
              <w:keepLines/>
              <w:rPr>
                <w:rFonts w:ascii="Arial Narrow" w:eastAsia="Calibri" w:hAnsi="Arial Narrow"/>
                <w:i/>
                <w:iCs/>
                <w:sz w:val="20"/>
                <w:szCs w:val="20"/>
              </w:rPr>
            </w:pPr>
            <w:r w:rsidRPr="00D44EF9">
              <w:rPr>
                <w:rFonts w:ascii="Arial Narrow" w:hAnsi="Arial Narrow"/>
                <w:b/>
                <w:i/>
                <w:iCs/>
                <w:sz w:val="20"/>
                <w:szCs w:val="20"/>
              </w:rPr>
              <w:t xml:space="preserve">Authority type: </w:t>
            </w:r>
          </w:p>
          <w:p w14:paraId="753F0578" w14:textId="45560C4F" w:rsidR="002A187F" w:rsidRPr="00D44EF9" w:rsidRDefault="002A187F">
            <w:pPr>
              <w:keepLines/>
              <w:rPr>
                <w:rFonts w:ascii="Arial Narrow" w:hAnsi="Arial Narrow"/>
                <w:b/>
                <w:i/>
                <w:iCs/>
                <w:color w:val="FF0000"/>
                <w:sz w:val="20"/>
                <w:szCs w:val="20"/>
              </w:rPr>
            </w:pPr>
            <w:r w:rsidRPr="00D44EF9">
              <w:rPr>
                <w:rFonts w:ascii="Arial Narrow" w:eastAsia="Calibri" w:hAnsi="Arial Narrow"/>
                <w:i/>
                <w:iCs/>
                <w:sz w:val="20"/>
                <w:szCs w:val="20"/>
              </w:rPr>
              <w:fldChar w:fldCharType="begin">
                <w:ffData>
                  <w:name w:val=""/>
                  <w:enabled/>
                  <w:calcOnExit w:val="0"/>
                  <w:checkBox>
                    <w:sizeAuto/>
                    <w:default w:val="1"/>
                  </w:checkBox>
                </w:ffData>
              </w:fldChar>
            </w:r>
            <w:r w:rsidRPr="00D44EF9">
              <w:rPr>
                <w:rFonts w:ascii="Arial Narrow" w:eastAsia="Calibri" w:hAnsi="Arial Narrow"/>
                <w:i/>
                <w:iCs/>
                <w:sz w:val="20"/>
                <w:szCs w:val="20"/>
              </w:rPr>
              <w:instrText xml:space="preserve"> FORMCHECKBOX </w:instrText>
            </w:r>
            <w:r w:rsidRPr="00D44EF9">
              <w:rPr>
                <w:rFonts w:ascii="Arial Narrow" w:eastAsia="Calibri" w:hAnsi="Arial Narrow"/>
                <w:i/>
                <w:iCs/>
                <w:sz w:val="20"/>
                <w:szCs w:val="20"/>
              </w:rPr>
            </w:r>
            <w:r w:rsidRPr="00D44EF9">
              <w:rPr>
                <w:rFonts w:ascii="Arial Narrow" w:eastAsia="Calibri" w:hAnsi="Arial Narrow"/>
                <w:i/>
                <w:iCs/>
                <w:sz w:val="20"/>
                <w:szCs w:val="20"/>
              </w:rPr>
              <w:fldChar w:fldCharType="separate"/>
            </w:r>
            <w:r w:rsidRPr="00D44EF9">
              <w:rPr>
                <w:rFonts w:ascii="Arial Narrow" w:eastAsia="Calibri" w:hAnsi="Arial Narrow"/>
                <w:i/>
                <w:iCs/>
                <w:sz w:val="20"/>
                <w:szCs w:val="20"/>
              </w:rPr>
              <w:fldChar w:fldCharType="end"/>
            </w:r>
            <w:r w:rsidRPr="00D44EF9">
              <w:rPr>
                <w:rFonts w:ascii="Arial Narrow" w:eastAsia="Calibri" w:hAnsi="Arial Narrow"/>
                <w:i/>
                <w:iCs/>
                <w:sz w:val="20"/>
                <w:szCs w:val="20"/>
              </w:rPr>
              <w:t xml:space="preserve"> Complex Authority Required (CAR)</w:t>
            </w:r>
          </w:p>
        </w:tc>
      </w:tr>
      <w:tr w:rsidR="002A187F" w:rsidRPr="001428E9" w14:paraId="24E045DB" w14:textId="2C18CA73">
        <w:tblPrEx>
          <w:tblCellMar>
            <w:top w:w="15" w:type="dxa"/>
            <w:bottom w:w="15" w:type="dxa"/>
          </w:tblCellMar>
          <w:tblLook w:val="04A0" w:firstRow="1" w:lastRow="0" w:firstColumn="1" w:lastColumn="0" w:noHBand="0" w:noVBand="1"/>
        </w:tblPrEx>
        <w:trPr>
          <w:trHeight w:val="20"/>
        </w:trPr>
        <w:tc>
          <w:tcPr>
            <w:tcW w:w="489" w:type="dxa"/>
            <w:vMerge w:val="restart"/>
            <w:tcBorders>
              <w:left w:val="single" w:sz="4" w:space="0" w:color="auto"/>
              <w:right w:val="single" w:sz="4" w:space="0" w:color="auto"/>
            </w:tcBorders>
            <w:textDirection w:val="btLr"/>
            <w:vAlign w:val="center"/>
          </w:tcPr>
          <w:p w14:paraId="5EB5219C" w14:textId="69726648" w:rsidR="002A187F" w:rsidRPr="00D44EF9" w:rsidRDefault="002A187F">
            <w:pPr>
              <w:jc w:val="center"/>
              <w:rPr>
                <w:rFonts w:ascii="Arial Narrow" w:hAnsi="Arial Narrow"/>
                <w:i/>
                <w:iCs/>
                <w:sz w:val="20"/>
                <w:szCs w:val="20"/>
              </w:rPr>
            </w:pPr>
          </w:p>
        </w:tc>
        <w:tc>
          <w:tcPr>
            <w:tcW w:w="784" w:type="dxa"/>
            <w:vAlign w:val="center"/>
          </w:tcPr>
          <w:p w14:paraId="65D75435" w14:textId="64CABA63" w:rsidR="002A187F" w:rsidRPr="00D44EF9" w:rsidRDefault="002A187F">
            <w:pPr>
              <w:jc w:val="center"/>
              <w:rPr>
                <w:rFonts w:ascii="Arial Narrow" w:hAnsi="Arial Narrow"/>
                <w:i/>
                <w:iCs/>
                <w:color w:val="333333"/>
                <w:sz w:val="20"/>
                <w:szCs w:val="20"/>
              </w:rPr>
            </w:pPr>
          </w:p>
        </w:tc>
        <w:tc>
          <w:tcPr>
            <w:tcW w:w="7750" w:type="dxa"/>
            <w:gridSpan w:val="6"/>
            <w:vAlign w:val="center"/>
          </w:tcPr>
          <w:p w14:paraId="10C65CBC" w14:textId="6E9A2F63" w:rsidR="002A187F" w:rsidRPr="00D44EF9" w:rsidRDefault="002A187F">
            <w:pPr>
              <w:rPr>
                <w:rFonts w:ascii="Arial Narrow" w:hAnsi="Arial Narrow"/>
                <w:i/>
                <w:iCs/>
                <w:color w:val="333333"/>
                <w:sz w:val="20"/>
                <w:szCs w:val="20"/>
              </w:rPr>
            </w:pPr>
            <w:r w:rsidRPr="00D44EF9">
              <w:rPr>
                <w:rFonts w:ascii="Arial Narrow" w:hAnsi="Arial Narrow"/>
                <w:b/>
                <w:bCs/>
                <w:i/>
                <w:iCs/>
                <w:sz w:val="20"/>
                <w:szCs w:val="20"/>
              </w:rPr>
              <w:t xml:space="preserve">Administrative Advice: </w:t>
            </w:r>
            <w:r w:rsidRPr="00D44EF9">
              <w:rPr>
                <w:rFonts w:ascii="Arial Narrow" w:hAnsi="Arial Narrow"/>
                <w:bCs/>
                <w:i/>
                <w:iCs/>
                <w:sz w:val="20"/>
                <w:szCs w:val="20"/>
              </w:rPr>
              <w:t>No increase in the maximum quantity or number of units may be authorised.</w:t>
            </w:r>
          </w:p>
        </w:tc>
      </w:tr>
      <w:tr w:rsidR="002A187F" w:rsidRPr="001428E9" w14:paraId="5A0C5F32" w14:textId="66212CE7">
        <w:tblPrEx>
          <w:tblCellMar>
            <w:top w:w="15" w:type="dxa"/>
            <w:bottom w:w="15" w:type="dxa"/>
          </w:tblCellMar>
          <w:tblLook w:val="04A0" w:firstRow="1" w:lastRow="0" w:firstColumn="1" w:lastColumn="0" w:noHBand="0" w:noVBand="1"/>
        </w:tblPrEx>
        <w:trPr>
          <w:trHeight w:val="20"/>
        </w:trPr>
        <w:tc>
          <w:tcPr>
            <w:tcW w:w="489" w:type="dxa"/>
            <w:vMerge/>
            <w:tcBorders>
              <w:left w:val="single" w:sz="4" w:space="0" w:color="auto"/>
              <w:right w:val="single" w:sz="4" w:space="0" w:color="auto"/>
            </w:tcBorders>
          </w:tcPr>
          <w:p w14:paraId="4AE4A6D1" w14:textId="4E1B5D64" w:rsidR="002A187F" w:rsidRPr="00D44EF9" w:rsidRDefault="002A187F">
            <w:pPr>
              <w:rPr>
                <w:rFonts w:ascii="Arial Narrow" w:hAnsi="Arial Narrow"/>
                <w:i/>
                <w:iCs/>
                <w:sz w:val="20"/>
                <w:szCs w:val="20"/>
              </w:rPr>
            </w:pPr>
          </w:p>
        </w:tc>
        <w:tc>
          <w:tcPr>
            <w:tcW w:w="784" w:type="dxa"/>
            <w:tcBorders>
              <w:left w:val="single" w:sz="4" w:space="0" w:color="auto"/>
            </w:tcBorders>
            <w:vAlign w:val="center"/>
          </w:tcPr>
          <w:p w14:paraId="40E08BF9" w14:textId="505D46D3" w:rsidR="002A187F" w:rsidRPr="00D44EF9" w:rsidRDefault="002A187F">
            <w:pPr>
              <w:jc w:val="center"/>
              <w:rPr>
                <w:rFonts w:ascii="Arial Narrow" w:hAnsi="Arial Narrow"/>
                <w:i/>
                <w:iCs/>
                <w:color w:val="333333"/>
                <w:sz w:val="20"/>
                <w:szCs w:val="20"/>
              </w:rPr>
            </w:pPr>
          </w:p>
        </w:tc>
        <w:tc>
          <w:tcPr>
            <w:tcW w:w="7750" w:type="dxa"/>
            <w:gridSpan w:val="6"/>
            <w:vAlign w:val="center"/>
          </w:tcPr>
          <w:p w14:paraId="0166A674" w14:textId="48364C7D" w:rsidR="002A187F" w:rsidRPr="00D44EF9" w:rsidRDefault="002A187F">
            <w:pPr>
              <w:rPr>
                <w:rFonts w:ascii="Arial Narrow" w:hAnsi="Arial Narrow"/>
                <w:b/>
                <w:bCs/>
                <w:i/>
                <w:iCs/>
                <w:color w:val="333333"/>
                <w:sz w:val="20"/>
                <w:szCs w:val="20"/>
              </w:rPr>
            </w:pPr>
            <w:r w:rsidRPr="00D44EF9">
              <w:rPr>
                <w:rFonts w:ascii="Arial Narrow" w:hAnsi="Arial Narrow"/>
                <w:b/>
                <w:bCs/>
                <w:i/>
                <w:iCs/>
                <w:sz w:val="20"/>
                <w:szCs w:val="20"/>
              </w:rPr>
              <w:t xml:space="preserve">Administrative Advice: </w:t>
            </w:r>
            <w:r w:rsidRPr="00D44EF9">
              <w:rPr>
                <w:rFonts w:ascii="Arial Narrow" w:hAnsi="Arial Narrow"/>
                <w:bCs/>
                <w:i/>
                <w:iCs/>
                <w:sz w:val="20"/>
                <w:szCs w:val="20"/>
              </w:rPr>
              <w:t>No increase in the maximum number of repeats may be authorised.</w:t>
            </w:r>
          </w:p>
        </w:tc>
      </w:tr>
      <w:tr w:rsidR="002A187F" w:rsidRPr="001428E9" w14:paraId="1449DB32" w14:textId="574ECA1D">
        <w:tblPrEx>
          <w:tblCellMar>
            <w:top w:w="15" w:type="dxa"/>
            <w:bottom w:w="15" w:type="dxa"/>
          </w:tblCellMar>
          <w:tblLook w:val="04A0" w:firstRow="1" w:lastRow="0" w:firstColumn="1" w:lastColumn="0" w:noHBand="0" w:noVBand="1"/>
        </w:tblPrEx>
        <w:trPr>
          <w:trHeight w:val="20"/>
        </w:trPr>
        <w:tc>
          <w:tcPr>
            <w:tcW w:w="489" w:type="dxa"/>
            <w:vMerge/>
            <w:tcBorders>
              <w:left w:val="single" w:sz="4" w:space="0" w:color="auto"/>
              <w:right w:val="single" w:sz="4" w:space="0" w:color="auto"/>
            </w:tcBorders>
          </w:tcPr>
          <w:p w14:paraId="27ACDDB4" w14:textId="21C47D6D" w:rsidR="002A187F" w:rsidRPr="00D44EF9" w:rsidRDefault="002A187F">
            <w:pPr>
              <w:rPr>
                <w:rFonts w:ascii="Arial Narrow" w:hAnsi="Arial Narrow"/>
                <w:i/>
                <w:iCs/>
                <w:sz w:val="20"/>
                <w:szCs w:val="20"/>
              </w:rPr>
            </w:pPr>
          </w:p>
        </w:tc>
        <w:tc>
          <w:tcPr>
            <w:tcW w:w="784" w:type="dxa"/>
            <w:tcBorders>
              <w:left w:val="single" w:sz="4" w:space="0" w:color="auto"/>
            </w:tcBorders>
            <w:vAlign w:val="center"/>
          </w:tcPr>
          <w:p w14:paraId="2DC20DD8" w14:textId="2572E4D8" w:rsidR="002A187F" w:rsidRPr="00D44EF9" w:rsidRDefault="002A187F">
            <w:pPr>
              <w:jc w:val="center"/>
              <w:rPr>
                <w:rFonts w:ascii="Arial Narrow" w:hAnsi="Arial Narrow"/>
                <w:i/>
                <w:iCs/>
                <w:color w:val="333333"/>
                <w:sz w:val="20"/>
                <w:szCs w:val="20"/>
              </w:rPr>
            </w:pPr>
          </w:p>
        </w:tc>
        <w:tc>
          <w:tcPr>
            <w:tcW w:w="7750" w:type="dxa"/>
            <w:gridSpan w:val="6"/>
            <w:vAlign w:val="center"/>
          </w:tcPr>
          <w:p w14:paraId="0899EDF1" w14:textId="50A14E89" w:rsidR="002A187F" w:rsidRPr="00D44EF9" w:rsidRDefault="002A187F">
            <w:pPr>
              <w:rPr>
                <w:rFonts w:ascii="Arial Narrow" w:hAnsi="Arial Narrow"/>
                <w:b/>
                <w:bCs/>
                <w:i/>
                <w:iCs/>
                <w:color w:val="333333"/>
                <w:sz w:val="20"/>
                <w:szCs w:val="20"/>
              </w:rPr>
            </w:pPr>
            <w:r w:rsidRPr="00D44EF9">
              <w:rPr>
                <w:rFonts w:ascii="Arial Narrow" w:hAnsi="Arial Narrow"/>
                <w:b/>
                <w:bCs/>
                <w:i/>
                <w:iCs/>
                <w:sz w:val="20"/>
                <w:szCs w:val="20"/>
              </w:rPr>
              <w:t xml:space="preserve">Administrative Advice: </w:t>
            </w:r>
            <w:r w:rsidRPr="00D44EF9">
              <w:rPr>
                <w:rFonts w:ascii="Arial Narrow" w:hAnsi="Arial Narrow"/>
                <w:bCs/>
                <w:i/>
                <w:iCs/>
                <w:sz w:val="20"/>
                <w:szCs w:val="20"/>
              </w:rPr>
              <w:t>Special Pricing Arrangements apply.</w:t>
            </w:r>
          </w:p>
        </w:tc>
      </w:tr>
      <w:tr w:rsidR="002A187F" w:rsidRPr="001428E9" w14:paraId="39D17C39" w14:textId="42BF282E">
        <w:tblPrEx>
          <w:tblCellMar>
            <w:top w:w="15" w:type="dxa"/>
            <w:bottom w:w="15" w:type="dxa"/>
          </w:tblCellMar>
          <w:tblLook w:val="04A0" w:firstRow="1" w:lastRow="0" w:firstColumn="1" w:lastColumn="0" w:noHBand="0" w:noVBand="1"/>
        </w:tblPrEx>
        <w:trPr>
          <w:trHeight w:val="20"/>
        </w:trPr>
        <w:tc>
          <w:tcPr>
            <w:tcW w:w="489" w:type="dxa"/>
            <w:vMerge/>
            <w:tcBorders>
              <w:left w:val="single" w:sz="4" w:space="0" w:color="auto"/>
              <w:right w:val="single" w:sz="4" w:space="0" w:color="auto"/>
            </w:tcBorders>
          </w:tcPr>
          <w:p w14:paraId="706AB9D2" w14:textId="04ACAD67" w:rsidR="002A187F" w:rsidRPr="00D44EF9" w:rsidRDefault="002A187F">
            <w:pPr>
              <w:rPr>
                <w:rFonts w:ascii="Arial Narrow" w:hAnsi="Arial Narrow"/>
                <w:i/>
                <w:iCs/>
                <w:sz w:val="20"/>
                <w:szCs w:val="20"/>
              </w:rPr>
            </w:pPr>
          </w:p>
        </w:tc>
        <w:tc>
          <w:tcPr>
            <w:tcW w:w="784" w:type="dxa"/>
            <w:tcBorders>
              <w:left w:val="single" w:sz="4" w:space="0" w:color="auto"/>
            </w:tcBorders>
            <w:vAlign w:val="center"/>
          </w:tcPr>
          <w:p w14:paraId="49679105" w14:textId="43C2044A" w:rsidR="002A187F" w:rsidRPr="00D44EF9" w:rsidRDefault="002A187F">
            <w:pPr>
              <w:jc w:val="center"/>
              <w:rPr>
                <w:rFonts w:ascii="Arial Narrow" w:hAnsi="Arial Narrow"/>
                <w:bCs/>
                <w:i/>
                <w:iCs/>
                <w:sz w:val="20"/>
                <w:szCs w:val="20"/>
              </w:rPr>
            </w:pPr>
          </w:p>
        </w:tc>
        <w:tc>
          <w:tcPr>
            <w:tcW w:w="7750" w:type="dxa"/>
            <w:gridSpan w:val="6"/>
            <w:vAlign w:val="center"/>
          </w:tcPr>
          <w:p w14:paraId="25333DAA" w14:textId="02F66CF8" w:rsidR="002A187F" w:rsidRPr="00D44EF9" w:rsidRDefault="002A187F">
            <w:pPr>
              <w:rPr>
                <w:rFonts w:ascii="Arial Narrow" w:hAnsi="Arial Narrow"/>
                <w:b/>
                <w:bCs/>
                <w:i/>
                <w:iCs/>
                <w:sz w:val="20"/>
                <w:szCs w:val="20"/>
              </w:rPr>
            </w:pPr>
            <w:r w:rsidRPr="006D0315">
              <w:rPr>
                <w:rFonts w:ascii="Arial Narrow" w:hAnsi="Arial Narrow"/>
                <w:b/>
                <w:bCs/>
                <w:i/>
                <w:iCs/>
                <w:sz w:val="20"/>
                <w:szCs w:val="20"/>
              </w:rPr>
              <w:t>Administrative Advice:</w:t>
            </w:r>
            <w:r w:rsidRPr="000B4930">
              <w:rPr>
                <w:rFonts w:ascii="Open Sans" w:hAnsi="Open Sans" w:cs="Open Sans"/>
                <w:color w:val="333333"/>
                <w:sz w:val="22"/>
                <w:szCs w:val="22"/>
                <w:shd w:val="clear" w:color="auto" w:fill="FFFFFF"/>
              </w:rPr>
              <w:t xml:space="preserve"> </w:t>
            </w:r>
            <w:r w:rsidRPr="00FC734C">
              <w:rPr>
                <w:rFonts w:ascii="Arial Narrow" w:hAnsi="Arial Narrow"/>
                <w:i/>
                <w:iCs/>
                <w:sz w:val="20"/>
                <w:szCs w:val="20"/>
              </w:rPr>
              <w:t>The length of a break in therapy is measured from the date that the relevant PBS-subsidised medicine listed for this PBS indication is ceased during the most recent treatment cycle, until the date of the subsequent application for treatment under a new treatment cycle.</w:t>
            </w:r>
          </w:p>
        </w:tc>
      </w:tr>
      <w:tr w:rsidR="002A187F" w:rsidRPr="001428E9" w14:paraId="6E39A192" w14:textId="49CDCBE7" w:rsidTr="007A13F3">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34976BE7" w14:textId="052B7236" w:rsidR="002A187F" w:rsidRPr="00D44EF9" w:rsidRDefault="002A187F">
            <w:pPr>
              <w:keepLines/>
              <w:jc w:val="center"/>
              <w:rPr>
                <w:rFonts w:ascii="Arial Narrow" w:hAnsi="Arial Narrow"/>
                <w:i/>
                <w:iCs/>
                <w:color w:val="333333"/>
                <w:sz w:val="20"/>
                <w:szCs w:val="20"/>
              </w:rPr>
            </w:pPr>
          </w:p>
        </w:tc>
        <w:tc>
          <w:tcPr>
            <w:tcW w:w="7750" w:type="dxa"/>
            <w:gridSpan w:val="6"/>
            <w:vAlign w:val="center"/>
            <w:hideMark/>
          </w:tcPr>
          <w:p w14:paraId="3013448D" w14:textId="0CB2FE2D" w:rsidR="002A187F" w:rsidRPr="00D44EF9" w:rsidRDefault="002A187F" w:rsidP="007A13F3">
            <w:pPr>
              <w:keepLines/>
              <w:rPr>
                <w:rFonts w:ascii="Arial Narrow" w:hAnsi="Arial Narrow"/>
                <w:i/>
                <w:iCs/>
                <w:color w:val="333333"/>
                <w:sz w:val="20"/>
                <w:szCs w:val="20"/>
              </w:rPr>
            </w:pPr>
            <w:r w:rsidRPr="44072162">
              <w:rPr>
                <w:rFonts w:ascii="Arial Narrow" w:hAnsi="Arial Narrow"/>
                <w:b/>
                <w:bCs/>
                <w:i/>
                <w:iCs/>
                <w:color w:val="333333"/>
                <w:sz w:val="20"/>
                <w:szCs w:val="20"/>
              </w:rPr>
              <w:t>Indication:</w:t>
            </w:r>
            <w:r w:rsidRPr="44072162">
              <w:rPr>
                <w:rFonts w:ascii="Arial Narrow" w:hAnsi="Arial Narrow"/>
                <w:i/>
                <w:iCs/>
                <w:color w:val="333333"/>
                <w:sz w:val="20"/>
                <w:szCs w:val="20"/>
              </w:rPr>
              <w:t xml:space="preserve"> Chronic rhinosinusitis with nasal polyps (</w:t>
            </w:r>
            <w:proofErr w:type="spellStart"/>
            <w:r w:rsidRPr="44072162">
              <w:rPr>
                <w:rFonts w:ascii="Arial Narrow" w:hAnsi="Arial Narrow"/>
                <w:i/>
                <w:iCs/>
                <w:color w:val="333333"/>
                <w:sz w:val="20"/>
                <w:szCs w:val="20"/>
              </w:rPr>
              <w:t>CRSwNP</w:t>
            </w:r>
            <w:proofErr w:type="spellEnd"/>
            <w:r w:rsidRPr="44072162">
              <w:rPr>
                <w:rFonts w:ascii="Arial Narrow" w:hAnsi="Arial Narrow"/>
                <w:i/>
                <w:iCs/>
                <w:color w:val="333333"/>
                <w:sz w:val="20"/>
                <w:szCs w:val="20"/>
              </w:rPr>
              <w:t>)</w:t>
            </w:r>
          </w:p>
        </w:tc>
      </w:tr>
      <w:tr w:rsidR="002A187F" w:rsidRPr="001428E9" w14:paraId="469F8228" w14:textId="07E9E574" w:rsidTr="007A13F3">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33F861C4" w14:textId="771448A9" w:rsidR="002A187F" w:rsidRPr="00D44EF9" w:rsidRDefault="002A187F">
            <w:pPr>
              <w:jc w:val="center"/>
              <w:rPr>
                <w:rFonts w:ascii="Arial Narrow" w:hAnsi="Arial Narrow"/>
                <w:i/>
                <w:iCs/>
                <w:color w:val="333333"/>
                <w:sz w:val="20"/>
                <w:szCs w:val="20"/>
              </w:rPr>
            </w:pPr>
          </w:p>
        </w:tc>
        <w:tc>
          <w:tcPr>
            <w:tcW w:w="7750" w:type="dxa"/>
            <w:gridSpan w:val="6"/>
            <w:vAlign w:val="center"/>
            <w:hideMark/>
          </w:tcPr>
          <w:p w14:paraId="5ACB5C44" w14:textId="018C8C2A" w:rsidR="002A187F" w:rsidRPr="00D44EF9" w:rsidRDefault="002A187F" w:rsidP="007A13F3">
            <w:pPr>
              <w:rPr>
                <w:rFonts w:ascii="Arial Narrow" w:hAnsi="Arial Narrow"/>
                <w:i/>
                <w:iCs/>
                <w:sz w:val="20"/>
                <w:szCs w:val="20"/>
              </w:rPr>
            </w:pPr>
            <w:r w:rsidRPr="00D44EF9">
              <w:rPr>
                <w:rFonts w:ascii="Arial Narrow" w:hAnsi="Arial Narrow"/>
                <w:b/>
                <w:bCs/>
                <w:i/>
                <w:iCs/>
                <w:color w:val="333333"/>
                <w:sz w:val="20"/>
                <w:szCs w:val="20"/>
              </w:rPr>
              <w:t>Treatment Phase</w:t>
            </w:r>
            <w:r w:rsidRPr="00D44EF9">
              <w:rPr>
                <w:rFonts w:ascii="Arial Narrow" w:hAnsi="Arial Narrow"/>
                <w:b/>
                <w:bCs/>
                <w:i/>
                <w:iCs/>
                <w:sz w:val="20"/>
                <w:szCs w:val="20"/>
              </w:rPr>
              <w:t>:</w:t>
            </w:r>
            <w:r w:rsidRPr="00D44EF9">
              <w:rPr>
                <w:rFonts w:ascii="Arial Narrow" w:hAnsi="Arial Narrow"/>
                <w:i/>
                <w:iCs/>
                <w:sz w:val="20"/>
                <w:szCs w:val="20"/>
              </w:rPr>
              <w:t xml:space="preserve"> Transitioning from non-PBS to PBS-subsidised supply - Grandfather arrangements</w:t>
            </w:r>
          </w:p>
        </w:tc>
      </w:tr>
      <w:tr w:rsidR="002A187F" w:rsidRPr="001428E9" w14:paraId="03ACB3BF" w14:textId="00A6FBCD">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7051101F" w14:textId="6EC94799" w:rsidR="002A187F" w:rsidRPr="00D44EF9" w:rsidRDefault="002A187F">
            <w:pPr>
              <w:jc w:val="center"/>
              <w:rPr>
                <w:rFonts w:ascii="Arial Narrow" w:hAnsi="Arial Narrow"/>
                <w:i/>
                <w:iCs/>
                <w:color w:val="333333"/>
                <w:sz w:val="20"/>
                <w:szCs w:val="20"/>
              </w:rPr>
            </w:pPr>
          </w:p>
        </w:tc>
        <w:tc>
          <w:tcPr>
            <w:tcW w:w="7750" w:type="dxa"/>
            <w:gridSpan w:val="6"/>
            <w:vAlign w:val="center"/>
          </w:tcPr>
          <w:p w14:paraId="70E45C10" w14:textId="55D2522A" w:rsidR="002A187F" w:rsidRPr="00D44EF9" w:rsidRDefault="002A187F" w:rsidP="007A13F3">
            <w:pPr>
              <w:rPr>
                <w:rFonts w:ascii="Arial Narrow" w:hAnsi="Arial Narrow"/>
                <w:b/>
                <w:bCs/>
                <w:i/>
                <w:iCs/>
                <w:sz w:val="20"/>
                <w:szCs w:val="20"/>
              </w:rPr>
            </w:pPr>
            <w:r w:rsidRPr="00D44EF9">
              <w:rPr>
                <w:rFonts w:ascii="Arial Narrow" w:hAnsi="Arial Narrow"/>
                <w:b/>
                <w:bCs/>
                <w:i/>
                <w:iCs/>
                <w:sz w:val="20"/>
                <w:szCs w:val="20"/>
              </w:rPr>
              <w:t xml:space="preserve">Clinical criteria: </w:t>
            </w:r>
          </w:p>
        </w:tc>
      </w:tr>
      <w:tr w:rsidR="002A187F" w:rsidRPr="001428E9" w14:paraId="6FC44DA6" w14:textId="16375965">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13786973" w14:textId="3ACCAB73" w:rsidR="002A187F" w:rsidRPr="00D44EF9" w:rsidRDefault="002A187F">
            <w:pPr>
              <w:jc w:val="center"/>
              <w:rPr>
                <w:rFonts w:ascii="Arial Narrow" w:hAnsi="Arial Narrow"/>
                <w:i/>
                <w:iCs/>
                <w:color w:val="333333"/>
                <w:sz w:val="20"/>
                <w:szCs w:val="20"/>
              </w:rPr>
            </w:pPr>
          </w:p>
        </w:tc>
        <w:tc>
          <w:tcPr>
            <w:tcW w:w="7750" w:type="dxa"/>
            <w:gridSpan w:val="6"/>
            <w:vAlign w:val="center"/>
          </w:tcPr>
          <w:p w14:paraId="0D722A10" w14:textId="7DBB51A0" w:rsidR="002A187F" w:rsidRPr="00D44EF9" w:rsidRDefault="002A187F" w:rsidP="007A13F3">
            <w:pPr>
              <w:rPr>
                <w:rFonts w:ascii="Arial Narrow" w:hAnsi="Arial Narrow"/>
                <w:i/>
                <w:iCs/>
                <w:sz w:val="20"/>
                <w:szCs w:val="20"/>
              </w:rPr>
            </w:pPr>
            <w:r w:rsidRPr="00D44EF9">
              <w:rPr>
                <w:rFonts w:ascii="Arial Narrow" w:hAnsi="Arial Narrow"/>
                <w:i/>
                <w:iCs/>
                <w:sz w:val="20"/>
                <w:szCs w:val="20"/>
              </w:rPr>
              <w:t>Patient must have received non-PBS-subsidised treatment with this biological medicine for this PBS-indication prior to [listing date]</w:t>
            </w:r>
          </w:p>
        </w:tc>
      </w:tr>
      <w:tr w:rsidR="002A187F" w:rsidRPr="001428E9" w14:paraId="4A11CF24" w14:textId="35124BD9">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58E3CF17" w14:textId="646D2B51" w:rsidR="002A187F" w:rsidRPr="00D44EF9" w:rsidRDefault="002A187F">
            <w:pPr>
              <w:jc w:val="center"/>
              <w:rPr>
                <w:rFonts w:ascii="Arial Narrow" w:hAnsi="Arial Narrow"/>
                <w:i/>
                <w:iCs/>
                <w:color w:val="333333"/>
                <w:sz w:val="20"/>
                <w:szCs w:val="20"/>
              </w:rPr>
            </w:pPr>
          </w:p>
        </w:tc>
        <w:tc>
          <w:tcPr>
            <w:tcW w:w="7750" w:type="dxa"/>
            <w:gridSpan w:val="6"/>
            <w:vAlign w:val="center"/>
          </w:tcPr>
          <w:p w14:paraId="368C93E0" w14:textId="310C046B" w:rsidR="002A187F" w:rsidRPr="00D44EF9" w:rsidRDefault="002A187F" w:rsidP="007A13F3">
            <w:pPr>
              <w:rPr>
                <w:rFonts w:ascii="Arial Narrow" w:hAnsi="Arial Narrow"/>
                <w:b/>
                <w:bCs/>
                <w:i/>
                <w:iCs/>
                <w:color w:val="333333"/>
                <w:sz w:val="20"/>
                <w:szCs w:val="20"/>
              </w:rPr>
            </w:pPr>
            <w:r w:rsidRPr="00D44EF9">
              <w:rPr>
                <w:rFonts w:ascii="Arial Narrow" w:hAnsi="Arial Narrow"/>
                <w:b/>
                <w:bCs/>
                <w:i/>
                <w:iCs/>
                <w:color w:val="333333"/>
                <w:sz w:val="20"/>
                <w:szCs w:val="20"/>
              </w:rPr>
              <w:t>AND</w:t>
            </w:r>
          </w:p>
        </w:tc>
      </w:tr>
      <w:tr w:rsidR="002A187F" w:rsidRPr="001428E9" w14:paraId="04DD765D" w14:textId="1ACBFE11">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28447EF5" w14:textId="58DA1FC9" w:rsidR="002A187F" w:rsidRPr="00D44EF9" w:rsidRDefault="002A187F">
            <w:pPr>
              <w:jc w:val="center"/>
              <w:rPr>
                <w:rFonts w:ascii="Arial Narrow" w:hAnsi="Arial Narrow"/>
                <w:i/>
                <w:iCs/>
                <w:color w:val="333333"/>
                <w:sz w:val="20"/>
                <w:szCs w:val="20"/>
              </w:rPr>
            </w:pPr>
          </w:p>
        </w:tc>
        <w:tc>
          <w:tcPr>
            <w:tcW w:w="7750" w:type="dxa"/>
            <w:gridSpan w:val="6"/>
            <w:vAlign w:val="center"/>
            <w:hideMark/>
          </w:tcPr>
          <w:p w14:paraId="66C73F8A" w14:textId="55D656C7" w:rsidR="002A187F" w:rsidRPr="00D44EF9" w:rsidRDefault="002A187F" w:rsidP="007A13F3">
            <w:pPr>
              <w:rPr>
                <w:rFonts w:ascii="Arial Narrow" w:hAnsi="Arial Narrow"/>
                <w:i/>
                <w:iCs/>
                <w:sz w:val="20"/>
                <w:szCs w:val="20"/>
              </w:rPr>
            </w:pPr>
            <w:r w:rsidRPr="00D44EF9">
              <w:rPr>
                <w:rFonts w:ascii="Arial Narrow" w:hAnsi="Arial Narrow"/>
                <w:b/>
                <w:bCs/>
                <w:i/>
                <w:iCs/>
                <w:color w:val="333333"/>
                <w:sz w:val="20"/>
                <w:szCs w:val="20"/>
              </w:rPr>
              <w:t xml:space="preserve">Clinical criteria: </w:t>
            </w:r>
          </w:p>
        </w:tc>
      </w:tr>
      <w:tr w:rsidR="002A187F" w:rsidRPr="001428E9" w14:paraId="369D7949" w14:textId="17322EA7">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3F129079" w14:textId="43024706" w:rsidR="002A187F" w:rsidRPr="00D44EF9" w:rsidRDefault="002A187F">
            <w:pPr>
              <w:jc w:val="center"/>
              <w:rPr>
                <w:rFonts w:ascii="Arial Narrow" w:hAnsi="Arial Narrow"/>
                <w:i/>
                <w:iCs/>
                <w:color w:val="333333"/>
                <w:sz w:val="20"/>
                <w:szCs w:val="20"/>
              </w:rPr>
            </w:pPr>
          </w:p>
        </w:tc>
        <w:tc>
          <w:tcPr>
            <w:tcW w:w="7750" w:type="dxa"/>
            <w:gridSpan w:val="6"/>
            <w:vAlign w:val="center"/>
            <w:hideMark/>
          </w:tcPr>
          <w:p w14:paraId="463D3EC2" w14:textId="6B723398" w:rsidR="002A187F" w:rsidRPr="00D44EF9" w:rsidRDefault="002A187F" w:rsidP="007A13F3">
            <w:pPr>
              <w:pStyle w:val="PBACTabletext"/>
              <w:spacing w:after="0"/>
              <w:rPr>
                <w:i/>
                <w:iCs/>
              </w:rPr>
            </w:pPr>
            <w:r w:rsidRPr="44072162">
              <w:rPr>
                <w:i/>
                <w:iCs/>
              </w:rPr>
              <w:t xml:space="preserve">Patient must have a diagnosis of </w:t>
            </w:r>
            <w:proofErr w:type="spellStart"/>
            <w:r w:rsidRPr="44072162">
              <w:rPr>
                <w:i/>
                <w:iCs/>
              </w:rPr>
              <w:t>CRSwNP</w:t>
            </w:r>
            <w:proofErr w:type="spellEnd"/>
            <w:r w:rsidRPr="44072162">
              <w:rPr>
                <w:i/>
                <w:iCs/>
              </w:rPr>
              <w:t xml:space="preserve"> confirmed by at least one of: (</w:t>
            </w:r>
            <w:proofErr w:type="spellStart"/>
            <w:r w:rsidRPr="44072162">
              <w:rPr>
                <w:i/>
                <w:iCs/>
              </w:rPr>
              <w:t>i</w:t>
            </w:r>
            <w:proofErr w:type="spellEnd"/>
            <w:r w:rsidRPr="44072162">
              <w:rPr>
                <w:i/>
                <w:iCs/>
              </w:rPr>
              <w:t>) nasal endoscopy, (ii) computed tomography (CT) scan, prior to initiating non-PBS-subsidised treatment with this drug for this condition.</w:t>
            </w:r>
          </w:p>
        </w:tc>
      </w:tr>
      <w:tr w:rsidR="002A187F" w:rsidRPr="001428E9" w14:paraId="200BE20B" w14:textId="7A61245B">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5242B312" w14:textId="7B348DD0" w:rsidR="002A187F" w:rsidRPr="00D44EF9" w:rsidRDefault="002A187F">
            <w:pPr>
              <w:jc w:val="center"/>
              <w:rPr>
                <w:rFonts w:ascii="Arial Narrow" w:hAnsi="Arial Narrow"/>
                <w:i/>
                <w:iCs/>
                <w:color w:val="333333"/>
                <w:sz w:val="20"/>
                <w:szCs w:val="20"/>
              </w:rPr>
            </w:pPr>
          </w:p>
        </w:tc>
        <w:tc>
          <w:tcPr>
            <w:tcW w:w="7750" w:type="dxa"/>
            <w:gridSpan w:val="6"/>
            <w:vAlign w:val="center"/>
          </w:tcPr>
          <w:p w14:paraId="63DC934D" w14:textId="4252B7C7" w:rsidR="002A187F" w:rsidRPr="00D44EF9" w:rsidRDefault="002A187F" w:rsidP="007A13F3">
            <w:pPr>
              <w:pStyle w:val="PBACTabletext"/>
              <w:spacing w:after="0"/>
              <w:rPr>
                <w:b/>
                <w:bCs/>
                <w:i/>
                <w:iCs/>
              </w:rPr>
            </w:pPr>
            <w:r w:rsidRPr="00D44EF9">
              <w:rPr>
                <w:b/>
                <w:bCs/>
                <w:i/>
                <w:iCs/>
              </w:rPr>
              <w:t>OR</w:t>
            </w:r>
          </w:p>
        </w:tc>
      </w:tr>
      <w:tr w:rsidR="002A187F" w:rsidRPr="001428E9" w14:paraId="14B3D087" w14:textId="37F1360A">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02EB7726" w14:textId="496B8553" w:rsidR="002A187F" w:rsidRPr="00D44EF9" w:rsidRDefault="002A187F">
            <w:pPr>
              <w:jc w:val="center"/>
              <w:rPr>
                <w:rFonts w:ascii="Arial Narrow" w:hAnsi="Arial Narrow"/>
                <w:i/>
                <w:iCs/>
                <w:color w:val="333333"/>
                <w:sz w:val="20"/>
                <w:szCs w:val="20"/>
              </w:rPr>
            </w:pPr>
          </w:p>
        </w:tc>
        <w:tc>
          <w:tcPr>
            <w:tcW w:w="7750" w:type="dxa"/>
            <w:gridSpan w:val="6"/>
            <w:vAlign w:val="center"/>
          </w:tcPr>
          <w:p w14:paraId="1E46944B" w14:textId="3EAE1891" w:rsidR="002A187F" w:rsidRPr="00D44EF9" w:rsidRDefault="002A187F" w:rsidP="007A13F3">
            <w:pPr>
              <w:pStyle w:val="PBACTabletext"/>
              <w:spacing w:after="0"/>
              <w:rPr>
                <w:i/>
                <w:iCs/>
              </w:rPr>
            </w:pPr>
            <w:r w:rsidRPr="44072162">
              <w:rPr>
                <w:i/>
                <w:iCs/>
              </w:rPr>
              <w:t xml:space="preserve">Patient must have had a diagnosis of </w:t>
            </w:r>
            <w:proofErr w:type="spellStart"/>
            <w:r w:rsidRPr="44072162">
              <w:rPr>
                <w:i/>
                <w:iCs/>
              </w:rPr>
              <w:t>CRSwNP</w:t>
            </w:r>
            <w:proofErr w:type="spellEnd"/>
            <w:r w:rsidRPr="44072162">
              <w:rPr>
                <w:i/>
                <w:iCs/>
              </w:rPr>
              <w:t xml:space="preserve"> from at least two physicians of the </w:t>
            </w:r>
            <w:proofErr w:type="gramStart"/>
            <w:r w:rsidRPr="44072162">
              <w:rPr>
                <w:i/>
                <w:iCs/>
              </w:rPr>
              <w:t>above mentioned</w:t>
            </w:r>
            <w:proofErr w:type="gramEnd"/>
            <w:r w:rsidRPr="44072162">
              <w:rPr>
                <w:i/>
                <w:iCs/>
              </w:rPr>
              <w:t xml:space="preserve"> prescriber types, prior to initiating non-PBS-subsidised treatment with this drug for this condition.</w:t>
            </w:r>
          </w:p>
        </w:tc>
      </w:tr>
      <w:tr w:rsidR="002A187F" w:rsidRPr="001428E9" w14:paraId="496482E0" w14:textId="50207FC4">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515375E7" w14:textId="3BB2DC6C" w:rsidR="002A187F" w:rsidRPr="00D44EF9" w:rsidRDefault="002A187F">
            <w:pPr>
              <w:jc w:val="center"/>
              <w:rPr>
                <w:rFonts w:ascii="Arial Narrow" w:hAnsi="Arial Narrow"/>
                <w:i/>
                <w:iCs/>
                <w:color w:val="333333"/>
                <w:sz w:val="20"/>
                <w:szCs w:val="20"/>
              </w:rPr>
            </w:pPr>
          </w:p>
        </w:tc>
        <w:tc>
          <w:tcPr>
            <w:tcW w:w="7750" w:type="dxa"/>
            <w:gridSpan w:val="6"/>
            <w:vAlign w:val="center"/>
          </w:tcPr>
          <w:p w14:paraId="09DEF4DD" w14:textId="5508DD59" w:rsidR="002A187F" w:rsidRPr="00D44EF9" w:rsidRDefault="002A187F" w:rsidP="009D4EA8">
            <w:pPr>
              <w:pStyle w:val="PBACTabletext"/>
              <w:spacing w:after="0"/>
              <w:rPr>
                <w:i/>
                <w:iCs/>
              </w:rPr>
            </w:pPr>
            <w:r w:rsidRPr="00D44EF9">
              <w:rPr>
                <w:rFonts w:eastAsia="Times New Roman"/>
                <w:b/>
                <w:bCs/>
                <w:i/>
                <w:iCs/>
                <w:color w:val="333333"/>
                <w:lang w:eastAsia="en-AU"/>
              </w:rPr>
              <w:t>AND</w:t>
            </w:r>
          </w:p>
        </w:tc>
      </w:tr>
      <w:tr w:rsidR="002A187F" w:rsidRPr="001428E9" w14:paraId="3607B3E5" w14:textId="4F777281">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2FFD94E2" w14:textId="3CE69A51" w:rsidR="002A187F" w:rsidRPr="00D44EF9" w:rsidRDefault="002A187F">
            <w:pPr>
              <w:jc w:val="center"/>
              <w:rPr>
                <w:rFonts w:ascii="Arial Narrow" w:hAnsi="Arial Narrow"/>
                <w:i/>
                <w:iCs/>
                <w:color w:val="333333"/>
                <w:sz w:val="20"/>
                <w:szCs w:val="20"/>
              </w:rPr>
            </w:pPr>
          </w:p>
        </w:tc>
        <w:tc>
          <w:tcPr>
            <w:tcW w:w="7750" w:type="dxa"/>
            <w:gridSpan w:val="6"/>
            <w:vAlign w:val="center"/>
          </w:tcPr>
          <w:p w14:paraId="2E455CD9" w14:textId="3E61F817" w:rsidR="002A187F" w:rsidRPr="00D44EF9" w:rsidRDefault="002A187F" w:rsidP="009D4EA8">
            <w:pPr>
              <w:pStyle w:val="PBACTabletext"/>
              <w:spacing w:after="0"/>
              <w:rPr>
                <w:i/>
                <w:iCs/>
              </w:rPr>
            </w:pPr>
            <w:r w:rsidRPr="00D44EF9">
              <w:rPr>
                <w:rFonts w:eastAsia="Times New Roman"/>
                <w:b/>
                <w:bCs/>
                <w:i/>
                <w:iCs/>
                <w:color w:val="333333"/>
                <w:lang w:eastAsia="en-AU"/>
              </w:rPr>
              <w:t>Clinical criteria:</w:t>
            </w:r>
          </w:p>
        </w:tc>
      </w:tr>
      <w:tr w:rsidR="002A187F" w:rsidRPr="001428E9" w14:paraId="2BCF5352" w14:textId="6CC05A6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608D2178" w14:textId="75BAF51B" w:rsidR="002A187F" w:rsidRPr="00D44EF9" w:rsidRDefault="002A187F">
            <w:pPr>
              <w:jc w:val="center"/>
              <w:rPr>
                <w:rFonts w:ascii="Arial Narrow" w:hAnsi="Arial Narrow"/>
                <w:i/>
                <w:iCs/>
                <w:color w:val="333333"/>
                <w:sz w:val="20"/>
                <w:szCs w:val="20"/>
              </w:rPr>
            </w:pPr>
          </w:p>
        </w:tc>
        <w:tc>
          <w:tcPr>
            <w:tcW w:w="7750" w:type="dxa"/>
            <w:gridSpan w:val="6"/>
            <w:vAlign w:val="center"/>
          </w:tcPr>
          <w:p w14:paraId="2149EB29" w14:textId="4B5DE8FF" w:rsidR="002A187F" w:rsidRPr="00D44EF9" w:rsidRDefault="002A187F" w:rsidP="009D4EA8">
            <w:pPr>
              <w:pStyle w:val="PBACTabletext"/>
              <w:spacing w:after="0"/>
              <w:rPr>
                <w:i/>
                <w:iCs/>
              </w:rPr>
            </w:pPr>
            <w:r w:rsidRPr="44072162">
              <w:rPr>
                <w:i/>
                <w:iCs/>
              </w:rPr>
              <w:t>Patient must have undergone surgery for the removal of nasal polyps prior to initiating non-PBS-subsidised treatment with this drug for this condition.</w:t>
            </w:r>
          </w:p>
        </w:tc>
      </w:tr>
      <w:tr w:rsidR="002A187F" w:rsidRPr="001428E9" w14:paraId="79F96416" w14:textId="358B7FE5">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4BBC38F2" w14:textId="2A59CEA2" w:rsidR="002A187F" w:rsidRPr="00D44EF9" w:rsidRDefault="002A187F">
            <w:pPr>
              <w:jc w:val="center"/>
              <w:rPr>
                <w:rFonts w:ascii="Arial Narrow" w:hAnsi="Arial Narrow"/>
                <w:i/>
                <w:iCs/>
                <w:color w:val="333333"/>
                <w:sz w:val="20"/>
                <w:szCs w:val="20"/>
              </w:rPr>
            </w:pPr>
          </w:p>
        </w:tc>
        <w:tc>
          <w:tcPr>
            <w:tcW w:w="7750" w:type="dxa"/>
            <w:gridSpan w:val="6"/>
            <w:vAlign w:val="center"/>
          </w:tcPr>
          <w:p w14:paraId="0EE172AF" w14:textId="355C6B41" w:rsidR="002A187F" w:rsidRPr="00D44EF9" w:rsidRDefault="002A187F" w:rsidP="009D4EA8">
            <w:pPr>
              <w:pStyle w:val="PBACTabletext"/>
              <w:spacing w:after="0"/>
              <w:rPr>
                <w:i/>
                <w:iCs/>
              </w:rPr>
            </w:pPr>
            <w:r w:rsidRPr="00D44EF9">
              <w:rPr>
                <w:i/>
                <w:iCs/>
              </w:rPr>
              <w:t>OR</w:t>
            </w:r>
          </w:p>
        </w:tc>
      </w:tr>
      <w:tr w:rsidR="002A187F" w:rsidRPr="001428E9" w14:paraId="1DA39A36" w14:textId="452A6D09">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6F8188E4" w14:textId="205A0B4A" w:rsidR="002A187F" w:rsidRPr="00D44EF9" w:rsidRDefault="002A187F">
            <w:pPr>
              <w:jc w:val="center"/>
              <w:rPr>
                <w:rFonts w:ascii="Arial Narrow" w:hAnsi="Arial Narrow"/>
                <w:i/>
                <w:iCs/>
                <w:color w:val="333333"/>
                <w:sz w:val="20"/>
                <w:szCs w:val="20"/>
              </w:rPr>
            </w:pPr>
          </w:p>
        </w:tc>
        <w:tc>
          <w:tcPr>
            <w:tcW w:w="7750" w:type="dxa"/>
            <w:gridSpan w:val="6"/>
            <w:vAlign w:val="center"/>
          </w:tcPr>
          <w:p w14:paraId="576D780E" w14:textId="73A2BC9B" w:rsidR="002A187F" w:rsidRPr="00D44EF9" w:rsidRDefault="002A187F" w:rsidP="009D4EA8">
            <w:pPr>
              <w:pStyle w:val="PBACTabletext"/>
              <w:spacing w:after="0"/>
              <w:rPr>
                <w:i/>
                <w:iCs/>
              </w:rPr>
            </w:pPr>
            <w:r w:rsidRPr="44072162">
              <w:rPr>
                <w:i/>
                <w:iCs/>
              </w:rPr>
              <w:t xml:space="preserve">Patient must have the written advice from at least two physicians of the </w:t>
            </w:r>
            <w:proofErr w:type="gramStart"/>
            <w:r w:rsidRPr="44072162">
              <w:rPr>
                <w:i/>
                <w:iCs/>
              </w:rPr>
              <w:t>above mentioned</w:t>
            </w:r>
            <w:proofErr w:type="gramEnd"/>
            <w:r w:rsidRPr="44072162">
              <w:rPr>
                <w:i/>
                <w:iCs/>
              </w:rPr>
              <w:t xml:space="preserve"> prescriber types demonstrating inappropriateness for surgery, prior to initiating non-PBS-subsidised treatment with this drug for this condition.</w:t>
            </w:r>
          </w:p>
        </w:tc>
      </w:tr>
      <w:tr w:rsidR="002A187F" w:rsidRPr="001428E9" w14:paraId="6D0F0397" w14:textId="43B91B77">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285FDD64" w14:textId="07A5CD50" w:rsidR="002A187F" w:rsidRPr="00D44EF9" w:rsidRDefault="002A187F">
            <w:pPr>
              <w:jc w:val="center"/>
              <w:rPr>
                <w:rFonts w:ascii="Arial Narrow" w:hAnsi="Arial Narrow"/>
                <w:i/>
                <w:iCs/>
                <w:color w:val="333333"/>
                <w:sz w:val="20"/>
                <w:szCs w:val="20"/>
              </w:rPr>
            </w:pPr>
          </w:p>
        </w:tc>
        <w:tc>
          <w:tcPr>
            <w:tcW w:w="7750" w:type="dxa"/>
            <w:gridSpan w:val="6"/>
            <w:vAlign w:val="center"/>
          </w:tcPr>
          <w:p w14:paraId="00BCFBA8" w14:textId="77FD191B" w:rsidR="002A187F" w:rsidRPr="00D44EF9" w:rsidRDefault="002A187F" w:rsidP="009D4EA8">
            <w:pPr>
              <w:pStyle w:val="PBACTabletext"/>
              <w:spacing w:after="0"/>
              <w:rPr>
                <w:i/>
                <w:iCs/>
              </w:rPr>
            </w:pPr>
            <w:r w:rsidRPr="00D44EF9">
              <w:rPr>
                <w:rFonts w:eastAsia="Times New Roman"/>
                <w:b/>
                <w:bCs/>
                <w:i/>
                <w:iCs/>
                <w:color w:val="333333"/>
                <w:lang w:eastAsia="en-AU"/>
              </w:rPr>
              <w:t>AND</w:t>
            </w:r>
          </w:p>
        </w:tc>
      </w:tr>
      <w:tr w:rsidR="002A187F" w:rsidRPr="001428E9" w14:paraId="1113D4EF" w14:textId="501C18F2">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7409B476" w14:textId="396FE0BD" w:rsidR="002A187F" w:rsidRPr="00D44EF9" w:rsidRDefault="002A187F">
            <w:pPr>
              <w:jc w:val="center"/>
              <w:rPr>
                <w:rFonts w:ascii="Arial Narrow" w:hAnsi="Arial Narrow"/>
                <w:i/>
                <w:iCs/>
                <w:color w:val="333333"/>
                <w:sz w:val="20"/>
                <w:szCs w:val="20"/>
              </w:rPr>
            </w:pPr>
          </w:p>
        </w:tc>
        <w:tc>
          <w:tcPr>
            <w:tcW w:w="7750" w:type="dxa"/>
            <w:gridSpan w:val="6"/>
            <w:vAlign w:val="center"/>
          </w:tcPr>
          <w:p w14:paraId="335CFAF2" w14:textId="696E861E" w:rsidR="002A187F" w:rsidRPr="00D44EF9" w:rsidRDefault="002A187F" w:rsidP="009D4EA8">
            <w:pPr>
              <w:pStyle w:val="PBACTabletext"/>
              <w:spacing w:after="0"/>
              <w:rPr>
                <w:i/>
                <w:iCs/>
              </w:rPr>
            </w:pPr>
            <w:r w:rsidRPr="00D44EF9">
              <w:rPr>
                <w:rFonts w:eastAsia="Times New Roman"/>
                <w:b/>
                <w:bCs/>
                <w:i/>
                <w:iCs/>
                <w:color w:val="333333"/>
                <w:lang w:eastAsia="en-AU"/>
              </w:rPr>
              <w:t>Clinical criteria:</w:t>
            </w:r>
          </w:p>
        </w:tc>
      </w:tr>
      <w:tr w:rsidR="002A187F" w:rsidRPr="001428E9" w14:paraId="4A3A89C7" w14:textId="66C8803E">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40DC7F16" w14:textId="140D77BF" w:rsidR="002A187F" w:rsidRPr="00D44EF9" w:rsidRDefault="002A187F">
            <w:pPr>
              <w:jc w:val="center"/>
              <w:rPr>
                <w:rFonts w:ascii="Arial Narrow" w:hAnsi="Arial Narrow"/>
                <w:i/>
                <w:iCs/>
                <w:color w:val="333333"/>
                <w:sz w:val="20"/>
                <w:szCs w:val="20"/>
              </w:rPr>
            </w:pPr>
          </w:p>
        </w:tc>
        <w:tc>
          <w:tcPr>
            <w:tcW w:w="7750" w:type="dxa"/>
            <w:gridSpan w:val="6"/>
            <w:vAlign w:val="center"/>
          </w:tcPr>
          <w:p w14:paraId="6604338D" w14:textId="06B848AB" w:rsidR="002A187F" w:rsidRPr="00D44EF9" w:rsidRDefault="002A187F" w:rsidP="009D4EA8">
            <w:pPr>
              <w:pStyle w:val="PBACTabletext"/>
              <w:spacing w:after="0"/>
              <w:rPr>
                <w:i/>
                <w:iCs/>
              </w:rPr>
            </w:pPr>
            <w:r w:rsidRPr="44072162">
              <w:rPr>
                <w:i/>
                <w:iCs/>
              </w:rPr>
              <w:t>Patient must have had, prior to initiating non-PBS-subsidised treatment with this drug for this condition, despite optimised nasal polyp therapy, at least two of: (</w:t>
            </w:r>
            <w:proofErr w:type="spellStart"/>
            <w:r w:rsidRPr="44072162">
              <w:rPr>
                <w:i/>
                <w:iCs/>
              </w:rPr>
              <w:t>i</w:t>
            </w:r>
            <w:proofErr w:type="spellEnd"/>
            <w:r w:rsidRPr="44072162">
              <w:rPr>
                <w:i/>
                <w:iCs/>
              </w:rPr>
              <w:t>) bilateral endoscopic nasal polyp score of at least 5 (out of a maximum score of 8, with a minimum score of 2 in each nasal cavity), (ii) nasal obstruction visual analogue scale (VAS) score greater than 5 (out of a maximum score of 10), (iii) overall symptom VAS score greater than 7 (out of a maximum score of 10),</w:t>
            </w:r>
          </w:p>
        </w:tc>
      </w:tr>
      <w:tr w:rsidR="002A187F" w:rsidRPr="001428E9" w14:paraId="45D28ACC" w14:textId="664FEEA2">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42C4842A" w14:textId="34ECA63D" w:rsidR="002A187F" w:rsidRPr="00D44EF9" w:rsidRDefault="002A187F">
            <w:pPr>
              <w:jc w:val="center"/>
              <w:rPr>
                <w:rFonts w:ascii="Arial Narrow" w:hAnsi="Arial Narrow"/>
                <w:i/>
                <w:iCs/>
                <w:color w:val="333333"/>
                <w:sz w:val="20"/>
                <w:szCs w:val="20"/>
              </w:rPr>
            </w:pPr>
          </w:p>
        </w:tc>
        <w:tc>
          <w:tcPr>
            <w:tcW w:w="7750" w:type="dxa"/>
            <w:gridSpan w:val="6"/>
            <w:vAlign w:val="center"/>
          </w:tcPr>
          <w:p w14:paraId="080F162E" w14:textId="503D9A29" w:rsidR="002A187F" w:rsidRPr="00D44EF9" w:rsidRDefault="002A187F" w:rsidP="009D4EA8">
            <w:pPr>
              <w:pStyle w:val="PBACTabletext"/>
              <w:spacing w:after="0"/>
              <w:rPr>
                <w:i/>
                <w:iCs/>
              </w:rPr>
            </w:pPr>
            <w:r w:rsidRPr="00D44EF9">
              <w:rPr>
                <w:rFonts w:eastAsia="Times New Roman"/>
                <w:b/>
                <w:bCs/>
                <w:i/>
                <w:iCs/>
                <w:color w:val="333333"/>
                <w:lang w:eastAsia="en-AU"/>
              </w:rPr>
              <w:t>AND</w:t>
            </w:r>
          </w:p>
        </w:tc>
      </w:tr>
      <w:tr w:rsidR="002A187F" w:rsidRPr="001428E9" w14:paraId="4CE00BB7" w14:textId="3AC091A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392394C5" w14:textId="63B79FFE" w:rsidR="002A187F" w:rsidRPr="00D44EF9" w:rsidRDefault="002A187F">
            <w:pPr>
              <w:jc w:val="center"/>
              <w:rPr>
                <w:rFonts w:ascii="Arial Narrow" w:hAnsi="Arial Narrow"/>
                <w:i/>
                <w:iCs/>
                <w:color w:val="333333"/>
                <w:sz w:val="20"/>
                <w:szCs w:val="20"/>
              </w:rPr>
            </w:pPr>
          </w:p>
        </w:tc>
        <w:tc>
          <w:tcPr>
            <w:tcW w:w="7750" w:type="dxa"/>
            <w:gridSpan w:val="6"/>
            <w:vAlign w:val="center"/>
          </w:tcPr>
          <w:p w14:paraId="250F092F" w14:textId="2D5BEDDA" w:rsidR="002A187F" w:rsidRPr="00D44EF9" w:rsidRDefault="002A187F" w:rsidP="009D4EA8">
            <w:pPr>
              <w:pStyle w:val="PBACTabletext"/>
              <w:spacing w:after="0"/>
              <w:rPr>
                <w:i/>
                <w:iCs/>
              </w:rPr>
            </w:pPr>
            <w:r w:rsidRPr="00D44EF9">
              <w:rPr>
                <w:rFonts w:eastAsia="Times New Roman"/>
                <w:b/>
                <w:bCs/>
                <w:i/>
                <w:iCs/>
                <w:color w:val="333333"/>
                <w:lang w:eastAsia="en-AU"/>
              </w:rPr>
              <w:t>Clinical criteria:</w:t>
            </w:r>
          </w:p>
        </w:tc>
      </w:tr>
      <w:tr w:rsidR="002A187F" w:rsidRPr="001428E9" w14:paraId="4A089B75" w14:textId="5B56EDB6">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4A2E5BCC" w14:textId="1681C9AA" w:rsidR="002A187F" w:rsidRPr="00D44EF9" w:rsidRDefault="002A187F">
            <w:pPr>
              <w:jc w:val="center"/>
              <w:rPr>
                <w:rFonts w:ascii="Arial Narrow" w:hAnsi="Arial Narrow"/>
                <w:i/>
                <w:iCs/>
                <w:color w:val="333333"/>
                <w:sz w:val="20"/>
                <w:szCs w:val="20"/>
              </w:rPr>
            </w:pPr>
          </w:p>
        </w:tc>
        <w:tc>
          <w:tcPr>
            <w:tcW w:w="7750" w:type="dxa"/>
            <w:gridSpan w:val="6"/>
            <w:vAlign w:val="center"/>
          </w:tcPr>
          <w:p w14:paraId="6F8485A9" w14:textId="3EF1BFC6" w:rsidR="002A187F" w:rsidRPr="000A633E" w:rsidRDefault="002A187F" w:rsidP="009D4EA8">
            <w:pPr>
              <w:pStyle w:val="PBACTabletext"/>
              <w:spacing w:after="0"/>
              <w:rPr>
                <w:i/>
                <w:iCs/>
              </w:rPr>
            </w:pPr>
            <w:r w:rsidRPr="000A633E">
              <w:rPr>
                <w:i/>
                <w:iCs/>
              </w:rPr>
              <w:t>The treatment must not be used in combination with and within 4 weeks of another PBS-subsidised biological medicine prescribed for any of: (</w:t>
            </w:r>
            <w:proofErr w:type="spellStart"/>
            <w:r w:rsidRPr="000A633E">
              <w:rPr>
                <w:i/>
                <w:iCs/>
              </w:rPr>
              <w:t>i</w:t>
            </w:r>
            <w:proofErr w:type="spellEnd"/>
            <w:r w:rsidRPr="000A633E">
              <w:rPr>
                <w:i/>
                <w:iCs/>
              </w:rPr>
              <w:t>) nasal polyps, (ii) uncontrolled severe allergic asthma, (iii) uncontrolled severe asthma,</w:t>
            </w:r>
          </w:p>
        </w:tc>
      </w:tr>
      <w:tr w:rsidR="002A187F" w:rsidRPr="001428E9" w14:paraId="3AF32BBE" w14:textId="528720E2">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4740A31B" w14:textId="30EA56B4" w:rsidR="002A187F" w:rsidRPr="00D44EF9" w:rsidRDefault="002A187F">
            <w:pPr>
              <w:jc w:val="center"/>
              <w:rPr>
                <w:rFonts w:ascii="Arial Narrow" w:hAnsi="Arial Narrow"/>
                <w:i/>
                <w:iCs/>
                <w:color w:val="333333"/>
                <w:sz w:val="20"/>
                <w:szCs w:val="20"/>
              </w:rPr>
            </w:pPr>
          </w:p>
        </w:tc>
        <w:tc>
          <w:tcPr>
            <w:tcW w:w="7750" w:type="dxa"/>
            <w:gridSpan w:val="6"/>
            <w:vAlign w:val="center"/>
            <w:hideMark/>
          </w:tcPr>
          <w:p w14:paraId="15BE2737" w14:textId="74C55CD4" w:rsidR="002A187F" w:rsidRPr="00063369" w:rsidRDefault="002A187F" w:rsidP="009D4EA8">
            <w:pPr>
              <w:rPr>
                <w:rFonts w:ascii="Arial Narrow" w:hAnsi="Arial Narrow"/>
                <w:i/>
                <w:iCs/>
                <w:sz w:val="20"/>
                <w:szCs w:val="20"/>
              </w:rPr>
            </w:pPr>
            <w:r w:rsidRPr="00063369">
              <w:rPr>
                <w:rFonts w:ascii="Arial Narrow" w:hAnsi="Arial Narrow"/>
                <w:b/>
                <w:bCs/>
                <w:i/>
                <w:iCs/>
                <w:sz w:val="20"/>
                <w:szCs w:val="20"/>
              </w:rPr>
              <w:t>AND</w:t>
            </w:r>
          </w:p>
        </w:tc>
      </w:tr>
      <w:tr w:rsidR="002A187F" w:rsidRPr="001428E9" w14:paraId="7C671B3F" w14:textId="1845839E">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1DE1EBCC" w14:textId="0C2231F0" w:rsidR="002A187F" w:rsidRPr="00D44EF9" w:rsidRDefault="002A187F">
            <w:pPr>
              <w:jc w:val="center"/>
              <w:rPr>
                <w:rFonts w:ascii="Arial Narrow" w:hAnsi="Arial Narrow"/>
                <w:i/>
                <w:iCs/>
                <w:color w:val="333333"/>
                <w:sz w:val="20"/>
                <w:szCs w:val="20"/>
              </w:rPr>
            </w:pPr>
          </w:p>
        </w:tc>
        <w:tc>
          <w:tcPr>
            <w:tcW w:w="7750" w:type="dxa"/>
            <w:gridSpan w:val="6"/>
            <w:vAlign w:val="center"/>
            <w:hideMark/>
          </w:tcPr>
          <w:p w14:paraId="7F1FA76E" w14:textId="46D5EF2E" w:rsidR="002A187F" w:rsidRPr="00063369" w:rsidRDefault="002A187F" w:rsidP="009D4EA8">
            <w:pPr>
              <w:rPr>
                <w:rFonts w:ascii="Arial Narrow" w:hAnsi="Arial Narrow"/>
                <w:i/>
                <w:iCs/>
                <w:sz w:val="20"/>
                <w:szCs w:val="20"/>
              </w:rPr>
            </w:pPr>
            <w:r w:rsidRPr="00063369">
              <w:rPr>
                <w:rFonts w:ascii="Arial Narrow" w:hAnsi="Arial Narrow"/>
                <w:b/>
                <w:bCs/>
                <w:i/>
                <w:iCs/>
                <w:sz w:val="20"/>
                <w:szCs w:val="20"/>
              </w:rPr>
              <w:t>Clinical criteria:</w:t>
            </w:r>
          </w:p>
        </w:tc>
      </w:tr>
      <w:tr w:rsidR="002A187F" w:rsidRPr="001428E9" w14:paraId="0E04DF0E" w14:textId="0D3663B0">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1A8D3C7F" w14:textId="16E279FD" w:rsidR="002A187F" w:rsidRPr="00D44EF9" w:rsidRDefault="002A187F">
            <w:pPr>
              <w:jc w:val="center"/>
              <w:rPr>
                <w:rFonts w:ascii="Arial Narrow" w:hAnsi="Arial Narrow"/>
                <w:i/>
                <w:iCs/>
                <w:color w:val="333333"/>
                <w:sz w:val="20"/>
                <w:szCs w:val="20"/>
              </w:rPr>
            </w:pPr>
          </w:p>
        </w:tc>
        <w:tc>
          <w:tcPr>
            <w:tcW w:w="7750" w:type="dxa"/>
            <w:gridSpan w:val="6"/>
            <w:vAlign w:val="center"/>
            <w:hideMark/>
          </w:tcPr>
          <w:p w14:paraId="37568A50" w14:textId="4DF36354" w:rsidR="002A187F" w:rsidRPr="000A633E" w:rsidRDefault="002A187F" w:rsidP="009D4EA8">
            <w:pPr>
              <w:pStyle w:val="PBACTabletext"/>
              <w:spacing w:after="0"/>
              <w:rPr>
                <w:i/>
                <w:iCs/>
              </w:rPr>
            </w:pPr>
            <w:r w:rsidRPr="000A633E">
              <w:rPr>
                <w:i/>
                <w:iCs/>
              </w:rPr>
              <w:t>Patient must have failed to achieve adequate control with optimised nasal polyp therapy which has been documented</w:t>
            </w:r>
          </w:p>
        </w:tc>
      </w:tr>
      <w:tr w:rsidR="002A187F" w:rsidRPr="001428E9" w14:paraId="07477A29" w14:textId="296B13E9">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6BEDD434" w14:textId="7A9B0610" w:rsidR="002A187F" w:rsidRPr="00D44EF9" w:rsidRDefault="002A187F">
            <w:pPr>
              <w:jc w:val="center"/>
              <w:rPr>
                <w:rFonts w:ascii="Arial Narrow" w:hAnsi="Arial Narrow"/>
                <w:i/>
                <w:iCs/>
                <w:color w:val="333333"/>
                <w:sz w:val="20"/>
                <w:szCs w:val="20"/>
              </w:rPr>
            </w:pPr>
          </w:p>
        </w:tc>
        <w:tc>
          <w:tcPr>
            <w:tcW w:w="7750" w:type="dxa"/>
            <w:gridSpan w:val="6"/>
            <w:vAlign w:val="center"/>
          </w:tcPr>
          <w:p w14:paraId="1DF2D0F8" w14:textId="6B61FE71" w:rsidR="002A187F" w:rsidRPr="000A633E" w:rsidRDefault="002A187F" w:rsidP="009D4EA8">
            <w:pPr>
              <w:pStyle w:val="PBACTabletext"/>
              <w:spacing w:after="0"/>
              <w:rPr>
                <w:i/>
                <w:iCs/>
              </w:rPr>
            </w:pPr>
            <w:r w:rsidRPr="00063369">
              <w:rPr>
                <w:rFonts w:eastAsia="Times New Roman"/>
                <w:b/>
                <w:bCs/>
                <w:i/>
                <w:iCs/>
                <w:lang w:eastAsia="en-AU"/>
              </w:rPr>
              <w:t>AND</w:t>
            </w:r>
          </w:p>
        </w:tc>
      </w:tr>
      <w:tr w:rsidR="002A187F" w:rsidRPr="001428E9" w14:paraId="19971185" w14:textId="670F8CBF">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5C2635FC" w14:textId="7459D5F5" w:rsidR="002A187F" w:rsidRPr="00D44EF9" w:rsidRDefault="002A187F">
            <w:pPr>
              <w:jc w:val="center"/>
              <w:rPr>
                <w:rFonts w:ascii="Arial Narrow" w:hAnsi="Arial Narrow"/>
                <w:i/>
                <w:iCs/>
                <w:color w:val="333333"/>
                <w:sz w:val="20"/>
                <w:szCs w:val="20"/>
              </w:rPr>
            </w:pPr>
          </w:p>
        </w:tc>
        <w:tc>
          <w:tcPr>
            <w:tcW w:w="7750" w:type="dxa"/>
            <w:gridSpan w:val="6"/>
            <w:vAlign w:val="center"/>
          </w:tcPr>
          <w:p w14:paraId="40F1DC23" w14:textId="57655F8D" w:rsidR="002A187F" w:rsidRPr="000A633E" w:rsidRDefault="002A187F" w:rsidP="009D4EA8">
            <w:pPr>
              <w:pStyle w:val="PBACTabletext"/>
              <w:spacing w:after="0"/>
              <w:rPr>
                <w:i/>
                <w:iCs/>
              </w:rPr>
            </w:pPr>
            <w:r w:rsidRPr="00063369">
              <w:rPr>
                <w:rFonts w:eastAsia="Times New Roman"/>
                <w:b/>
                <w:bCs/>
                <w:i/>
                <w:iCs/>
                <w:lang w:eastAsia="en-AU"/>
              </w:rPr>
              <w:t>Clinical criteria:</w:t>
            </w:r>
          </w:p>
        </w:tc>
      </w:tr>
      <w:tr w:rsidR="002A187F" w:rsidRPr="001428E9" w14:paraId="754B7573" w14:textId="261CD9A6">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5387D6E2" w14:textId="75177AFF" w:rsidR="002A187F" w:rsidRPr="00D44EF9" w:rsidRDefault="002A187F">
            <w:pPr>
              <w:jc w:val="center"/>
              <w:rPr>
                <w:rFonts w:ascii="Arial Narrow" w:hAnsi="Arial Narrow"/>
                <w:i/>
                <w:iCs/>
                <w:color w:val="333333"/>
                <w:sz w:val="20"/>
                <w:szCs w:val="20"/>
              </w:rPr>
            </w:pPr>
          </w:p>
        </w:tc>
        <w:tc>
          <w:tcPr>
            <w:tcW w:w="7750" w:type="dxa"/>
            <w:gridSpan w:val="6"/>
            <w:vAlign w:val="center"/>
          </w:tcPr>
          <w:p w14:paraId="1D4B8574" w14:textId="4CF67615" w:rsidR="002A187F" w:rsidRPr="00063369" w:rsidRDefault="002A187F" w:rsidP="009D4EA8">
            <w:pPr>
              <w:pStyle w:val="PBACTabletext"/>
              <w:spacing w:after="0"/>
              <w:rPr>
                <w:rFonts w:eastAsia="Times New Roman"/>
                <w:i/>
                <w:iCs/>
                <w:lang w:eastAsia="en-AU"/>
              </w:rPr>
            </w:pPr>
            <w:r w:rsidRPr="00063369">
              <w:rPr>
                <w:rFonts w:eastAsia="Times New Roman"/>
                <w:i/>
                <w:iCs/>
                <w:lang w:eastAsia="en-AU"/>
              </w:rPr>
              <w:t>Patient must have a total serum immunoglobulin E level greater than or equal to 30 IU/mL in the last 12 months prior to initiating non-PBS-subsidised treatment with this drug for this condition</w:t>
            </w:r>
          </w:p>
        </w:tc>
      </w:tr>
      <w:tr w:rsidR="002A187F" w:rsidRPr="001428E9" w14:paraId="1211B4E9" w14:textId="6BE9C8DE">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6AE5B376" w14:textId="20D68F5C" w:rsidR="002A187F" w:rsidRPr="00D44EF9" w:rsidRDefault="002A187F">
            <w:pPr>
              <w:keepNext/>
              <w:jc w:val="center"/>
              <w:rPr>
                <w:rFonts w:ascii="Arial Narrow" w:hAnsi="Arial Narrow"/>
                <w:i/>
                <w:iCs/>
                <w:color w:val="333333"/>
                <w:sz w:val="20"/>
                <w:szCs w:val="20"/>
              </w:rPr>
            </w:pPr>
          </w:p>
        </w:tc>
        <w:tc>
          <w:tcPr>
            <w:tcW w:w="7750" w:type="dxa"/>
            <w:gridSpan w:val="6"/>
            <w:vAlign w:val="center"/>
            <w:hideMark/>
          </w:tcPr>
          <w:p w14:paraId="0922AB49" w14:textId="33F57DD9" w:rsidR="002A187F" w:rsidRPr="00063369" w:rsidRDefault="002A187F" w:rsidP="009D4EA8">
            <w:pPr>
              <w:keepNext/>
              <w:rPr>
                <w:rFonts w:ascii="Arial Narrow" w:hAnsi="Arial Narrow"/>
                <w:i/>
                <w:iCs/>
                <w:sz w:val="20"/>
                <w:szCs w:val="20"/>
              </w:rPr>
            </w:pPr>
            <w:r w:rsidRPr="00063369">
              <w:rPr>
                <w:rFonts w:ascii="Arial Narrow" w:hAnsi="Arial Narrow"/>
                <w:b/>
                <w:bCs/>
                <w:i/>
                <w:iCs/>
                <w:sz w:val="20"/>
                <w:szCs w:val="20"/>
              </w:rPr>
              <w:t>Treatment criteria:</w:t>
            </w:r>
          </w:p>
        </w:tc>
      </w:tr>
      <w:tr w:rsidR="002A187F" w:rsidRPr="001428E9" w14:paraId="50FF5C76" w14:textId="713DF5C2">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4C561A9F" w14:textId="624686AD" w:rsidR="002A187F" w:rsidRPr="00D44EF9" w:rsidRDefault="002A187F">
            <w:pPr>
              <w:jc w:val="center"/>
              <w:rPr>
                <w:rFonts w:ascii="Arial Narrow" w:hAnsi="Arial Narrow"/>
                <w:i/>
                <w:iCs/>
                <w:color w:val="333333"/>
                <w:sz w:val="20"/>
                <w:szCs w:val="20"/>
              </w:rPr>
            </w:pPr>
          </w:p>
        </w:tc>
        <w:tc>
          <w:tcPr>
            <w:tcW w:w="7750" w:type="dxa"/>
            <w:gridSpan w:val="6"/>
            <w:vAlign w:val="center"/>
            <w:hideMark/>
          </w:tcPr>
          <w:p w14:paraId="1E4826A5" w14:textId="66C36671" w:rsidR="002A187F" w:rsidRPr="000A633E" w:rsidRDefault="002A187F">
            <w:pPr>
              <w:autoSpaceDE w:val="0"/>
              <w:autoSpaceDN w:val="0"/>
              <w:adjustRightInd w:val="0"/>
              <w:rPr>
                <w:rFonts w:ascii="Arial Narrow" w:hAnsi="Arial Narrow" w:cs="Arial Narrow"/>
                <w:i/>
                <w:iCs/>
                <w:sz w:val="20"/>
                <w:szCs w:val="20"/>
              </w:rPr>
            </w:pPr>
            <w:r w:rsidRPr="000A633E">
              <w:rPr>
                <w:rFonts w:ascii="Arial Narrow" w:hAnsi="Arial Narrow" w:cs="Arial Narrow"/>
                <w:i/>
                <w:iCs/>
                <w:sz w:val="20"/>
                <w:szCs w:val="20"/>
              </w:rPr>
              <w:t>Patient must be treated by a medical practitioner who is either a: (</w:t>
            </w:r>
            <w:proofErr w:type="spellStart"/>
            <w:r w:rsidRPr="000A633E">
              <w:rPr>
                <w:rFonts w:ascii="Arial Narrow" w:hAnsi="Arial Narrow" w:cs="Arial Narrow"/>
                <w:i/>
                <w:iCs/>
                <w:sz w:val="20"/>
                <w:szCs w:val="20"/>
              </w:rPr>
              <w:t>i</w:t>
            </w:r>
            <w:proofErr w:type="spellEnd"/>
            <w:r w:rsidRPr="000A633E">
              <w:rPr>
                <w:rFonts w:ascii="Arial Narrow" w:hAnsi="Arial Narrow" w:cs="Arial Narrow"/>
                <w:i/>
                <w:iCs/>
                <w:sz w:val="20"/>
                <w:szCs w:val="20"/>
              </w:rPr>
              <w:t xml:space="preserve">) respiratory physician, (ii) clinical immunologist, (iii) allergist, (iv) ear nose and throat specialist (ENT) or (v) general physician experienced in the management of patients with </w:t>
            </w:r>
            <w:proofErr w:type="spellStart"/>
            <w:r w:rsidRPr="000A633E">
              <w:rPr>
                <w:rFonts w:ascii="Arial Narrow" w:hAnsi="Arial Narrow" w:cs="Arial Narrow"/>
                <w:i/>
                <w:iCs/>
                <w:sz w:val="20"/>
                <w:szCs w:val="20"/>
              </w:rPr>
              <w:t>CRSwNP</w:t>
            </w:r>
            <w:proofErr w:type="spellEnd"/>
          </w:p>
        </w:tc>
      </w:tr>
      <w:tr w:rsidR="002A187F" w:rsidRPr="001428E9" w14:paraId="7D3C2642" w14:textId="09D60DF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6F8AF082" w14:textId="46A974E9" w:rsidR="002A187F" w:rsidRPr="00D44EF9" w:rsidRDefault="002A187F">
            <w:pPr>
              <w:jc w:val="center"/>
              <w:rPr>
                <w:rFonts w:ascii="Arial Narrow" w:hAnsi="Arial Narrow"/>
                <w:i/>
                <w:iCs/>
                <w:color w:val="333333"/>
                <w:sz w:val="20"/>
                <w:szCs w:val="20"/>
              </w:rPr>
            </w:pPr>
          </w:p>
        </w:tc>
        <w:tc>
          <w:tcPr>
            <w:tcW w:w="7750" w:type="dxa"/>
            <w:gridSpan w:val="6"/>
            <w:vAlign w:val="center"/>
            <w:hideMark/>
          </w:tcPr>
          <w:p w14:paraId="40399CAB" w14:textId="2B30CA85" w:rsidR="002A187F" w:rsidRPr="00063369" w:rsidRDefault="002A187F">
            <w:pPr>
              <w:rPr>
                <w:rFonts w:ascii="Arial Narrow" w:hAnsi="Arial Narrow"/>
                <w:i/>
                <w:iCs/>
                <w:sz w:val="20"/>
                <w:szCs w:val="20"/>
              </w:rPr>
            </w:pPr>
            <w:r w:rsidRPr="00063369">
              <w:rPr>
                <w:rFonts w:ascii="Arial Narrow" w:hAnsi="Arial Narrow"/>
                <w:b/>
                <w:bCs/>
                <w:i/>
                <w:iCs/>
                <w:sz w:val="20"/>
                <w:szCs w:val="20"/>
              </w:rPr>
              <w:t>Population criteria:</w:t>
            </w:r>
          </w:p>
        </w:tc>
      </w:tr>
      <w:tr w:rsidR="002A187F" w:rsidRPr="001428E9" w14:paraId="24FB29F6" w14:textId="15DE262C" w:rsidTr="009D4EA8">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07949F87" w14:textId="6DF6F538" w:rsidR="002A187F" w:rsidRPr="00D44EF9" w:rsidRDefault="002A187F">
            <w:pPr>
              <w:jc w:val="center"/>
              <w:rPr>
                <w:rFonts w:ascii="Arial Narrow" w:hAnsi="Arial Narrow"/>
                <w:i/>
                <w:iCs/>
                <w:color w:val="333333"/>
                <w:sz w:val="20"/>
                <w:szCs w:val="20"/>
              </w:rPr>
            </w:pPr>
          </w:p>
        </w:tc>
        <w:tc>
          <w:tcPr>
            <w:tcW w:w="7750" w:type="dxa"/>
            <w:gridSpan w:val="6"/>
            <w:vAlign w:val="center"/>
            <w:hideMark/>
          </w:tcPr>
          <w:p w14:paraId="6BB8A0BC" w14:textId="26DD60FA" w:rsidR="002A187F" w:rsidRPr="00063369" w:rsidRDefault="002A187F">
            <w:pPr>
              <w:rPr>
                <w:rFonts w:ascii="Arial Narrow" w:hAnsi="Arial Narrow"/>
                <w:i/>
                <w:iCs/>
                <w:sz w:val="20"/>
                <w:szCs w:val="20"/>
              </w:rPr>
            </w:pPr>
            <w:r w:rsidRPr="00063369">
              <w:rPr>
                <w:rFonts w:ascii="Arial Narrow" w:hAnsi="Arial Narrow"/>
                <w:i/>
                <w:iCs/>
                <w:sz w:val="20"/>
                <w:szCs w:val="20"/>
              </w:rPr>
              <w:t>Patient must be at least 18 years of age</w:t>
            </w:r>
          </w:p>
        </w:tc>
      </w:tr>
      <w:tr w:rsidR="002A187F" w:rsidRPr="001428E9" w14:paraId="543A0E7F" w14:textId="3A3BC363">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528577F1" w14:textId="362A58BC" w:rsidR="002A187F" w:rsidRPr="00D44EF9" w:rsidRDefault="002A187F">
            <w:pPr>
              <w:jc w:val="center"/>
              <w:rPr>
                <w:rFonts w:ascii="Arial Narrow" w:hAnsi="Arial Narrow"/>
                <w:i/>
                <w:iCs/>
                <w:color w:val="333333"/>
                <w:sz w:val="20"/>
                <w:szCs w:val="20"/>
              </w:rPr>
            </w:pPr>
          </w:p>
        </w:tc>
        <w:tc>
          <w:tcPr>
            <w:tcW w:w="7750" w:type="dxa"/>
            <w:gridSpan w:val="6"/>
            <w:vAlign w:val="center"/>
          </w:tcPr>
          <w:p w14:paraId="65572D84" w14:textId="01F84004" w:rsidR="002A187F" w:rsidRPr="00063369" w:rsidRDefault="002A187F">
            <w:pPr>
              <w:rPr>
                <w:rFonts w:ascii="Arial Narrow" w:hAnsi="Arial Narrow"/>
                <w:b/>
                <w:bCs/>
                <w:i/>
                <w:iCs/>
                <w:sz w:val="20"/>
                <w:szCs w:val="20"/>
              </w:rPr>
            </w:pPr>
            <w:r w:rsidRPr="00063369">
              <w:rPr>
                <w:rFonts w:ascii="Arial Narrow" w:hAnsi="Arial Narrow"/>
                <w:b/>
                <w:bCs/>
                <w:i/>
                <w:iCs/>
                <w:sz w:val="20"/>
                <w:szCs w:val="20"/>
              </w:rPr>
              <w:t>Prescribing Instructions:</w:t>
            </w:r>
          </w:p>
          <w:p w14:paraId="5C7A2068" w14:textId="0F1BD80A" w:rsidR="002A187F" w:rsidRPr="00063369" w:rsidRDefault="002A187F">
            <w:pPr>
              <w:rPr>
                <w:rFonts w:ascii="Arial Narrow" w:hAnsi="Arial Narrow"/>
                <w:i/>
                <w:iCs/>
                <w:sz w:val="20"/>
                <w:szCs w:val="20"/>
              </w:rPr>
            </w:pPr>
            <w:r w:rsidRPr="00063369">
              <w:rPr>
                <w:rFonts w:ascii="Arial Narrow" w:hAnsi="Arial Narrow"/>
                <w:i/>
                <w:iCs/>
                <w:sz w:val="20"/>
                <w:szCs w:val="20"/>
              </w:rPr>
              <w:t>At the time of the authority application, medical practitioners should request the appropriate maximum quantity and number of repeats to provide for an initial course of omalizumab consisting of the recommended number of doses for the baseline IgE level and body weight of the patient (refer to the TGA-approved Product Information) to be administered every 2 or 4 weeks.</w:t>
            </w:r>
          </w:p>
        </w:tc>
      </w:tr>
      <w:tr w:rsidR="002A187F" w:rsidRPr="001428E9" w14:paraId="25924874" w14:textId="68229FAB" w:rsidTr="009D4EA8">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2173FF5B" w14:textId="12C104AA" w:rsidR="002A187F" w:rsidRPr="00D44EF9" w:rsidRDefault="002A187F">
            <w:pPr>
              <w:jc w:val="center"/>
              <w:rPr>
                <w:rFonts w:ascii="Arial Narrow" w:hAnsi="Arial Narrow"/>
                <w:i/>
                <w:iCs/>
                <w:color w:val="333333"/>
                <w:sz w:val="20"/>
                <w:szCs w:val="20"/>
              </w:rPr>
            </w:pPr>
          </w:p>
        </w:tc>
        <w:tc>
          <w:tcPr>
            <w:tcW w:w="7750" w:type="dxa"/>
            <w:gridSpan w:val="6"/>
            <w:vAlign w:val="center"/>
            <w:hideMark/>
          </w:tcPr>
          <w:p w14:paraId="7A180EA9" w14:textId="22B69B9E" w:rsidR="002A187F" w:rsidRPr="00D44EF9" w:rsidRDefault="002A187F">
            <w:pPr>
              <w:rPr>
                <w:rFonts w:ascii="Arial Narrow" w:hAnsi="Arial Narrow"/>
                <w:b/>
                <w:bCs/>
                <w:i/>
                <w:iCs/>
                <w:color w:val="333333"/>
                <w:sz w:val="20"/>
                <w:szCs w:val="20"/>
              </w:rPr>
            </w:pPr>
            <w:r w:rsidRPr="00D44EF9">
              <w:rPr>
                <w:rFonts w:ascii="Arial Narrow" w:hAnsi="Arial Narrow"/>
                <w:b/>
                <w:bCs/>
                <w:i/>
                <w:iCs/>
                <w:color w:val="333333"/>
                <w:sz w:val="20"/>
                <w:szCs w:val="20"/>
              </w:rPr>
              <w:t xml:space="preserve">Prescribing Instructions: </w:t>
            </w:r>
          </w:p>
          <w:p w14:paraId="07F769FA" w14:textId="583C4B61" w:rsidR="002A187F" w:rsidRPr="00D44EF9" w:rsidRDefault="002A187F">
            <w:pPr>
              <w:rPr>
                <w:rFonts w:ascii="Arial Narrow" w:hAnsi="Arial Narrow"/>
                <w:i/>
                <w:iCs/>
                <w:sz w:val="20"/>
                <w:szCs w:val="20"/>
              </w:rPr>
            </w:pPr>
            <w:r w:rsidRPr="00D44EF9">
              <w:rPr>
                <w:rFonts w:ascii="Arial Narrow" w:hAnsi="Arial Narrow"/>
                <w:i/>
                <w:iCs/>
                <w:sz w:val="20"/>
                <w:szCs w:val="20"/>
              </w:rPr>
              <w:t>Optimised nasal polyp</w:t>
            </w:r>
            <w:r w:rsidRPr="00063369">
              <w:rPr>
                <w:rFonts w:ascii="Arial Narrow" w:hAnsi="Arial Narrow"/>
                <w:i/>
                <w:iCs/>
                <w:strike/>
                <w:sz w:val="20"/>
                <w:szCs w:val="20"/>
              </w:rPr>
              <w:t>s</w:t>
            </w:r>
            <w:r w:rsidRPr="00D44EF9">
              <w:rPr>
                <w:rFonts w:ascii="Arial Narrow" w:hAnsi="Arial Narrow"/>
                <w:i/>
                <w:iCs/>
                <w:sz w:val="20"/>
                <w:szCs w:val="20"/>
              </w:rPr>
              <w:t xml:space="preserve"> therapy includes:</w:t>
            </w:r>
          </w:p>
          <w:p w14:paraId="39A9439C" w14:textId="46FFCD31" w:rsidR="002A187F" w:rsidRPr="00D44EF9" w:rsidRDefault="002A187F">
            <w:pPr>
              <w:numPr>
                <w:ilvl w:val="0"/>
                <w:numId w:val="15"/>
              </w:numPr>
              <w:jc w:val="left"/>
              <w:rPr>
                <w:rFonts w:ascii="Arial Narrow" w:hAnsi="Arial Narrow"/>
                <w:i/>
                <w:iCs/>
                <w:sz w:val="20"/>
                <w:szCs w:val="20"/>
              </w:rPr>
            </w:pPr>
            <w:r w:rsidRPr="00D44EF9">
              <w:rPr>
                <w:rFonts w:ascii="Arial Narrow" w:hAnsi="Arial Narrow"/>
                <w:i/>
                <w:iCs/>
                <w:sz w:val="20"/>
                <w:szCs w:val="20"/>
              </w:rPr>
              <w:t>Adherence to intranasal corticosteroid therapy for at least 2 months, unless contraindicated or not tolerated</w:t>
            </w:r>
          </w:p>
          <w:p w14:paraId="2D937C75" w14:textId="7E9014A0" w:rsidR="002A187F" w:rsidRPr="00D44EF9" w:rsidRDefault="002A187F">
            <w:pPr>
              <w:numPr>
                <w:ilvl w:val="0"/>
                <w:numId w:val="15"/>
              </w:numPr>
              <w:jc w:val="left"/>
              <w:rPr>
                <w:rFonts w:ascii="Arial Narrow" w:hAnsi="Arial Narrow"/>
                <w:i/>
                <w:iCs/>
                <w:sz w:val="20"/>
                <w:szCs w:val="20"/>
              </w:rPr>
            </w:pPr>
            <w:r w:rsidRPr="00D44EF9">
              <w:rPr>
                <w:rFonts w:ascii="Arial Narrow" w:hAnsi="Arial Narrow"/>
                <w:i/>
                <w:iCs/>
                <w:sz w:val="20"/>
                <w:szCs w:val="20"/>
              </w:rPr>
              <w:t>If required, nasal irrigation with saline</w:t>
            </w:r>
          </w:p>
          <w:p w14:paraId="0E1A649B" w14:textId="1BC4CE14" w:rsidR="002A187F" w:rsidRPr="00D44EF9" w:rsidRDefault="002A187F">
            <w:pPr>
              <w:rPr>
                <w:rFonts w:ascii="Arial Narrow" w:hAnsi="Arial Narrow"/>
                <w:i/>
                <w:iCs/>
                <w:sz w:val="20"/>
                <w:szCs w:val="20"/>
              </w:rPr>
            </w:pPr>
            <w:r w:rsidRPr="00D44EF9">
              <w:rPr>
                <w:rFonts w:ascii="Arial Narrow" w:hAnsi="Arial Narrow"/>
                <w:i/>
                <w:iCs/>
                <w:sz w:val="20"/>
                <w:szCs w:val="20"/>
              </w:rPr>
              <w:t>Where the patient has a contraindication or intolerance to intranasal corticosteroid therapy, document the reasons for the contraindication or intolerance in the patient's medical file.</w:t>
            </w:r>
          </w:p>
        </w:tc>
      </w:tr>
      <w:tr w:rsidR="002A187F" w:rsidRPr="001428E9" w14:paraId="71E7013B" w14:textId="024CA8E1">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77F2622E" w14:textId="11DCADE7" w:rsidR="002A187F" w:rsidRPr="00D44EF9" w:rsidRDefault="002A187F">
            <w:pPr>
              <w:jc w:val="center"/>
              <w:rPr>
                <w:rFonts w:ascii="Arial Narrow" w:hAnsi="Arial Narrow"/>
                <w:i/>
                <w:iCs/>
                <w:color w:val="333333"/>
                <w:sz w:val="20"/>
                <w:szCs w:val="20"/>
              </w:rPr>
            </w:pPr>
          </w:p>
        </w:tc>
        <w:tc>
          <w:tcPr>
            <w:tcW w:w="7750" w:type="dxa"/>
            <w:gridSpan w:val="6"/>
            <w:vAlign w:val="center"/>
          </w:tcPr>
          <w:p w14:paraId="28AD68F6" w14:textId="3C8BD2BA" w:rsidR="002A187F" w:rsidRPr="00D44EF9" w:rsidRDefault="002A187F">
            <w:pPr>
              <w:rPr>
                <w:rFonts w:ascii="Arial Narrow" w:hAnsi="Arial Narrow"/>
                <w:b/>
                <w:bCs/>
                <w:i/>
                <w:iCs/>
                <w:sz w:val="20"/>
                <w:szCs w:val="20"/>
              </w:rPr>
            </w:pPr>
            <w:r w:rsidRPr="00D44EF9">
              <w:rPr>
                <w:rFonts w:ascii="Arial Narrow" w:hAnsi="Arial Narrow"/>
                <w:b/>
                <w:bCs/>
                <w:i/>
                <w:iCs/>
                <w:sz w:val="20"/>
                <w:szCs w:val="20"/>
              </w:rPr>
              <w:t>Prescribing Instructions:</w:t>
            </w:r>
          </w:p>
          <w:p w14:paraId="1FA06EB9" w14:textId="77D07210" w:rsidR="002A187F" w:rsidRPr="00D44EF9" w:rsidRDefault="002A187F">
            <w:pPr>
              <w:rPr>
                <w:rFonts w:ascii="Arial Narrow" w:hAnsi="Arial Narrow"/>
                <w:i/>
                <w:iCs/>
                <w:sz w:val="20"/>
                <w:szCs w:val="20"/>
              </w:rPr>
            </w:pPr>
            <w:r w:rsidRPr="00D44EF9">
              <w:rPr>
                <w:rFonts w:ascii="Arial Narrow" w:hAnsi="Arial Narrow"/>
                <w:i/>
                <w:iCs/>
                <w:sz w:val="20"/>
                <w:szCs w:val="20"/>
              </w:rPr>
              <w:t>The authority application must be made in writing and must include:</w:t>
            </w:r>
          </w:p>
          <w:p w14:paraId="68C48260" w14:textId="3A3BC234" w:rsidR="002A187F" w:rsidRPr="00D44EF9" w:rsidRDefault="002A187F">
            <w:pPr>
              <w:pStyle w:val="ListParagraph"/>
              <w:numPr>
                <w:ilvl w:val="0"/>
                <w:numId w:val="16"/>
              </w:numPr>
              <w:spacing w:after="0"/>
              <w:contextualSpacing/>
              <w:rPr>
                <w:rFonts w:ascii="Arial Narrow" w:hAnsi="Arial Narrow"/>
                <w:i/>
                <w:iCs/>
                <w:sz w:val="20"/>
                <w:szCs w:val="20"/>
              </w:rPr>
            </w:pPr>
            <w:r w:rsidRPr="00D44EF9">
              <w:rPr>
                <w:rFonts w:ascii="Arial Narrow" w:hAnsi="Arial Narrow"/>
                <w:i/>
                <w:iCs/>
                <w:sz w:val="20"/>
                <w:szCs w:val="20"/>
              </w:rPr>
              <w:t>A completed authority prescription form,</w:t>
            </w:r>
          </w:p>
          <w:p w14:paraId="55CA8E8A" w14:textId="439F244D" w:rsidR="002A187F" w:rsidRPr="00D44EF9" w:rsidRDefault="002A187F">
            <w:pPr>
              <w:pStyle w:val="ListParagraph"/>
              <w:numPr>
                <w:ilvl w:val="0"/>
                <w:numId w:val="16"/>
              </w:numPr>
              <w:spacing w:after="0"/>
              <w:contextualSpacing/>
              <w:rPr>
                <w:rFonts w:ascii="Arial Narrow" w:hAnsi="Arial Narrow"/>
                <w:i/>
                <w:iCs/>
                <w:sz w:val="20"/>
                <w:szCs w:val="20"/>
              </w:rPr>
            </w:pPr>
            <w:r w:rsidRPr="44072162">
              <w:rPr>
                <w:rFonts w:ascii="Arial Narrow" w:hAnsi="Arial Narrow"/>
                <w:i/>
                <w:iCs/>
                <w:sz w:val="20"/>
                <w:szCs w:val="20"/>
              </w:rPr>
              <w:t>A completed authority application form relevant to the indication and treatment phase</w:t>
            </w:r>
          </w:p>
          <w:p w14:paraId="56CB3307" w14:textId="03F92FF6" w:rsidR="002A187F" w:rsidRPr="00D44EF9" w:rsidRDefault="002A187F">
            <w:pPr>
              <w:pStyle w:val="ListParagraph"/>
              <w:numPr>
                <w:ilvl w:val="0"/>
                <w:numId w:val="16"/>
              </w:numPr>
              <w:spacing w:after="0"/>
              <w:contextualSpacing/>
              <w:rPr>
                <w:rFonts w:ascii="Arial Narrow" w:hAnsi="Arial Narrow"/>
                <w:i/>
                <w:iCs/>
                <w:sz w:val="20"/>
                <w:szCs w:val="20"/>
              </w:rPr>
            </w:pPr>
            <w:r w:rsidRPr="00D44EF9">
              <w:rPr>
                <w:rFonts w:ascii="Arial Narrow" w:hAnsi="Arial Narrow"/>
                <w:i/>
                <w:iCs/>
                <w:sz w:val="20"/>
                <w:szCs w:val="20"/>
              </w:rPr>
              <w:t>Details (date of commencement and duration of therapy) of prior optimised nasal polyp medicine treatment,</w:t>
            </w:r>
          </w:p>
          <w:p w14:paraId="4C7166CA" w14:textId="7F8E1FA3" w:rsidR="002A187F" w:rsidRPr="00D44EF9" w:rsidRDefault="002A187F">
            <w:pPr>
              <w:pStyle w:val="ListParagraph"/>
              <w:numPr>
                <w:ilvl w:val="0"/>
                <w:numId w:val="16"/>
              </w:numPr>
              <w:spacing w:after="0"/>
              <w:contextualSpacing/>
              <w:rPr>
                <w:rFonts w:ascii="Arial Narrow" w:hAnsi="Arial Narrow"/>
                <w:i/>
                <w:iCs/>
                <w:sz w:val="20"/>
                <w:szCs w:val="20"/>
              </w:rPr>
            </w:pPr>
            <w:r w:rsidRPr="00D44EF9">
              <w:rPr>
                <w:rFonts w:ascii="Arial Narrow" w:hAnsi="Arial Narrow"/>
                <w:i/>
                <w:iCs/>
                <w:sz w:val="20"/>
                <w:szCs w:val="20"/>
              </w:rPr>
              <w:t>Details (date and treatment) of nasal polyp surgery; or</w:t>
            </w:r>
          </w:p>
          <w:p w14:paraId="358125A8" w14:textId="2ABAA551" w:rsidR="002A187F" w:rsidRPr="00D44EF9" w:rsidRDefault="002A187F">
            <w:pPr>
              <w:pStyle w:val="ListParagraph"/>
              <w:numPr>
                <w:ilvl w:val="0"/>
                <w:numId w:val="16"/>
              </w:numPr>
              <w:spacing w:after="0"/>
              <w:contextualSpacing/>
              <w:rPr>
                <w:rFonts w:ascii="Arial Narrow" w:hAnsi="Arial Narrow"/>
                <w:i/>
                <w:iCs/>
                <w:sz w:val="20"/>
                <w:szCs w:val="20"/>
              </w:rPr>
            </w:pPr>
            <w:r w:rsidRPr="00D44EF9">
              <w:rPr>
                <w:rFonts w:ascii="Arial Narrow" w:hAnsi="Arial Narrow"/>
                <w:i/>
                <w:iCs/>
                <w:sz w:val="20"/>
                <w:szCs w:val="20"/>
              </w:rPr>
              <w:t>If applicable, details of surgical exception including serious comorbid disease (e.g. cardiovascular, stroke) making the risk of surgery unacceptable,</w:t>
            </w:r>
          </w:p>
          <w:p w14:paraId="368E6271" w14:textId="18836181" w:rsidR="002A187F" w:rsidRPr="00D44EF9" w:rsidRDefault="002A187F">
            <w:pPr>
              <w:pStyle w:val="ListParagraph"/>
              <w:numPr>
                <w:ilvl w:val="0"/>
                <w:numId w:val="16"/>
              </w:numPr>
              <w:spacing w:after="0"/>
              <w:contextualSpacing/>
              <w:rPr>
                <w:rFonts w:ascii="Arial Narrow" w:hAnsi="Arial Narrow"/>
                <w:i/>
                <w:iCs/>
                <w:sz w:val="20"/>
                <w:szCs w:val="20"/>
              </w:rPr>
            </w:pPr>
            <w:r w:rsidRPr="00D44EF9">
              <w:rPr>
                <w:rFonts w:ascii="Arial Narrow" w:hAnsi="Arial Narrow"/>
                <w:i/>
                <w:iCs/>
                <w:sz w:val="20"/>
                <w:szCs w:val="20"/>
              </w:rPr>
              <w:t xml:space="preserve">The free serum immunoglobulin E level and date, </w:t>
            </w:r>
          </w:p>
          <w:p w14:paraId="0F635CAD" w14:textId="548B6273" w:rsidR="002A187F" w:rsidRPr="00D44EF9" w:rsidRDefault="002A187F">
            <w:pPr>
              <w:pStyle w:val="ListParagraph"/>
              <w:numPr>
                <w:ilvl w:val="0"/>
                <w:numId w:val="16"/>
              </w:numPr>
              <w:spacing w:after="0"/>
              <w:contextualSpacing/>
              <w:rPr>
                <w:rFonts w:ascii="Arial Narrow" w:hAnsi="Arial Narrow"/>
                <w:i/>
                <w:iCs/>
                <w:sz w:val="20"/>
                <w:szCs w:val="20"/>
              </w:rPr>
            </w:pPr>
            <w:r w:rsidRPr="44072162">
              <w:rPr>
                <w:rFonts w:ascii="Arial Narrow" w:hAnsi="Arial Narrow"/>
                <w:i/>
                <w:iCs/>
                <w:sz w:val="20"/>
                <w:szCs w:val="20"/>
              </w:rPr>
              <w:t>Two of the following, measured within the past 12 months: (</w:t>
            </w:r>
            <w:proofErr w:type="spellStart"/>
            <w:r w:rsidRPr="44072162">
              <w:rPr>
                <w:rFonts w:ascii="Arial Narrow" w:hAnsi="Arial Narrow"/>
                <w:i/>
                <w:iCs/>
                <w:sz w:val="20"/>
                <w:szCs w:val="20"/>
              </w:rPr>
              <w:t>i</w:t>
            </w:r>
            <w:proofErr w:type="spellEnd"/>
            <w:r w:rsidRPr="44072162">
              <w:rPr>
                <w:rFonts w:ascii="Arial Narrow" w:hAnsi="Arial Narrow"/>
                <w:i/>
                <w:iCs/>
                <w:sz w:val="20"/>
                <w:szCs w:val="20"/>
              </w:rPr>
              <w:t>) baseline bilateral endoscopic nasal polyp score, (ii) baseline nasal obstruction VAS score, (iii) baseline overall VAS score</w:t>
            </w:r>
          </w:p>
        </w:tc>
      </w:tr>
      <w:tr w:rsidR="002A187F" w:rsidRPr="001428E9" w14:paraId="6E89207F" w14:textId="23E855B5" w:rsidTr="009D4EA8">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175B14A2" w14:textId="7AAE41FC" w:rsidR="002A187F" w:rsidRPr="00D44EF9" w:rsidRDefault="002A187F">
            <w:pPr>
              <w:jc w:val="center"/>
              <w:rPr>
                <w:rFonts w:ascii="Arial Narrow" w:hAnsi="Arial Narrow"/>
                <w:i/>
                <w:iCs/>
                <w:color w:val="333333"/>
                <w:sz w:val="20"/>
                <w:szCs w:val="20"/>
              </w:rPr>
            </w:pPr>
          </w:p>
        </w:tc>
        <w:tc>
          <w:tcPr>
            <w:tcW w:w="7750" w:type="dxa"/>
            <w:gridSpan w:val="6"/>
            <w:vAlign w:val="center"/>
            <w:hideMark/>
          </w:tcPr>
          <w:p w14:paraId="1C334419" w14:textId="7C240576" w:rsidR="002A187F" w:rsidRPr="00D44EF9" w:rsidRDefault="002A187F">
            <w:pPr>
              <w:ind w:left="-57"/>
              <w:rPr>
                <w:rFonts w:ascii="Arial Narrow" w:hAnsi="Arial Narrow"/>
                <w:b/>
                <w:bCs/>
                <w:i/>
                <w:iCs/>
                <w:sz w:val="20"/>
                <w:szCs w:val="20"/>
              </w:rPr>
            </w:pPr>
            <w:r w:rsidRPr="00D44EF9">
              <w:rPr>
                <w:rFonts w:ascii="Arial Narrow" w:hAnsi="Arial Narrow"/>
                <w:b/>
                <w:bCs/>
                <w:i/>
                <w:iCs/>
                <w:sz w:val="20"/>
                <w:szCs w:val="20"/>
              </w:rPr>
              <w:t xml:space="preserve">Administrative advice: </w:t>
            </w:r>
          </w:p>
          <w:p w14:paraId="75C8443A" w14:textId="4CD7B37E" w:rsidR="002A187F" w:rsidRPr="00D44EF9" w:rsidRDefault="002A187F">
            <w:pPr>
              <w:ind w:left="-57"/>
              <w:rPr>
                <w:rFonts w:ascii="Arial Narrow" w:hAnsi="Arial Narrow"/>
                <w:i/>
                <w:iCs/>
                <w:sz w:val="20"/>
                <w:szCs w:val="20"/>
              </w:rPr>
            </w:pPr>
            <w:r w:rsidRPr="00D44EF9">
              <w:rPr>
                <w:rFonts w:ascii="Arial Narrow" w:hAnsi="Arial Narrow"/>
                <w:i/>
                <w:iCs/>
                <w:sz w:val="20"/>
                <w:szCs w:val="20"/>
              </w:rPr>
              <w:t>Any queries concerning the arrangements to prescribe may be directed to Services Australia on 1800 700 270 (hours of operation 8 a.m. to 5 p.m. Monday to Friday). </w:t>
            </w:r>
          </w:p>
          <w:p w14:paraId="1EEE5A69" w14:textId="283BAAD3" w:rsidR="002A187F" w:rsidRPr="00D44EF9" w:rsidRDefault="002A187F">
            <w:pPr>
              <w:ind w:left="-57"/>
              <w:rPr>
                <w:rFonts w:ascii="Arial Narrow" w:hAnsi="Arial Narrow"/>
                <w:i/>
                <w:iCs/>
                <w:sz w:val="20"/>
                <w:szCs w:val="20"/>
              </w:rPr>
            </w:pPr>
            <w:r w:rsidRPr="00D44EF9">
              <w:rPr>
                <w:rFonts w:ascii="Arial Narrow" w:hAnsi="Arial Narrow"/>
                <w:i/>
                <w:iCs/>
                <w:sz w:val="20"/>
                <w:szCs w:val="20"/>
              </w:rPr>
              <w:t xml:space="preserve">Prescribing information (including Authority Application forms and other relevant documentation as applicable) is available on the Services Australia website at </w:t>
            </w:r>
            <w:hyperlink r:id="rId11" w:history="1">
              <w:r w:rsidRPr="00D44EF9">
                <w:rPr>
                  <w:rStyle w:val="Hyperlink"/>
                  <w:rFonts w:ascii="Arial Narrow" w:hAnsi="Arial Narrow"/>
                  <w:iCs/>
                  <w:sz w:val="20"/>
                  <w:szCs w:val="20"/>
                </w:rPr>
                <w:t>www.servicesaustralia.gov.au</w:t>
              </w:r>
            </w:hyperlink>
            <w:r w:rsidRPr="00D44EF9">
              <w:rPr>
                <w:rFonts w:ascii="Arial Narrow" w:hAnsi="Arial Narrow"/>
                <w:i/>
                <w:iCs/>
                <w:sz w:val="20"/>
                <w:szCs w:val="20"/>
              </w:rPr>
              <w:t> </w:t>
            </w:r>
          </w:p>
          <w:p w14:paraId="390F3301" w14:textId="2B74B01B" w:rsidR="002A187F" w:rsidRPr="00D44EF9" w:rsidRDefault="002A187F">
            <w:pPr>
              <w:ind w:left="-57"/>
              <w:rPr>
                <w:rFonts w:ascii="Arial Narrow" w:hAnsi="Arial Narrow"/>
                <w:i/>
                <w:iCs/>
                <w:sz w:val="20"/>
                <w:szCs w:val="20"/>
              </w:rPr>
            </w:pPr>
            <w:r w:rsidRPr="00D44EF9">
              <w:rPr>
                <w:rFonts w:ascii="Arial Narrow" w:hAnsi="Arial Narrow"/>
                <w:i/>
                <w:iCs/>
                <w:sz w:val="20"/>
                <w:szCs w:val="20"/>
              </w:rPr>
              <w:t xml:space="preserve">Applications for authorisation under this restriction should be made in real time using the Online PBS Authorities system (see </w:t>
            </w:r>
            <w:hyperlink r:id="rId12" w:history="1">
              <w:r w:rsidRPr="00D44EF9">
                <w:rPr>
                  <w:rStyle w:val="Hyperlink"/>
                  <w:rFonts w:ascii="Arial Narrow" w:hAnsi="Arial Narrow"/>
                  <w:iCs/>
                  <w:sz w:val="20"/>
                  <w:szCs w:val="20"/>
                </w:rPr>
                <w:t>www.servicesaustralia.gov.au/hpos</w:t>
              </w:r>
            </w:hyperlink>
            <w:r w:rsidRPr="00D44EF9">
              <w:rPr>
                <w:rFonts w:ascii="Arial Narrow" w:hAnsi="Arial Narrow"/>
                <w:i/>
                <w:iCs/>
                <w:sz w:val="20"/>
                <w:szCs w:val="20"/>
              </w:rPr>
              <w:t>) </w:t>
            </w:r>
          </w:p>
          <w:p w14:paraId="1724846F" w14:textId="441B3247" w:rsidR="002A187F" w:rsidRPr="00D44EF9" w:rsidRDefault="002A187F">
            <w:pPr>
              <w:ind w:left="-57"/>
              <w:rPr>
                <w:rFonts w:ascii="Arial Narrow" w:hAnsi="Arial Narrow"/>
                <w:i/>
                <w:iCs/>
                <w:sz w:val="20"/>
                <w:szCs w:val="20"/>
              </w:rPr>
            </w:pPr>
            <w:r w:rsidRPr="44072162">
              <w:rPr>
                <w:rFonts w:ascii="Arial Narrow" w:hAnsi="Arial Narrow"/>
                <w:i/>
                <w:iCs/>
                <w:sz w:val="20"/>
                <w:szCs w:val="20"/>
              </w:rPr>
              <w:t xml:space="preserve">Alternatively, applications for authority to prescribe can be submitted online using the form upload facility in Health Professional Online Services (HPOS) at </w:t>
            </w:r>
            <w:hyperlink r:id="rId13">
              <w:r w:rsidRPr="44072162">
                <w:rPr>
                  <w:rStyle w:val="Hyperlink"/>
                  <w:rFonts w:ascii="Arial Narrow" w:hAnsi="Arial Narrow"/>
                  <w:iCs/>
                  <w:sz w:val="20"/>
                  <w:szCs w:val="20"/>
                </w:rPr>
                <w:t>www.servicesaustralia.gov.au/hpos</w:t>
              </w:r>
            </w:hyperlink>
            <w:r w:rsidRPr="44072162">
              <w:rPr>
                <w:rFonts w:ascii="Arial Narrow" w:hAnsi="Arial Narrow"/>
                <w:i/>
                <w:iCs/>
                <w:sz w:val="20"/>
                <w:szCs w:val="20"/>
              </w:rPr>
              <w:t> </w:t>
            </w:r>
          </w:p>
          <w:p w14:paraId="6EF94C58" w14:textId="4B0F7D0F" w:rsidR="002A187F" w:rsidRPr="00D44EF9" w:rsidRDefault="002A187F">
            <w:pPr>
              <w:ind w:left="-57"/>
              <w:rPr>
                <w:rFonts w:ascii="Arial Narrow" w:hAnsi="Arial Narrow"/>
                <w:i/>
                <w:iCs/>
                <w:sz w:val="20"/>
                <w:szCs w:val="20"/>
              </w:rPr>
            </w:pPr>
            <w:r w:rsidRPr="00D44EF9">
              <w:rPr>
                <w:rFonts w:ascii="Arial Narrow" w:hAnsi="Arial Narrow"/>
                <w:i/>
                <w:iCs/>
                <w:sz w:val="20"/>
                <w:szCs w:val="20"/>
              </w:rPr>
              <w:t>Or mailed to: </w:t>
            </w:r>
          </w:p>
          <w:p w14:paraId="6CF2CABF" w14:textId="4C88BBE7" w:rsidR="002A187F" w:rsidRPr="00D44EF9" w:rsidRDefault="002A187F">
            <w:pPr>
              <w:ind w:left="-57"/>
              <w:rPr>
                <w:rFonts w:ascii="Arial Narrow" w:hAnsi="Arial Narrow"/>
                <w:i/>
                <w:iCs/>
                <w:sz w:val="20"/>
                <w:szCs w:val="20"/>
              </w:rPr>
            </w:pPr>
            <w:r w:rsidRPr="00D44EF9">
              <w:rPr>
                <w:rFonts w:ascii="Arial Narrow" w:hAnsi="Arial Narrow"/>
                <w:i/>
                <w:iCs/>
                <w:sz w:val="20"/>
                <w:szCs w:val="20"/>
              </w:rPr>
              <w:t>Services Australia </w:t>
            </w:r>
          </w:p>
          <w:p w14:paraId="3958E81D" w14:textId="15BB2F4E" w:rsidR="002A187F" w:rsidRPr="00D44EF9" w:rsidRDefault="002A187F">
            <w:pPr>
              <w:ind w:left="-57"/>
              <w:rPr>
                <w:rFonts w:ascii="Arial Narrow" w:hAnsi="Arial Narrow"/>
                <w:i/>
                <w:iCs/>
                <w:sz w:val="20"/>
                <w:szCs w:val="20"/>
              </w:rPr>
            </w:pPr>
            <w:r w:rsidRPr="00D44EF9">
              <w:rPr>
                <w:rFonts w:ascii="Arial Narrow" w:hAnsi="Arial Narrow"/>
                <w:i/>
                <w:iCs/>
                <w:sz w:val="20"/>
                <w:szCs w:val="20"/>
              </w:rPr>
              <w:t>Complex Drugs </w:t>
            </w:r>
          </w:p>
          <w:p w14:paraId="22CD7B93" w14:textId="67FCB1D9" w:rsidR="002A187F" w:rsidRPr="00D44EF9" w:rsidRDefault="002A187F">
            <w:pPr>
              <w:ind w:left="-57"/>
              <w:rPr>
                <w:rFonts w:ascii="Arial Narrow" w:hAnsi="Arial Narrow"/>
                <w:i/>
                <w:iCs/>
                <w:sz w:val="20"/>
                <w:szCs w:val="20"/>
              </w:rPr>
            </w:pPr>
            <w:r w:rsidRPr="00D44EF9">
              <w:rPr>
                <w:rFonts w:ascii="Arial Narrow" w:hAnsi="Arial Narrow"/>
                <w:i/>
                <w:iCs/>
                <w:sz w:val="20"/>
                <w:szCs w:val="20"/>
              </w:rPr>
              <w:t>Reply Paid 9826 </w:t>
            </w:r>
          </w:p>
          <w:p w14:paraId="400A847A" w14:textId="41423497" w:rsidR="002A187F" w:rsidRPr="00D44EF9" w:rsidRDefault="002A187F">
            <w:pPr>
              <w:ind w:left="-57"/>
              <w:rPr>
                <w:rFonts w:ascii="Arial Narrow" w:hAnsi="Arial Narrow"/>
                <w:i/>
                <w:iCs/>
                <w:sz w:val="20"/>
                <w:szCs w:val="20"/>
              </w:rPr>
            </w:pPr>
            <w:r w:rsidRPr="00D44EF9">
              <w:rPr>
                <w:rFonts w:ascii="Arial Narrow" w:hAnsi="Arial Narrow"/>
                <w:i/>
                <w:iCs/>
                <w:sz w:val="20"/>
                <w:szCs w:val="20"/>
              </w:rPr>
              <w:t>HOBART TAS 7001</w:t>
            </w:r>
            <w:r w:rsidRPr="00D44EF9">
              <w:rPr>
                <w:rFonts w:ascii="Arial Narrow" w:hAnsi="Arial Narrow"/>
                <w:b/>
                <w:bCs/>
                <w:i/>
                <w:iCs/>
                <w:sz w:val="20"/>
                <w:szCs w:val="20"/>
              </w:rPr>
              <w:t> </w:t>
            </w:r>
          </w:p>
        </w:tc>
      </w:tr>
      <w:tr w:rsidR="002A187F" w:rsidRPr="001428E9" w14:paraId="4A7DFE17" w14:textId="24B71AD6">
        <w:tblPrEx>
          <w:tblCellMar>
            <w:top w:w="15" w:type="dxa"/>
            <w:bottom w:w="15" w:type="dxa"/>
          </w:tblCellMar>
          <w:tblLook w:val="04A0" w:firstRow="1" w:lastRow="0" w:firstColumn="1" w:lastColumn="0" w:noHBand="0" w:noVBand="1"/>
        </w:tblPrEx>
        <w:trPr>
          <w:cantSplit/>
          <w:trHeight w:val="20"/>
        </w:trPr>
        <w:tc>
          <w:tcPr>
            <w:tcW w:w="1273" w:type="dxa"/>
            <w:gridSpan w:val="2"/>
          </w:tcPr>
          <w:p w14:paraId="1DB0A2B9" w14:textId="787946DE" w:rsidR="002A187F" w:rsidRPr="00D44EF9" w:rsidRDefault="002A187F">
            <w:pPr>
              <w:jc w:val="center"/>
              <w:rPr>
                <w:rFonts w:ascii="Arial Narrow" w:hAnsi="Arial Narrow"/>
                <w:bCs/>
                <w:i/>
                <w:iCs/>
                <w:sz w:val="20"/>
                <w:szCs w:val="20"/>
              </w:rPr>
            </w:pPr>
          </w:p>
        </w:tc>
        <w:tc>
          <w:tcPr>
            <w:tcW w:w="7750" w:type="dxa"/>
            <w:gridSpan w:val="6"/>
          </w:tcPr>
          <w:p w14:paraId="1C5F4CFB" w14:textId="32FE47BD" w:rsidR="002A187F" w:rsidRPr="00D44EF9" w:rsidRDefault="002A187F">
            <w:pPr>
              <w:ind w:left="-57"/>
              <w:rPr>
                <w:rFonts w:ascii="Arial Narrow" w:hAnsi="Arial Narrow"/>
                <w:b/>
                <w:bCs/>
                <w:i/>
                <w:iCs/>
                <w:sz w:val="20"/>
                <w:szCs w:val="20"/>
              </w:rPr>
            </w:pPr>
            <w:r w:rsidRPr="00D44EF9">
              <w:rPr>
                <w:rFonts w:ascii="Arial Narrow" w:hAnsi="Arial Narrow"/>
                <w:b/>
                <w:bCs/>
                <w:i/>
                <w:iCs/>
                <w:sz w:val="20"/>
                <w:szCs w:val="20"/>
              </w:rPr>
              <w:t xml:space="preserve">Administrative Advice: </w:t>
            </w:r>
          </w:p>
          <w:p w14:paraId="0F18EE63" w14:textId="1B263B21" w:rsidR="002A187F" w:rsidRPr="00D44EF9" w:rsidRDefault="002A187F">
            <w:pPr>
              <w:ind w:left="-57"/>
              <w:rPr>
                <w:rFonts w:ascii="Arial Narrow" w:hAnsi="Arial Narrow"/>
                <w:b/>
                <w:bCs/>
                <w:i/>
                <w:iCs/>
                <w:sz w:val="20"/>
                <w:szCs w:val="20"/>
              </w:rPr>
            </w:pPr>
            <w:r w:rsidRPr="44072162">
              <w:rPr>
                <w:rFonts w:ascii="Arial Narrow" w:hAnsi="Arial Narrow"/>
                <w:i/>
                <w:iCs/>
                <w:sz w:val="20"/>
                <w:szCs w:val="20"/>
              </w:rPr>
              <w:t>This grandfather restriction will cease to operate from 12 months after the date specified in the clinical criteria.</w:t>
            </w:r>
          </w:p>
        </w:tc>
      </w:tr>
    </w:tbl>
    <w:p w14:paraId="2616A362" w14:textId="0335A2D7" w:rsidR="00A00FC3" w:rsidRDefault="002C1266">
      <w:pPr>
        <w:pStyle w:val="3-BodyText"/>
      </w:pPr>
      <w:bookmarkStart w:id="11" w:name="_Ref190340542"/>
      <w:r w:rsidRPr="2BCE08C6">
        <w:t xml:space="preserve">The submission proposed the published approved ex-manufacturer price (AEMP) for omalizumab for the 75 mg </w:t>
      </w:r>
      <w:r w:rsidR="00391F21">
        <w:t>(</w:t>
      </w:r>
      <w:r w:rsidRPr="2BCE08C6">
        <w:t>$398.59</w:t>
      </w:r>
      <w:r w:rsidR="00391F21">
        <w:t>)</w:t>
      </w:r>
      <w:r w:rsidRPr="2BCE08C6">
        <w:t xml:space="preserve"> and 150 mg </w:t>
      </w:r>
      <w:r w:rsidR="00391F21">
        <w:t>(</w:t>
      </w:r>
      <w:r w:rsidRPr="2BCE08C6">
        <w:t>$797.18</w:t>
      </w:r>
      <w:r w:rsidR="00391F21">
        <w:t>)</w:t>
      </w:r>
      <w:r w:rsidRPr="2BCE08C6">
        <w:t xml:space="preserve"> pre-filled syringes based on the cost-minimisation approach against mepolizumab.</w:t>
      </w:r>
      <w:r w:rsidR="00824290" w:rsidRPr="00824290">
        <w:t xml:space="preserve"> </w:t>
      </w:r>
      <w:r w:rsidR="007F08A9" w:rsidRPr="2BCE08C6">
        <w:t>The submission stated that the published price of mepolizumab was used</w:t>
      </w:r>
      <w:r w:rsidR="007F08A9">
        <w:t>,</w:t>
      </w:r>
      <w:r w:rsidR="007F08A9" w:rsidRPr="2BCE08C6">
        <w:t xml:space="preserve"> as the effective price was not known to the sponsor.</w:t>
      </w:r>
      <w:r w:rsidR="009D6175">
        <w:t xml:space="preserve"> </w:t>
      </w:r>
    </w:p>
    <w:bookmarkEnd w:id="11"/>
    <w:p w14:paraId="31211EE7" w14:textId="3E5481E5" w:rsidR="002C1266" w:rsidRDefault="002C1266" w:rsidP="002C1266">
      <w:pPr>
        <w:pStyle w:val="3-BodyText"/>
      </w:pPr>
      <w:r w:rsidRPr="2BCE08C6">
        <w:t xml:space="preserve">The proposed restriction is broadly in line with the PBS restrictions for mepolizumab for the treatment of </w:t>
      </w:r>
      <w:proofErr w:type="spellStart"/>
      <w:r w:rsidRPr="2BCE08C6">
        <w:t>CRSwNP</w:t>
      </w:r>
      <w:proofErr w:type="spellEnd"/>
      <w:r w:rsidRPr="2BCE08C6">
        <w:t>, except for the proposed removal of the blood eosinophilic count (BEC) threshold (to include patients with &lt;300</w:t>
      </w:r>
      <w:r w:rsidR="006955EC">
        <w:t> </w:t>
      </w:r>
      <w:r w:rsidRPr="2BCE08C6">
        <w:t>cells/</w:t>
      </w:r>
      <w:r w:rsidR="006955EC" w:rsidRPr="2BCE08C6">
        <w:t>µ</w:t>
      </w:r>
      <w:r w:rsidR="006955EC">
        <w:t>L</w:t>
      </w:r>
      <w:r w:rsidRPr="2BCE08C6">
        <w:t xml:space="preserve">) and </w:t>
      </w:r>
      <w:r w:rsidR="002D64F1">
        <w:t xml:space="preserve">the </w:t>
      </w:r>
      <w:r w:rsidRPr="2BCE08C6">
        <w:t>addition of a restriction based on IgE levels (≥30 IU/m</w:t>
      </w:r>
      <w:r w:rsidR="00E824DF" w:rsidRPr="2BCE08C6">
        <w:t>L</w:t>
      </w:r>
      <w:r w:rsidRPr="2BCE08C6">
        <w:t>).</w:t>
      </w:r>
      <w:r w:rsidR="002C2706" w:rsidRPr="0053199B">
        <w:t xml:space="preserve"> </w:t>
      </w:r>
      <w:r w:rsidR="002C2706" w:rsidRPr="00074981">
        <w:t>The ESC considered this difference between the mepolizumab and proposed omalizumab restrictions was reasonable, given the different mechanisms of action. The</w:t>
      </w:r>
      <w:r w:rsidRPr="00074981">
        <w:t xml:space="preserve"> </w:t>
      </w:r>
      <w:r w:rsidR="002C2706" w:rsidRPr="00074981">
        <w:t>c</w:t>
      </w:r>
      <w:r w:rsidR="00AC5FBC" w:rsidRPr="00074981">
        <w:t>urrent restrictions for</w:t>
      </w:r>
      <w:r w:rsidR="00AC5FBC" w:rsidRPr="00074981">
        <w:rPr>
          <w:lang w:val="en-GB"/>
        </w:rPr>
        <w:t xml:space="preserve"> </w:t>
      </w:r>
      <w:r w:rsidR="00AC5FBC" w:rsidRPr="00074981">
        <w:t>mepolizumab</w:t>
      </w:r>
      <w:r w:rsidR="00AC5FBC" w:rsidRPr="00074981">
        <w:rPr>
          <w:lang w:val="en-GB"/>
        </w:rPr>
        <w:t xml:space="preserve"> </w:t>
      </w:r>
      <w:r w:rsidR="002C2706" w:rsidRPr="00074981">
        <w:rPr>
          <w:lang w:val="en-GB"/>
        </w:rPr>
        <w:t xml:space="preserve">also </w:t>
      </w:r>
      <w:r w:rsidR="00AC5FBC" w:rsidRPr="00074981">
        <w:rPr>
          <w:lang w:val="en-GB"/>
        </w:rPr>
        <w:t xml:space="preserve">include: a formalised diagnosis by a </w:t>
      </w:r>
      <w:r w:rsidR="00AE3749" w:rsidRPr="00074981">
        <w:rPr>
          <w:lang w:val="en-GB"/>
        </w:rPr>
        <w:t xml:space="preserve">medical practitioner </w:t>
      </w:r>
      <w:r w:rsidR="00AE3749" w:rsidRPr="00074981">
        <w:t xml:space="preserve">experienced in the management of patients with </w:t>
      </w:r>
      <w:proofErr w:type="spellStart"/>
      <w:r w:rsidR="00AE3749" w:rsidRPr="00074981">
        <w:t>CRSwNP</w:t>
      </w:r>
      <w:proofErr w:type="spellEnd"/>
      <w:r w:rsidR="00F55D9D" w:rsidRPr="00074981">
        <w:rPr>
          <w:lang w:val="en-GB"/>
        </w:rPr>
        <w:t>,</w:t>
      </w:r>
      <w:r w:rsidR="00AC5FBC" w:rsidRPr="00074981">
        <w:rPr>
          <w:lang w:val="en-GB"/>
        </w:rPr>
        <w:t xml:space="preserve"> prior surgery (or two physicians who say surgery is inappropriate), meeting threshold score on one objective (NPS) and two symptom (NO-VAS, overall-VAS) scores.</w:t>
      </w:r>
      <w:r w:rsidR="00942F25">
        <w:rPr>
          <w:i/>
          <w:iCs/>
        </w:rPr>
        <w:t xml:space="preserve"> </w:t>
      </w:r>
      <w:r w:rsidR="002C2706">
        <w:rPr>
          <w:i/>
          <w:iCs/>
          <w:lang w:val="en-GB"/>
        </w:rPr>
        <w:t xml:space="preserve"> </w:t>
      </w:r>
    </w:p>
    <w:p w14:paraId="40BBC005" w14:textId="4B0811FF" w:rsidR="003B68CC" w:rsidRDefault="003B68CC" w:rsidP="002C1266">
      <w:pPr>
        <w:pStyle w:val="3-BodyText"/>
      </w:pPr>
      <w:r w:rsidRPr="00A556BB">
        <w:t xml:space="preserve">The </w:t>
      </w:r>
      <w:r w:rsidR="009B5216">
        <w:t xml:space="preserve">submission justified the </w:t>
      </w:r>
      <w:r w:rsidRPr="00A556BB">
        <w:t xml:space="preserve">difference in criteria </w:t>
      </w:r>
      <w:r w:rsidR="009B5216">
        <w:t>given</w:t>
      </w:r>
      <w:r w:rsidRPr="00A556BB">
        <w:t xml:space="preserve"> differences between the treatments in terms of mechanism of action: omalizumab primarily involves targeting and inhibiting the activity of IgE, while mepolizumab targets IL-5, which is critical for eosinophil activation and survival. This acknowledgement of difference has been </w:t>
      </w:r>
      <w:r w:rsidRPr="00A556BB">
        <w:lastRenderedPageBreak/>
        <w:t>previously applied in the restrictions for severe asthma and been accepted by the PBAC</w:t>
      </w:r>
      <w:r w:rsidR="00BB3068">
        <w:t xml:space="preserve"> (para 7.2,</w:t>
      </w:r>
      <w:r w:rsidR="00BB3068" w:rsidRPr="00BB3068">
        <w:t xml:space="preserve"> mepolizumab PSD, </w:t>
      </w:r>
      <w:r w:rsidR="00BB3068">
        <w:t>March 2016</w:t>
      </w:r>
      <w:r w:rsidR="00BB3068" w:rsidRPr="00BB3068">
        <w:t xml:space="preserve"> PBAC meeting</w:t>
      </w:r>
      <w:r w:rsidR="00BB3068">
        <w:t>)</w:t>
      </w:r>
      <w:r w:rsidRPr="00A556BB">
        <w:t>.</w:t>
      </w:r>
    </w:p>
    <w:p w14:paraId="29B782F9" w14:textId="1D9DC69E" w:rsidR="006C1CF2" w:rsidRPr="006C1CF2" w:rsidRDefault="002C1266" w:rsidP="006C1CF2">
      <w:pPr>
        <w:pStyle w:val="3-BodyText"/>
        <w:rPr>
          <w:i/>
          <w:iCs/>
        </w:rPr>
      </w:pPr>
      <w:r w:rsidRPr="2BCE08C6">
        <w:t>The submission’s expanded</w:t>
      </w:r>
      <w:r w:rsidR="00332A9D">
        <w:t xml:space="preserve"> listing with removal of</w:t>
      </w:r>
      <w:r w:rsidRPr="2BCE08C6">
        <w:t xml:space="preserve"> BEC threshold </w:t>
      </w:r>
      <w:r w:rsidR="2DF00A6D" w:rsidRPr="2BCE08C6">
        <w:t>was</w:t>
      </w:r>
      <w:r w:rsidR="00332A9D">
        <w:t xml:space="preserve"> </w:t>
      </w:r>
      <w:r w:rsidR="00332A9D" w:rsidRPr="00C77C9F">
        <w:t>also</w:t>
      </w:r>
      <w:r w:rsidR="2DF00A6D" w:rsidRPr="00C77C9F">
        <w:t xml:space="preserve"> </w:t>
      </w:r>
      <w:r w:rsidR="00A10CD0" w:rsidRPr="00C77C9F">
        <w:t xml:space="preserve">based </w:t>
      </w:r>
      <w:r w:rsidR="2DF00A6D" w:rsidRPr="00C77C9F">
        <w:t xml:space="preserve">on </w:t>
      </w:r>
      <w:r w:rsidR="00332A9D" w:rsidRPr="00C77C9F">
        <w:t xml:space="preserve">post-hoc </w:t>
      </w:r>
      <w:r w:rsidR="00D274ED" w:rsidRPr="00C77C9F">
        <w:t>an</w:t>
      </w:r>
      <w:r w:rsidR="009E1756" w:rsidRPr="00C77C9F">
        <w:t>a</w:t>
      </w:r>
      <w:r w:rsidR="00D274ED" w:rsidRPr="00C77C9F">
        <w:t>lyses</w:t>
      </w:r>
      <w:r w:rsidRPr="00C77C9F">
        <w:t xml:space="preserve"> from the pivotal clinical trials (POLYP 1 and POLYP 2)</w:t>
      </w:r>
      <w:r w:rsidR="007401CF">
        <w:t>.</w:t>
      </w:r>
      <w:r w:rsidRPr="00C77C9F" w:rsidDel="00332A9D">
        <w:t xml:space="preserve"> </w:t>
      </w:r>
      <w:r w:rsidR="0075151B" w:rsidRPr="00470424">
        <w:t>T</w:t>
      </w:r>
      <w:r w:rsidRPr="00470424">
        <w:t xml:space="preserve">he </w:t>
      </w:r>
      <w:r w:rsidR="00DF3B63" w:rsidRPr="00470424">
        <w:t>PBAC previously recommended</w:t>
      </w:r>
      <w:r w:rsidRPr="00470424" w:rsidDel="00DF3B63">
        <w:t xml:space="preserve"> </w:t>
      </w:r>
      <w:r w:rsidR="00CB0E30" w:rsidRPr="00470424">
        <w:t xml:space="preserve">mepolizumab </w:t>
      </w:r>
      <w:r w:rsidR="00376525" w:rsidRPr="00470424">
        <w:t xml:space="preserve">for </w:t>
      </w:r>
      <w:proofErr w:type="spellStart"/>
      <w:r w:rsidRPr="00470424">
        <w:t>CRSwNP</w:t>
      </w:r>
      <w:proofErr w:type="spellEnd"/>
      <w:r w:rsidRPr="00470424">
        <w:t xml:space="preserve"> </w:t>
      </w:r>
      <w:r w:rsidR="00E64D29" w:rsidRPr="00470424">
        <w:t xml:space="preserve">include </w:t>
      </w:r>
      <w:r w:rsidRPr="00470424">
        <w:t>a BEC threshold of ≥</w:t>
      </w:r>
      <w:r w:rsidR="00983E3D" w:rsidRPr="00470424">
        <w:t>300</w:t>
      </w:r>
      <w:r w:rsidR="00983E3D">
        <w:t> </w:t>
      </w:r>
      <w:r w:rsidRPr="00470424">
        <w:t>cells/µL (para 7.1, mepolizumab, PSD, November 2021 PBAC meeting; para</w:t>
      </w:r>
      <w:r w:rsidR="00B53F3F" w:rsidRPr="00470424">
        <w:t>s 3.9 and</w:t>
      </w:r>
      <w:r w:rsidRPr="00470424">
        <w:t xml:space="preserve"> 7.4, mepolizumab PSD, November 2022 PBAC meeting). </w:t>
      </w:r>
      <w:r w:rsidRPr="00CE63D3">
        <w:t xml:space="preserve">The European Forum for Research and Education in Allergy and Airway Disease </w:t>
      </w:r>
      <w:r w:rsidR="00D6254E" w:rsidRPr="00CE63D3">
        <w:t>(</w:t>
      </w:r>
      <w:r w:rsidRPr="00CE63D3">
        <w:t>EUROFEA</w:t>
      </w:r>
      <w:r w:rsidR="00835A27" w:rsidRPr="00CE63D3">
        <w:t>)</w:t>
      </w:r>
      <w:r w:rsidRPr="00CE63D3">
        <w:t xml:space="preserve"> 2023 treatment</w:t>
      </w:r>
      <w:r w:rsidRPr="00CE63D3">
        <w:rPr>
          <w:i/>
          <w:iCs/>
        </w:rPr>
        <w:t xml:space="preserve"> </w:t>
      </w:r>
      <w:r w:rsidRPr="00CE63D3">
        <w:t>guideline recommends</w:t>
      </w:r>
      <w:r w:rsidR="00D41C85" w:rsidRPr="00CE63D3">
        <w:t xml:space="preserve">, </w:t>
      </w:r>
      <w:r w:rsidR="00BA72C0" w:rsidRPr="00CE63D3">
        <w:t>as p</w:t>
      </w:r>
      <w:r w:rsidR="00D41C85" w:rsidRPr="00CE63D3">
        <w:t>otential criteri</w:t>
      </w:r>
      <w:r w:rsidR="00B611EF" w:rsidRPr="00CE63D3">
        <w:t>a,</w:t>
      </w:r>
      <w:r w:rsidRPr="00CE63D3" w:rsidDel="00996804">
        <w:t xml:space="preserve"> </w:t>
      </w:r>
      <w:r w:rsidRPr="00CE63D3">
        <w:t xml:space="preserve">a BEC threshold of ≥150 cells/µL </w:t>
      </w:r>
      <w:r w:rsidR="00FA3378" w:rsidRPr="00CE63D3">
        <w:t xml:space="preserve">or IgE ≥100 IU/mL or tissue </w:t>
      </w:r>
      <w:proofErr w:type="spellStart"/>
      <w:r w:rsidR="00FA3378" w:rsidRPr="00CE63D3">
        <w:t>eos</w:t>
      </w:r>
      <w:proofErr w:type="spellEnd"/>
      <w:r w:rsidR="00FA3378" w:rsidRPr="00CE63D3">
        <w:t xml:space="preserve"> of ≥10 </w:t>
      </w:r>
      <w:proofErr w:type="spellStart"/>
      <w:r w:rsidR="00FA3378" w:rsidRPr="00CE63D3">
        <w:t>hpf</w:t>
      </w:r>
      <w:proofErr w:type="spellEnd"/>
      <w:r w:rsidR="00FA3378" w:rsidRPr="00CE63D3">
        <w:t xml:space="preserve">) </w:t>
      </w:r>
      <w:r w:rsidRPr="00CE63D3">
        <w:t xml:space="preserve">for use of biologics for treatment of </w:t>
      </w:r>
      <w:proofErr w:type="spellStart"/>
      <w:r w:rsidRPr="00CE63D3">
        <w:t>CRSwNP</w:t>
      </w:r>
      <w:proofErr w:type="spellEnd"/>
      <w:r w:rsidRPr="007F6B41">
        <w:t xml:space="preserve">. </w:t>
      </w:r>
      <w:r w:rsidR="00A0647F" w:rsidRPr="007F6B41">
        <w:t>Th</w:t>
      </w:r>
      <w:r w:rsidR="00A5223E" w:rsidRPr="007F6B41">
        <w:t xml:space="preserve">e </w:t>
      </w:r>
      <w:r w:rsidR="00E44E0F" w:rsidRPr="007F6B41">
        <w:t xml:space="preserve">2021 </w:t>
      </w:r>
      <w:r w:rsidRPr="007F6B41">
        <w:t>Austral</w:t>
      </w:r>
      <w:r w:rsidR="00B27D56" w:rsidRPr="007F6B41">
        <w:t>as</w:t>
      </w:r>
      <w:r w:rsidRPr="007F6B41">
        <w:t>ian</w:t>
      </w:r>
      <w:r w:rsidR="00681D2F" w:rsidRPr="007F6B41">
        <w:t xml:space="preserve"> Society</w:t>
      </w:r>
      <w:r w:rsidR="00250A7C" w:rsidRPr="007F6B41">
        <w:t xml:space="preserve"> of Clinical Imm</w:t>
      </w:r>
      <w:r w:rsidR="00501FF5" w:rsidRPr="007F6B41">
        <w:t>unology</w:t>
      </w:r>
      <w:r w:rsidR="007E73D3" w:rsidRPr="007F6B41">
        <w:t xml:space="preserve"> </w:t>
      </w:r>
      <w:r w:rsidR="008B2402" w:rsidRPr="007F6B41">
        <w:t>and Allergy</w:t>
      </w:r>
      <w:r w:rsidR="00093C6D" w:rsidRPr="007F6B41">
        <w:t xml:space="preserve"> </w:t>
      </w:r>
      <w:r w:rsidR="008B2402" w:rsidRPr="007F6B41">
        <w:t>(</w:t>
      </w:r>
      <w:r w:rsidR="00C252D1" w:rsidRPr="007F6B41">
        <w:t>A</w:t>
      </w:r>
      <w:r w:rsidR="00DE440A" w:rsidRPr="007F6B41">
        <w:t>S</w:t>
      </w:r>
      <w:r w:rsidR="00C252D1" w:rsidRPr="007F6B41">
        <w:t>CIA</w:t>
      </w:r>
      <w:r w:rsidR="00DE440A" w:rsidRPr="007F6B41">
        <w:t>)</w:t>
      </w:r>
      <w:r w:rsidR="00116311" w:rsidRPr="007F6B41">
        <w:t xml:space="preserve"> Position </w:t>
      </w:r>
      <w:r w:rsidR="00663FEF" w:rsidRPr="007F6B41">
        <w:t xml:space="preserve">Paper on </w:t>
      </w:r>
      <w:proofErr w:type="spellStart"/>
      <w:r w:rsidR="00663FEF" w:rsidRPr="007F6B41">
        <w:t>CRSwNP</w:t>
      </w:r>
      <w:proofErr w:type="spellEnd"/>
      <w:r w:rsidR="007E73D3" w:rsidRPr="007F6B41">
        <w:t xml:space="preserve"> </w:t>
      </w:r>
      <w:r w:rsidR="004B7569" w:rsidRPr="007F6B41">
        <w:t>does not re</w:t>
      </w:r>
      <w:r w:rsidR="002202EF" w:rsidRPr="007F6B41">
        <w:t xml:space="preserve">commend any </w:t>
      </w:r>
      <w:r w:rsidR="00B91680" w:rsidRPr="007F6B41">
        <w:t>specific</w:t>
      </w:r>
      <w:r w:rsidR="002202EF" w:rsidRPr="007F6B41">
        <w:t xml:space="preserve"> thresholds</w:t>
      </w:r>
      <w:r w:rsidRPr="007F6B41">
        <w:t>.</w:t>
      </w:r>
      <w:r w:rsidR="006C1CF2" w:rsidRPr="006C1CF2">
        <w:rPr>
          <w:i/>
          <w:iCs/>
        </w:rPr>
        <w:t xml:space="preserve">  </w:t>
      </w:r>
    </w:p>
    <w:p w14:paraId="6E109A77" w14:textId="525D4A72" w:rsidR="002C1266" w:rsidRPr="007F6B41" w:rsidRDefault="002C1266" w:rsidP="002C1266">
      <w:pPr>
        <w:pStyle w:val="3-BodyText"/>
      </w:pPr>
      <w:r w:rsidRPr="2BCE08C6">
        <w:t>The submission’s proposed restriction for an IgE threshold of ≥30 IU/m</w:t>
      </w:r>
      <w:r w:rsidR="00E824DF" w:rsidRPr="2BCE08C6">
        <w:t>L</w:t>
      </w:r>
      <w:r w:rsidRPr="2BCE08C6">
        <w:t xml:space="preserve"> was based on the current omalizumab PBS restrictions for asthma. </w:t>
      </w:r>
      <w:r w:rsidR="0060197A" w:rsidRPr="007F6B41">
        <w:t xml:space="preserve">This </w:t>
      </w:r>
      <w:r w:rsidRPr="007F6B41">
        <w:t>threshold aligns with the inclusion criteria in the POLYP trials; however, it is lower than the European recommended threshold of IgE ≥100 IU/m</w:t>
      </w:r>
      <w:r w:rsidR="00E824DF" w:rsidRPr="007F6B41">
        <w:t>L</w:t>
      </w:r>
      <w:r w:rsidRPr="007F6B41">
        <w:t xml:space="preserve"> (EUROFEA, 2023). The PBS listing for mepolizumab for treatment of </w:t>
      </w:r>
      <w:proofErr w:type="spellStart"/>
      <w:r w:rsidRPr="007F6B41">
        <w:t>CRSwNP</w:t>
      </w:r>
      <w:proofErr w:type="spellEnd"/>
      <w:r w:rsidRPr="007F6B41">
        <w:t xml:space="preserve"> does not specify an IgE threshold. </w:t>
      </w:r>
      <w:r w:rsidR="00C2342E" w:rsidRPr="00074981">
        <w:t xml:space="preserve">The ESC noted that IgE ≥100 IU/mL was only one of five criteria in the EUFOREA guidance which included demonstrating evidence of type 2 inflammation. Given the high degree of overlap between </w:t>
      </w:r>
      <w:proofErr w:type="spellStart"/>
      <w:r w:rsidR="00C2342E" w:rsidRPr="00074981">
        <w:t>CRSwNP</w:t>
      </w:r>
      <w:proofErr w:type="spellEnd"/>
      <w:r w:rsidR="00C2342E" w:rsidRPr="00074981">
        <w:t xml:space="preserve"> and asthma</w:t>
      </w:r>
      <w:r w:rsidR="00B909F7">
        <w:t>,</w:t>
      </w:r>
      <w:r w:rsidR="0004162F">
        <w:t xml:space="preserve"> ESC considered that</w:t>
      </w:r>
      <w:r w:rsidR="00C2342E" w:rsidRPr="00074981">
        <w:t xml:space="preserve"> using the same IgE threshold as currently used for asthma would be appropriate.</w:t>
      </w:r>
    </w:p>
    <w:p w14:paraId="0E02C976" w14:textId="697DDEDC" w:rsidR="002C1266" w:rsidRPr="00781EAB" w:rsidRDefault="00821BEC" w:rsidP="002C1266">
      <w:pPr>
        <w:pStyle w:val="3-BodyText"/>
      </w:pPr>
      <w:r w:rsidRPr="00E21798">
        <w:t>As</w:t>
      </w:r>
      <w:r w:rsidRPr="007F6B41">
        <w:t xml:space="preserve"> well as an IgE threshold of ≥30 IU/mL</w:t>
      </w:r>
      <w:r w:rsidR="006172DD" w:rsidRPr="007F6B41">
        <w:t>,</w:t>
      </w:r>
      <w:r w:rsidRPr="007F6B41">
        <w:t xml:space="preserve"> </w:t>
      </w:r>
      <w:r w:rsidR="000237E2" w:rsidRPr="007F6B41">
        <w:t>e</w:t>
      </w:r>
      <w:r w:rsidR="00911DE3" w:rsidRPr="007F6B41">
        <w:t>ligibility criteria for t</w:t>
      </w:r>
      <w:r w:rsidR="002C1266" w:rsidRPr="007F6B41">
        <w:t xml:space="preserve">he pivotal clinical trials (POLYP 1 and POLYP 2) for omalizumab included </w:t>
      </w:r>
      <w:r w:rsidR="00431EED" w:rsidRPr="007F6B41">
        <w:t xml:space="preserve">a </w:t>
      </w:r>
      <w:r w:rsidR="002C1266" w:rsidRPr="007F6B41">
        <w:t xml:space="preserve">Nasal Polyp Score (NPS) of ≥5, Sinonasal Outcome Test (SNOT-22) score </w:t>
      </w:r>
      <w:r w:rsidR="002C1266" w:rsidRPr="007F6B41">
        <w:rPr>
          <w:rFonts w:cs="Calibri"/>
        </w:rPr>
        <w:t>≥</w:t>
      </w:r>
      <w:r w:rsidR="002C1266" w:rsidRPr="007F6B41">
        <w:t xml:space="preserve">20 and nasal congestion score (NCS) ≥2. While the </w:t>
      </w:r>
      <w:r w:rsidR="000309CB" w:rsidRPr="007F6B41">
        <w:t xml:space="preserve">PBS </w:t>
      </w:r>
      <w:r w:rsidR="002C1266" w:rsidRPr="007F6B41">
        <w:t xml:space="preserve">clinical criteria for NPS was </w:t>
      </w:r>
      <w:r w:rsidR="00881233" w:rsidRPr="007F6B41">
        <w:t>included</w:t>
      </w:r>
      <w:r w:rsidR="002C1266" w:rsidRPr="007F6B41">
        <w:t>, the</w:t>
      </w:r>
      <w:r w:rsidR="00876593" w:rsidRPr="007F6B41">
        <w:t xml:space="preserve"> </w:t>
      </w:r>
      <w:r w:rsidR="000D1871" w:rsidRPr="007F6B41">
        <w:t>two</w:t>
      </w:r>
      <w:r w:rsidR="002C1266" w:rsidRPr="007F6B41">
        <w:t xml:space="preserve"> trial population</w:t>
      </w:r>
      <w:r w:rsidR="009D4A91" w:rsidRPr="007F6B41">
        <w:t>s</w:t>
      </w:r>
      <w:r w:rsidR="002C1266" w:rsidRPr="007F6B41">
        <w:t xml:space="preserve"> may have included patients </w:t>
      </w:r>
      <w:r w:rsidR="008664EA" w:rsidRPr="007F6B41">
        <w:t xml:space="preserve">with </w:t>
      </w:r>
      <w:r w:rsidR="002C1266" w:rsidRPr="007F6B41">
        <w:t>moderate to severe disease based on the SNOT-22 score classification: Mild (8 to 20), Moderate (&gt;20 to 50) and Severe (&gt;50)</w:t>
      </w:r>
      <w:bookmarkStart w:id="12" w:name="_Ref190424975"/>
      <w:r w:rsidR="002C1266" w:rsidRPr="007F6B41">
        <w:rPr>
          <w:rStyle w:val="FootnoteReference"/>
        </w:rPr>
        <w:footnoteReference w:id="3"/>
      </w:r>
      <w:bookmarkEnd w:id="12"/>
      <w:r w:rsidR="002C1266" w:rsidRPr="007F6B41">
        <w:t xml:space="preserve">. </w:t>
      </w:r>
      <w:r w:rsidR="002C1266" w:rsidRPr="00781EAB">
        <w:t xml:space="preserve">The EUROFEA 2023 guidance on biologicals for </w:t>
      </w:r>
      <w:proofErr w:type="spellStart"/>
      <w:r w:rsidR="002C1266" w:rsidRPr="00781EAB">
        <w:t>CRSwNP</w:t>
      </w:r>
      <w:proofErr w:type="spellEnd"/>
      <w:r w:rsidR="002C1266" w:rsidRPr="00781EAB">
        <w:t xml:space="preserve"> recommends a SNOT-22 score </w:t>
      </w:r>
      <w:r w:rsidR="002C1266" w:rsidRPr="00781EAB">
        <w:rPr>
          <w:rFonts w:cs="Calibri"/>
        </w:rPr>
        <w:t>≥</w:t>
      </w:r>
      <w:r w:rsidR="002C1266" w:rsidRPr="00781EAB">
        <w:t xml:space="preserve">40 for </w:t>
      </w:r>
      <w:r w:rsidR="00357965" w:rsidRPr="00781EAB">
        <w:t xml:space="preserve">biologic </w:t>
      </w:r>
      <w:r w:rsidR="002C1266" w:rsidRPr="00781EAB">
        <w:t xml:space="preserve">treatment eligibility. </w:t>
      </w:r>
    </w:p>
    <w:p w14:paraId="1BF75BA8" w14:textId="3829DC48" w:rsidR="002C1266" w:rsidRPr="007F6B41" w:rsidRDefault="002C1266" w:rsidP="002C1266">
      <w:pPr>
        <w:pStyle w:val="3-BodyText"/>
      </w:pPr>
      <w:r w:rsidRPr="007F6B41">
        <w:t>The lack of consistency</w:t>
      </w:r>
      <w:r w:rsidRPr="007F6B41" w:rsidDel="003D35D4">
        <w:t xml:space="preserve"> </w:t>
      </w:r>
      <w:r w:rsidRPr="007F6B41">
        <w:t>in the definition of disease severity</w:t>
      </w:r>
      <w:r w:rsidR="003D35D4" w:rsidRPr="007F6B41">
        <w:t xml:space="preserve"> across studies investigating </w:t>
      </w:r>
      <w:r w:rsidR="00165D72" w:rsidRPr="007F6B41">
        <w:t>use of biologics to treat</w:t>
      </w:r>
      <w:r w:rsidRPr="007F6B41">
        <w:t xml:space="preserve"> </w:t>
      </w:r>
      <w:proofErr w:type="spellStart"/>
      <w:r w:rsidRPr="007F6B41">
        <w:t>CRSwNP</w:t>
      </w:r>
      <w:proofErr w:type="spellEnd"/>
      <w:r w:rsidRPr="007F6B41">
        <w:t xml:space="preserve"> was similarly raised in the TGA Delegate’s Overview </w:t>
      </w:r>
      <w:r w:rsidR="001D23DD" w:rsidRPr="007F6B41">
        <w:t>which</w:t>
      </w:r>
      <w:r w:rsidR="003160C3" w:rsidRPr="007F6B41">
        <w:t xml:space="preserve"> noted that on the basis of prior surgery and systemic corticosteroid use, populations with more severe disease were investigated in the mepolizumab studies </w:t>
      </w:r>
      <w:r w:rsidRPr="007F6B41">
        <w:t>(omalizumab Delegate’s Overview for ACM’s advice)</w:t>
      </w:r>
      <w:r w:rsidR="00491BF5" w:rsidRPr="007F6B41">
        <w:t>.</w:t>
      </w:r>
      <w:r w:rsidRPr="007F6B41">
        <w:t xml:space="preserve"> </w:t>
      </w:r>
      <w:r w:rsidR="00491BF5" w:rsidRPr="007F6B41">
        <w:t>D</w:t>
      </w:r>
      <w:r w:rsidRPr="007F6B41">
        <w:t>espite concerns about the severity criteria</w:t>
      </w:r>
      <w:r w:rsidR="005203AB" w:rsidRPr="007F6B41">
        <w:t>,</w:t>
      </w:r>
      <w:r w:rsidRPr="007F6B41">
        <w:t xml:space="preserve"> </w:t>
      </w:r>
      <w:r w:rsidR="004421B1" w:rsidRPr="007F6B41">
        <w:t>the Delegate</w:t>
      </w:r>
      <w:r w:rsidRPr="007F6B41">
        <w:t xml:space="preserve"> concluded that patients enrolled in the POLYP trials should be considered as having “severe” disease based on baseline severity scores.</w:t>
      </w:r>
    </w:p>
    <w:p w14:paraId="7B8400D0" w14:textId="00B97D49" w:rsidR="002C1266" w:rsidRPr="00074981" w:rsidRDefault="002C1266" w:rsidP="002C1266">
      <w:pPr>
        <w:pStyle w:val="3-BodyText"/>
      </w:pPr>
      <w:bookmarkStart w:id="13" w:name="_Ref192170917"/>
      <w:r w:rsidRPr="007F6B41">
        <w:lastRenderedPageBreak/>
        <w:t>Based on the proposed PBS restriction for omalizumab, some current mepolizumab patients would not meet the proposed omalizumab eligibility criteria (i.e.,</w:t>
      </w:r>
      <w:r w:rsidR="00CD77DB" w:rsidRPr="007F6B41">
        <w:t xml:space="preserve"> IgE </w:t>
      </w:r>
      <w:r w:rsidRPr="007F6B41" w:rsidDel="003C0765">
        <w:t>&lt;</w:t>
      </w:r>
      <w:r w:rsidR="003F238C">
        <w:t> </w:t>
      </w:r>
      <w:r w:rsidR="003F238C" w:rsidRPr="007F6B41" w:rsidDel="003C0765">
        <w:t>30</w:t>
      </w:r>
      <w:r w:rsidR="003F238C">
        <w:t> </w:t>
      </w:r>
      <w:r w:rsidRPr="007F6B41" w:rsidDel="003C0765">
        <w:t>IU/mL</w:t>
      </w:r>
      <w:r w:rsidRPr="007F6B41">
        <w:t xml:space="preserve">) and there will be </w:t>
      </w:r>
      <w:r w:rsidRPr="007F6B41" w:rsidDel="00710460">
        <w:t>additional</w:t>
      </w:r>
      <w:r w:rsidR="00710460" w:rsidRPr="007F6B41">
        <w:t xml:space="preserve"> </w:t>
      </w:r>
      <w:r w:rsidRPr="007F6B41">
        <w:t xml:space="preserve">patients who will </w:t>
      </w:r>
      <w:r w:rsidR="00DE3D37" w:rsidRPr="007F6B41">
        <w:t xml:space="preserve">only </w:t>
      </w:r>
      <w:r w:rsidRPr="007F6B41">
        <w:t xml:space="preserve">be able to access omalizumab (i.e., BEC &lt;300 cells/µL and IgE ≥30 IU/mL). </w:t>
      </w:r>
      <w:r w:rsidR="00480691" w:rsidRPr="00822522">
        <w:t xml:space="preserve">Overall, </w:t>
      </w:r>
      <w:r w:rsidR="00C73CCE" w:rsidRPr="00822522">
        <w:t>t</w:t>
      </w:r>
      <w:r w:rsidRPr="00822522">
        <w:t xml:space="preserve">his would result in a larger treatment population than the current PBS population for </w:t>
      </w:r>
      <w:proofErr w:type="spellStart"/>
      <w:r w:rsidRPr="00822522">
        <w:t>CRSwNP</w:t>
      </w:r>
      <w:proofErr w:type="spellEnd"/>
      <w:r w:rsidRPr="00822522">
        <w:t xml:space="preserve"> which </w:t>
      </w:r>
      <w:r w:rsidR="00E94E4F" w:rsidRPr="00822522">
        <w:t xml:space="preserve">would </w:t>
      </w:r>
      <w:r w:rsidRPr="00822522">
        <w:t xml:space="preserve">have financial implications and </w:t>
      </w:r>
      <w:r w:rsidR="00066ED1" w:rsidRPr="00822522">
        <w:t xml:space="preserve">potentially </w:t>
      </w:r>
      <w:r w:rsidRPr="00822522">
        <w:t>impact the financial caps in place for mepolizumab.</w:t>
      </w:r>
      <w:bookmarkEnd w:id="13"/>
      <w:r w:rsidR="00822522">
        <w:t xml:space="preserve"> </w:t>
      </w:r>
      <w:r w:rsidR="00AC0D59" w:rsidRPr="00074981">
        <w:t>The E</w:t>
      </w:r>
      <w:r w:rsidR="00F14CFD" w:rsidRPr="00074981">
        <w:t>SC</w:t>
      </w:r>
      <w:r w:rsidR="00AC0D59" w:rsidRPr="00074981">
        <w:t xml:space="preserve"> consider</w:t>
      </w:r>
      <w:r w:rsidR="00F14CFD" w:rsidRPr="00074981">
        <w:t>ed the difference in the restrictions</w:t>
      </w:r>
      <w:r w:rsidR="00AC0D59" w:rsidRPr="00074981">
        <w:t xml:space="preserve"> was acceptable</w:t>
      </w:r>
      <w:r w:rsidR="003E39FE" w:rsidRPr="00074981">
        <w:t xml:space="preserve">, </w:t>
      </w:r>
      <w:r w:rsidR="00F14CFD" w:rsidRPr="00074981">
        <w:t xml:space="preserve">however </w:t>
      </w:r>
      <w:r w:rsidR="00F76226" w:rsidRPr="00074981">
        <w:t xml:space="preserve">the magnitude of the </w:t>
      </w:r>
      <w:r w:rsidR="00CB3DB3" w:rsidRPr="00074981">
        <w:t xml:space="preserve">potential </w:t>
      </w:r>
      <w:r w:rsidR="00F76226" w:rsidRPr="00074981">
        <w:t xml:space="preserve">increase </w:t>
      </w:r>
      <w:r w:rsidR="001D07E8" w:rsidRPr="00074981">
        <w:t>in t</w:t>
      </w:r>
      <w:r w:rsidR="00CA4425" w:rsidRPr="00074981">
        <w:t xml:space="preserve">he treatment population </w:t>
      </w:r>
      <w:r w:rsidR="00F76226" w:rsidRPr="00074981">
        <w:t>was unc</w:t>
      </w:r>
      <w:r w:rsidR="00CA4425" w:rsidRPr="00074981">
        <w:t>lear</w:t>
      </w:r>
      <w:r w:rsidR="00BC0F54" w:rsidRPr="00074981">
        <w:t xml:space="preserve"> (see</w:t>
      </w:r>
      <w:r w:rsidR="000B4C98" w:rsidRPr="00074981">
        <w:t xml:space="preserve"> paragraph </w:t>
      </w:r>
      <w:r w:rsidR="000B4C98" w:rsidRPr="00074981">
        <w:fldChar w:fldCharType="begin"/>
      </w:r>
      <w:r w:rsidR="000B4C98" w:rsidRPr="00074981">
        <w:instrText xml:space="preserve"> REF _Ref195539351 \r \h </w:instrText>
      </w:r>
      <w:r w:rsidR="00074981">
        <w:instrText xml:space="preserve"> \* MERGEFORMAT </w:instrText>
      </w:r>
      <w:r w:rsidR="000B4C98" w:rsidRPr="00074981">
        <w:fldChar w:fldCharType="separate"/>
      </w:r>
      <w:r w:rsidR="00CE52BF">
        <w:t>6.84</w:t>
      </w:r>
      <w:r w:rsidR="000B4C98" w:rsidRPr="00074981">
        <w:fldChar w:fldCharType="end"/>
      </w:r>
      <w:r w:rsidR="000B4C98" w:rsidRPr="00074981">
        <w:t>)</w:t>
      </w:r>
      <w:r w:rsidR="002E7C93" w:rsidRPr="00074981">
        <w:t>.</w:t>
      </w:r>
      <w:r w:rsidR="00F14CFD" w:rsidRPr="00074981">
        <w:t xml:space="preserve"> </w:t>
      </w:r>
    </w:p>
    <w:p w14:paraId="3B0857EE" w14:textId="33E653CC" w:rsidR="00E2740B" w:rsidRPr="00074981" w:rsidRDefault="00E2740B" w:rsidP="00E2740B">
      <w:pPr>
        <w:pStyle w:val="3-BodyText"/>
      </w:pPr>
      <w:r w:rsidRPr="00074981">
        <w:t>New pre-filled syringe (PFS) and pre-filled pen (PFP) forms and a new 300</w:t>
      </w:r>
      <w:r w:rsidR="003E1DA6">
        <w:t> </w:t>
      </w:r>
      <w:r w:rsidRPr="00074981">
        <w:t>mg/</w:t>
      </w:r>
      <w:r w:rsidR="003F238C" w:rsidRPr="00074981">
        <w:t>2</w:t>
      </w:r>
      <w:r w:rsidR="003F238C">
        <w:t> </w:t>
      </w:r>
      <w:r w:rsidRPr="00074981">
        <w:t xml:space="preserve">mL presentation of omalizumab were recommended at the March 2025 PBAC meeting. The pre-sub-committee response (PSCR) requested that the additional forms and strength also be made available for the </w:t>
      </w:r>
      <w:proofErr w:type="spellStart"/>
      <w:r w:rsidRPr="00074981">
        <w:t>CRSwNP</w:t>
      </w:r>
      <w:proofErr w:type="spellEnd"/>
      <w:r w:rsidRPr="00074981">
        <w:t xml:space="preserve"> indication if PBAC recommends PBS listing. </w:t>
      </w:r>
    </w:p>
    <w:p w14:paraId="17519E97" w14:textId="30E89A89" w:rsidR="00E2740B" w:rsidRDefault="00E2740B" w:rsidP="00E2740B">
      <w:pPr>
        <w:pStyle w:val="3-BodyText"/>
      </w:pPr>
      <w:r w:rsidRPr="00A972E5">
        <w:t>The submission proposed</w:t>
      </w:r>
      <w:r w:rsidRPr="2BCE08C6">
        <w:t xml:space="preserve"> that the requested listing </w:t>
      </w:r>
      <w:r w:rsidRPr="00A972E5">
        <w:t xml:space="preserve">include six repeats which replicates the </w:t>
      </w:r>
      <w:r>
        <w:t>u</w:t>
      </w:r>
      <w:r w:rsidRPr="00A96840">
        <w:t xml:space="preserve">ncontrolled severe allergic </w:t>
      </w:r>
      <w:r w:rsidRPr="00A972E5" w:rsidDel="00A96840">
        <w:t>asthma</w:t>
      </w:r>
      <w:r w:rsidRPr="00A972E5">
        <w:t xml:space="preserve"> indication for omalizumab</w:t>
      </w:r>
      <w:r w:rsidRPr="00470424">
        <w:t xml:space="preserve">. </w:t>
      </w:r>
      <w:r w:rsidRPr="00B146DB">
        <w:t xml:space="preserve">The Secretariat has proposed </w:t>
      </w:r>
      <w:r>
        <w:t>f</w:t>
      </w:r>
      <w:r w:rsidRPr="001F4E5B">
        <w:t>ive</w:t>
      </w:r>
      <w:r w:rsidRPr="00470424">
        <w:t xml:space="preserve"> repeats may be more reasonable as this aligns </w:t>
      </w:r>
      <w:r w:rsidRPr="00470424" w:rsidDel="004D5720">
        <w:t xml:space="preserve">with the PBS listing </w:t>
      </w:r>
      <w:r w:rsidRPr="00470424">
        <w:t xml:space="preserve">for mepolizumab for </w:t>
      </w:r>
      <w:proofErr w:type="spellStart"/>
      <w:r w:rsidRPr="00470424">
        <w:t>CRSwNP</w:t>
      </w:r>
      <w:proofErr w:type="spellEnd"/>
      <w:r w:rsidRPr="00470424">
        <w:t>.</w:t>
      </w:r>
    </w:p>
    <w:p w14:paraId="5836CFB6" w14:textId="2DD1F4AC" w:rsidR="006E30BA" w:rsidRPr="00470424" w:rsidRDefault="006E30BA" w:rsidP="006E30BA">
      <w:pPr>
        <w:pStyle w:val="3-BodyText"/>
        <w:numPr>
          <w:ilvl w:val="0"/>
          <w:numId w:val="0"/>
        </w:numPr>
        <w:ind w:left="720"/>
      </w:pPr>
      <w:bookmarkStart w:id="14" w:name="_Hlk76375324"/>
      <w:r w:rsidRPr="00EB0109">
        <w:rPr>
          <w:i/>
          <w:iCs/>
        </w:rPr>
        <w:t>For more detail on PBAC’s view, see section 7 PBAC outcome.</w:t>
      </w:r>
      <w:bookmarkEnd w:id="14"/>
    </w:p>
    <w:p w14:paraId="12202207" w14:textId="77777777" w:rsidR="002C1266" w:rsidRPr="0098262F" w:rsidDel="00195452" w:rsidRDefault="002C1266" w:rsidP="002C1266">
      <w:pPr>
        <w:pStyle w:val="2-SectionHeading"/>
      </w:pPr>
      <w:bookmarkStart w:id="15" w:name="_Toc193290739"/>
      <w:r w:rsidRPr="0098262F" w:rsidDel="00195452">
        <w:t>Population and disease</w:t>
      </w:r>
      <w:bookmarkEnd w:id="15"/>
    </w:p>
    <w:p w14:paraId="75C620C2" w14:textId="3D6BD926" w:rsidR="002C1266" w:rsidRPr="00826983" w:rsidRDefault="002C1266" w:rsidP="2BCE08C6">
      <w:pPr>
        <w:pStyle w:val="3-BodyText"/>
        <w:rPr>
          <w:color w:val="0066FF"/>
        </w:rPr>
      </w:pPr>
      <w:r w:rsidRPr="2BCE08C6">
        <w:t xml:space="preserve">Chronic rhinosinusitis (CRS) affects approximately 9.8% of Australians and is defined as chronic inflammation of the paranasal sinuses that persists for more than 12 weeks. </w:t>
      </w:r>
      <w:r w:rsidR="009060AD" w:rsidRPr="2BCE08C6">
        <w:t xml:space="preserve">classified </w:t>
      </w:r>
      <w:r w:rsidR="004039B0">
        <w:t xml:space="preserve">There are </w:t>
      </w:r>
      <w:r w:rsidRPr="2BCE08C6">
        <w:t>two types of CRS –</w:t>
      </w:r>
      <w:proofErr w:type="spellStart"/>
      <w:r w:rsidRPr="2BCE08C6">
        <w:t>CRSwNP</w:t>
      </w:r>
      <w:proofErr w:type="spellEnd"/>
      <w:r w:rsidRPr="2BCE08C6">
        <w:t xml:space="preserve"> </w:t>
      </w:r>
      <w:r w:rsidR="00AD44AD" w:rsidRPr="2BCE08C6">
        <w:t xml:space="preserve">or </w:t>
      </w:r>
      <w:r w:rsidRPr="2BCE08C6">
        <w:t xml:space="preserve">CRS without NP. The prevalence of </w:t>
      </w:r>
      <w:proofErr w:type="spellStart"/>
      <w:r w:rsidRPr="2BCE08C6">
        <w:t>CRSwNP</w:t>
      </w:r>
      <w:proofErr w:type="spellEnd"/>
      <w:r w:rsidRPr="2BCE08C6">
        <w:t xml:space="preserve"> has been estimated </w:t>
      </w:r>
      <w:r w:rsidR="008848A3">
        <w:t>to be</w:t>
      </w:r>
      <w:r w:rsidRPr="2BCE08C6">
        <w:t xml:space="preserve"> 2-4% of the global adult population </w:t>
      </w:r>
      <w:r w:rsidR="00F1616F">
        <w:t>and increases</w:t>
      </w:r>
      <w:r w:rsidRPr="2BCE08C6">
        <w:t xml:space="preserve"> with age. </w:t>
      </w:r>
      <w:r w:rsidRPr="00826983">
        <w:t xml:space="preserve">The average age of disease </w:t>
      </w:r>
      <w:r w:rsidR="00F86CE1" w:rsidRPr="00826983">
        <w:t>onset</w:t>
      </w:r>
      <w:r w:rsidRPr="00826983">
        <w:t xml:space="preserve"> is estimated to be around 40 years of age. </w:t>
      </w:r>
      <w:proofErr w:type="spellStart"/>
      <w:r w:rsidRPr="00826983">
        <w:t>CRSwNP</w:t>
      </w:r>
      <w:proofErr w:type="spellEnd"/>
      <w:r w:rsidRPr="00826983">
        <w:t xml:space="preserve"> also</w:t>
      </w:r>
      <w:r w:rsidRPr="00826983" w:rsidDel="002C1266">
        <w:t xml:space="preserve"> </w:t>
      </w:r>
      <w:r w:rsidR="000A258E" w:rsidRPr="00826983">
        <w:t>occurs</w:t>
      </w:r>
      <w:r w:rsidR="000B5FE8" w:rsidRPr="00826983">
        <w:t xml:space="preserve"> </w:t>
      </w:r>
      <w:r w:rsidRPr="00826983">
        <w:t>in 0.1% of the general paediatric population.</w:t>
      </w:r>
      <w:r w:rsidRPr="00826983">
        <w:rPr>
          <w:rStyle w:val="FootnoteReference"/>
        </w:rPr>
        <w:footnoteReference w:id="4"/>
      </w:r>
    </w:p>
    <w:p w14:paraId="4CE3B7D9" w14:textId="1B98C0DF" w:rsidR="002C1266" w:rsidRDefault="002C1266" w:rsidP="002C1266">
      <w:pPr>
        <w:pStyle w:val="3-BodyText"/>
      </w:pPr>
      <w:proofErr w:type="spellStart"/>
      <w:r w:rsidRPr="2BCE08C6">
        <w:t>CRSwNP</w:t>
      </w:r>
      <w:proofErr w:type="spellEnd"/>
      <w:r w:rsidRPr="2BCE08C6">
        <w:t xml:space="preserve"> is largely driven by type 2 cytokine-mediated inflammation, characterised by eosinophilic airway inflammation associated with high levels of type 2-related cytokines (interleukins 4 [IL-4] ,5 [IL-5] and/or 13 [IL-13]) and IgE. Increased local production of IgE in nasal mucosa is considered a hallmark </w:t>
      </w:r>
      <w:r w:rsidR="00864301" w:rsidRPr="2BCE08C6">
        <w:t xml:space="preserve">of </w:t>
      </w:r>
      <w:r w:rsidRPr="2BCE08C6">
        <w:t xml:space="preserve">the pathogenesis of </w:t>
      </w:r>
      <w:proofErr w:type="spellStart"/>
      <w:r w:rsidRPr="2BCE08C6">
        <w:t>CRSwNP</w:t>
      </w:r>
      <w:proofErr w:type="spellEnd"/>
      <w:r w:rsidRPr="2BCE08C6">
        <w:t>, triggering the release of inflammatory mediators.</w:t>
      </w:r>
    </w:p>
    <w:p w14:paraId="5710E5F5" w14:textId="341C0FD5" w:rsidR="002C1266" w:rsidRDefault="002C1266" w:rsidP="002C1266">
      <w:pPr>
        <w:pStyle w:val="3-BodyText"/>
      </w:pPr>
      <w:bookmarkStart w:id="16" w:name="_Ref192771806"/>
      <w:r w:rsidRPr="2BCE08C6">
        <w:t xml:space="preserve">The clinical presentation of </w:t>
      </w:r>
      <w:proofErr w:type="spellStart"/>
      <w:r w:rsidRPr="2BCE08C6">
        <w:t>CRSwNP</w:t>
      </w:r>
      <w:proofErr w:type="spellEnd"/>
      <w:r w:rsidRPr="2BCE08C6">
        <w:t xml:space="preserve"> </w:t>
      </w:r>
      <w:r w:rsidR="00B61C29">
        <w:t>may</w:t>
      </w:r>
      <w:r w:rsidR="008C26BA">
        <w:t xml:space="preserve"> </w:t>
      </w:r>
      <w:r w:rsidRPr="2BCE08C6">
        <w:t xml:space="preserve">include a range of symptoms. As NP tissue obstructs the nasal cavity, symptoms of nasal obstruction or congestion are common, occurring in 95% of patients. </w:t>
      </w:r>
      <w:proofErr w:type="spellStart"/>
      <w:r w:rsidRPr="2BCE08C6">
        <w:t>CRSwNP</w:t>
      </w:r>
      <w:proofErr w:type="spellEnd"/>
      <w:r w:rsidRPr="2BCE08C6">
        <w:t xml:space="preserve"> has a significant impact on quality of life (QoL)</w:t>
      </w:r>
      <w:r w:rsidR="002C02C0">
        <w:t xml:space="preserve">, </w:t>
      </w:r>
      <w:r w:rsidR="001543F0">
        <w:t>due to</w:t>
      </w:r>
      <w:r w:rsidR="00EC3E9D">
        <w:t xml:space="preserve"> the patient experiencing </w:t>
      </w:r>
      <w:r w:rsidR="002C02C0">
        <w:t>symptoms such as nasal obstruction, loss of smell, facial pain and nasal discharge,</w:t>
      </w:r>
      <w:r w:rsidRPr="2BCE08C6">
        <w:t xml:space="preserve"> </w:t>
      </w:r>
      <w:r w:rsidR="00EC3E9D">
        <w:t>and QoL</w:t>
      </w:r>
      <w:r w:rsidR="00EC3E9D" w:rsidRPr="2BCE08C6">
        <w:t xml:space="preserve"> </w:t>
      </w:r>
      <w:r w:rsidR="00ED3FD1">
        <w:t>may</w:t>
      </w:r>
      <w:r w:rsidR="0006325F">
        <w:t xml:space="preserve"> be</w:t>
      </w:r>
      <w:r w:rsidR="0006325F" w:rsidRPr="2BCE08C6">
        <w:t xml:space="preserve"> </w:t>
      </w:r>
      <w:r w:rsidRPr="2BCE08C6">
        <w:t xml:space="preserve">further reduced by the presence of </w:t>
      </w:r>
      <w:r w:rsidRPr="2BCE08C6">
        <w:lastRenderedPageBreak/>
        <w:t xml:space="preserve">comorbid </w:t>
      </w:r>
      <w:r w:rsidRPr="00991B88">
        <w:t>disease, such as asthma, infection, and aspirin-exacerbated respiratory disease (AERD).</w:t>
      </w:r>
      <w:bookmarkEnd w:id="16"/>
      <w:r w:rsidR="00DF5EBB" w:rsidRPr="00991B88">
        <w:t xml:space="preserve"> Patients diagnosed with </w:t>
      </w:r>
      <w:proofErr w:type="spellStart"/>
      <w:r w:rsidR="00DF5EBB" w:rsidRPr="00991B88">
        <w:t>CRSwNP</w:t>
      </w:r>
      <w:proofErr w:type="spellEnd"/>
      <w:r w:rsidR="00DF5EBB" w:rsidRPr="00991B88">
        <w:t xml:space="preserve"> have a high prevalence of asthma</w:t>
      </w:r>
      <w:r w:rsidR="001F1DCF" w:rsidRPr="00991B88">
        <w:t xml:space="preserve"> (reported to be up to 6</w:t>
      </w:r>
      <w:r w:rsidR="007F56B2" w:rsidRPr="00991B88">
        <w:t>0</w:t>
      </w:r>
      <w:r w:rsidR="001F1DCF" w:rsidRPr="00991B88">
        <w:t>%)</w:t>
      </w:r>
      <w:r w:rsidR="00F608E7" w:rsidRPr="00991B88">
        <w:t xml:space="preserve">. </w:t>
      </w:r>
      <w:r w:rsidR="008B656C" w:rsidRPr="00991B88">
        <w:rPr>
          <w:rStyle w:val="FootnoteReference"/>
        </w:rPr>
        <w:footnoteReference w:id="5"/>
      </w:r>
      <w:r w:rsidR="00AD093E">
        <w:t xml:space="preserve"> </w:t>
      </w:r>
      <w:r w:rsidR="00AD093E">
        <w:rPr>
          <w:rStyle w:val="FootnoteReference"/>
        </w:rPr>
        <w:footnoteReference w:id="6"/>
      </w:r>
      <w:r w:rsidR="001F1DCF">
        <w:t xml:space="preserve"> </w:t>
      </w:r>
    </w:p>
    <w:p w14:paraId="3E52D7F2" w14:textId="33D2D8E0" w:rsidR="002C1266" w:rsidRPr="009C420F" w:rsidDel="00195452" w:rsidRDefault="002C1266" w:rsidP="002C1266">
      <w:pPr>
        <w:pStyle w:val="3-BodyText"/>
      </w:pPr>
      <w:r w:rsidRPr="2BCE08C6">
        <w:t xml:space="preserve">Nasal saline irrigation and INCS are considered first-line treatments in the management of </w:t>
      </w:r>
      <w:proofErr w:type="spellStart"/>
      <w:r w:rsidRPr="2BCE08C6">
        <w:t>CRSwNP</w:t>
      </w:r>
      <w:proofErr w:type="spellEnd"/>
      <w:r w:rsidR="000048F8">
        <w:t>,</w:t>
      </w:r>
      <w:r w:rsidRPr="2BCE08C6">
        <w:t xml:space="preserve"> however, </w:t>
      </w:r>
      <w:r w:rsidR="000048F8">
        <w:t>p</w:t>
      </w:r>
      <w:r w:rsidR="00A536DF" w:rsidRPr="2BCE08C6">
        <w:t xml:space="preserve">atients with </w:t>
      </w:r>
      <w:r w:rsidRPr="2BCE08C6">
        <w:t xml:space="preserve">an inadequate response to these treatments </w:t>
      </w:r>
      <w:r w:rsidR="00A536DF" w:rsidRPr="2BCE08C6">
        <w:t>may</w:t>
      </w:r>
      <w:r w:rsidRPr="2BCE08C6" w:rsidDel="002C1266">
        <w:t xml:space="preserve"> </w:t>
      </w:r>
      <w:r w:rsidR="00FA1AF8" w:rsidRPr="2BCE08C6">
        <w:t>undergo</w:t>
      </w:r>
      <w:r w:rsidR="00A536DF" w:rsidRPr="2BCE08C6">
        <w:t xml:space="preserve"> </w:t>
      </w:r>
      <w:r w:rsidRPr="2BCE08C6">
        <w:t>surgery for removal of NP</w:t>
      </w:r>
      <w:r w:rsidR="00B72CDC">
        <w:t xml:space="preserve">. </w:t>
      </w:r>
      <w:r w:rsidR="00B83B22">
        <w:t>R</w:t>
      </w:r>
      <w:r w:rsidRPr="2BCE08C6">
        <w:t xml:space="preserve">egrowth of NP </w:t>
      </w:r>
      <w:r w:rsidR="00B83B22" w:rsidRPr="2BCE08C6">
        <w:t>occur</w:t>
      </w:r>
      <w:r w:rsidR="00B83B22">
        <w:t>s</w:t>
      </w:r>
      <w:r w:rsidR="00B83B22" w:rsidRPr="2BCE08C6">
        <w:t xml:space="preserve"> </w:t>
      </w:r>
      <w:r w:rsidRPr="2BCE08C6">
        <w:t>in approximately 50% of patients</w:t>
      </w:r>
      <w:r w:rsidR="009C513D">
        <w:rPr>
          <w:rStyle w:val="FootnoteReference"/>
        </w:rPr>
        <w:footnoteReference w:id="7"/>
      </w:r>
      <w:r w:rsidR="00A40787">
        <w:t>.</w:t>
      </w:r>
      <w:r w:rsidR="0061598D" w:rsidRPr="2BCE08C6">
        <w:t xml:space="preserve"> </w:t>
      </w:r>
      <w:r w:rsidR="008F272B" w:rsidRPr="00A52EED">
        <w:t xml:space="preserve">The </w:t>
      </w:r>
      <w:r w:rsidR="000B3952">
        <w:t>EUROFEA</w:t>
      </w:r>
      <w:r w:rsidR="00A52EED" w:rsidRPr="00A52EED">
        <w:t xml:space="preserve"> 2023 guidance</w:t>
      </w:r>
      <w:r w:rsidR="00A52EED" w:rsidRPr="007A34FF">
        <w:rPr>
          <w:i/>
        </w:rPr>
        <w:t xml:space="preserve"> </w:t>
      </w:r>
      <w:r w:rsidR="008F272B">
        <w:t>recommend</w:t>
      </w:r>
      <w:r w:rsidR="000B3952">
        <w:t>ed</w:t>
      </w:r>
      <w:r w:rsidR="008F272B">
        <w:t xml:space="preserve"> consideration of biologics </w:t>
      </w:r>
      <w:r w:rsidR="00C503EA">
        <w:t xml:space="preserve">for </w:t>
      </w:r>
      <w:r w:rsidR="008F272B">
        <w:t>patients</w:t>
      </w:r>
      <w:r w:rsidR="00206030">
        <w:t xml:space="preserve"> with uncontrolled </w:t>
      </w:r>
      <w:proofErr w:type="spellStart"/>
      <w:r w:rsidR="00206030" w:rsidRPr="2BCE08C6">
        <w:t>CRSwNP</w:t>
      </w:r>
      <w:proofErr w:type="spellEnd"/>
      <w:r w:rsidR="00206030">
        <w:t xml:space="preserve"> </w:t>
      </w:r>
      <w:r w:rsidR="008F272B">
        <w:t>despite appropriate medical treatment and appropriate sinus surgery</w:t>
      </w:r>
      <w:r w:rsidR="000C252D">
        <w:t>,</w:t>
      </w:r>
      <w:r w:rsidR="009A0867">
        <w:t xml:space="preserve"> and who </w:t>
      </w:r>
      <w:r w:rsidR="00145EBC">
        <w:t>fulfil 3 of 5 criteria</w:t>
      </w:r>
      <w:r w:rsidR="006815E3">
        <w:t xml:space="preserve">: </w:t>
      </w:r>
      <w:r w:rsidR="00145EBC">
        <w:t>presence of type 2 inflammation</w:t>
      </w:r>
      <w:r w:rsidR="006815E3">
        <w:t>;</w:t>
      </w:r>
      <w:r w:rsidR="00145EBC">
        <w:t xml:space="preserve"> regular need</w:t>
      </w:r>
      <w:r w:rsidR="002D5AD5">
        <w:t xml:space="preserve"> for systemic corticosteroids</w:t>
      </w:r>
      <w:r w:rsidR="006815E3">
        <w:t>;</w:t>
      </w:r>
      <w:r w:rsidR="002D5AD5">
        <w:t xml:space="preserve"> significant impact on quality of life</w:t>
      </w:r>
      <w:r w:rsidR="006815E3">
        <w:t>;</w:t>
      </w:r>
      <w:r w:rsidR="002D5AD5">
        <w:t xml:space="preserve"> loss of smell</w:t>
      </w:r>
      <w:r w:rsidR="006815E3">
        <w:t>; and comorbid asthma</w:t>
      </w:r>
      <w:r w:rsidR="008F272B">
        <w:t>.</w:t>
      </w:r>
      <w:r w:rsidRPr="2BCE08C6">
        <w:t xml:space="preserve"> Mepolizumab is currently the only biologic PBS-listed for the treatment of </w:t>
      </w:r>
      <w:proofErr w:type="spellStart"/>
      <w:r w:rsidRPr="2BCE08C6">
        <w:t>CRswNP</w:t>
      </w:r>
      <w:proofErr w:type="spellEnd"/>
      <w:r w:rsidRPr="2BCE08C6">
        <w:t>.</w:t>
      </w:r>
    </w:p>
    <w:p w14:paraId="0B3346FE" w14:textId="2D34542F" w:rsidR="002C1266" w:rsidRDefault="002C1266" w:rsidP="002C1266">
      <w:pPr>
        <w:pStyle w:val="3-BodyText"/>
      </w:pPr>
      <w:r w:rsidRPr="2BCE08C6">
        <w:t>Omalizumab is a recombinant deoxyribonucleic acid (DNA)-derived humanised monoclonal antibody that selectively binds to human IgE. Treatment with omalizumab inhibits IgE-mediated inflammation, as evidenced by reduced blood and tissue eosinophils and reduced inflammatory mediators, including IL-4, IL-5, and IL-13 by innate, adaptive and non-immune cells</w:t>
      </w:r>
      <w:r w:rsidR="00714731">
        <w:t xml:space="preserve"> </w:t>
      </w:r>
      <w:r w:rsidR="00714731" w:rsidRPr="6ECF2CCF">
        <w:rPr>
          <w:lang w:val="en-GB"/>
        </w:rPr>
        <w:t>(Ruffin and Busch, 2004)</w:t>
      </w:r>
      <w:r w:rsidRPr="2BCE08C6">
        <w:t xml:space="preserve">. Omalizumab binds to IgE and prevents binding of </w:t>
      </w:r>
      <w:proofErr w:type="spellStart"/>
      <w:r w:rsidRPr="2BCE08C6">
        <w:t>IgE</w:t>
      </w:r>
      <w:proofErr w:type="spellEnd"/>
      <w:r w:rsidRPr="2BCE08C6">
        <w:t xml:space="preserve"> to </w:t>
      </w:r>
      <w:proofErr w:type="spellStart"/>
      <w:r w:rsidRPr="2BCE08C6">
        <w:t>FcɛRI</w:t>
      </w:r>
      <w:proofErr w:type="spellEnd"/>
      <w:r w:rsidRPr="2BCE08C6">
        <w:t xml:space="preserve"> (high-affinity </w:t>
      </w:r>
      <w:proofErr w:type="spellStart"/>
      <w:r w:rsidRPr="2BCE08C6">
        <w:t>IgE</w:t>
      </w:r>
      <w:proofErr w:type="spellEnd"/>
      <w:r w:rsidRPr="2BCE08C6">
        <w:t xml:space="preserve"> receptor) expressed on mast cells and basophils, thereby reducing the amount of free IgE available to trigger the type II inflammatory cascade.</w:t>
      </w:r>
    </w:p>
    <w:p w14:paraId="02C4CAF8" w14:textId="1346CDEA" w:rsidR="006E30BA" w:rsidRPr="00FA49BC" w:rsidRDefault="006E30BA" w:rsidP="006B5191">
      <w:pPr>
        <w:pStyle w:val="3-BodyText"/>
        <w:numPr>
          <w:ilvl w:val="0"/>
          <w:numId w:val="0"/>
        </w:numPr>
        <w:ind w:left="720"/>
      </w:pPr>
      <w:r w:rsidRPr="00EB0109">
        <w:rPr>
          <w:i/>
          <w:iCs/>
        </w:rPr>
        <w:t>For more detail on PBAC’s view, see section 7 PBAC outcome.</w:t>
      </w:r>
    </w:p>
    <w:p w14:paraId="49373D37" w14:textId="77777777" w:rsidR="002C1266" w:rsidRPr="0098262F" w:rsidRDefault="002C1266" w:rsidP="002C1266">
      <w:pPr>
        <w:pStyle w:val="2-SectionHeading"/>
      </w:pPr>
      <w:bookmarkStart w:id="17" w:name="_Toc193290740"/>
      <w:r w:rsidRPr="0098262F">
        <w:t>Comparator</w:t>
      </w:r>
      <w:bookmarkEnd w:id="17"/>
    </w:p>
    <w:p w14:paraId="3D486E90" w14:textId="4904E8D4" w:rsidR="00852A0E" w:rsidRDefault="002C1266" w:rsidP="002C1266">
      <w:pPr>
        <w:pStyle w:val="3-BodyText"/>
      </w:pPr>
      <w:r w:rsidRPr="2BCE08C6">
        <w:t>The submission nominated mepolizumab as the main comparator</w:t>
      </w:r>
      <w:r w:rsidRPr="2BCE08C6" w:rsidDel="002C1266">
        <w:t xml:space="preserve"> </w:t>
      </w:r>
      <w:r w:rsidR="00F35338" w:rsidRPr="2BCE08C6">
        <w:t xml:space="preserve">as it </w:t>
      </w:r>
      <w:r w:rsidRPr="2BCE08C6">
        <w:t xml:space="preserve">is </w:t>
      </w:r>
      <w:r w:rsidR="00FC47DE" w:rsidRPr="2BCE08C6">
        <w:t xml:space="preserve">the </w:t>
      </w:r>
      <w:r w:rsidRPr="2BCE08C6">
        <w:t xml:space="preserve">only biologic currently available on the PBS for the treatment of </w:t>
      </w:r>
      <w:proofErr w:type="spellStart"/>
      <w:r w:rsidRPr="2BCE08C6">
        <w:t>CRSwNP</w:t>
      </w:r>
      <w:proofErr w:type="spellEnd"/>
      <w:r w:rsidRPr="2BCE08C6">
        <w:t xml:space="preserve">. </w:t>
      </w:r>
      <w:r w:rsidRPr="00826983">
        <w:t xml:space="preserve">The </w:t>
      </w:r>
      <w:r w:rsidR="00B750D9" w:rsidRPr="003121D4">
        <w:t>ESC considered the</w:t>
      </w:r>
      <w:r w:rsidR="00B750D9">
        <w:rPr>
          <w:i/>
          <w:iCs/>
        </w:rPr>
        <w:t xml:space="preserve"> </w:t>
      </w:r>
      <w:r w:rsidRPr="00826983">
        <w:t xml:space="preserve">choice of comparator </w:t>
      </w:r>
      <w:r w:rsidR="00714731" w:rsidRPr="00826983">
        <w:t>wa</w:t>
      </w:r>
      <w:r w:rsidRPr="00826983">
        <w:t>s appropriate.</w:t>
      </w:r>
      <w:r w:rsidR="00852A0E">
        <w:t xml:space="preserve"> </w:t>
      </w:r>
    </w:p>
    <w:p w14:paraId="583AA5E5" w14:textId="262976B4" w:rsidR="002C1266" w:rsidRDefault="001D41B7" w:rsidP="002C1266">
      <w:pPr>
        <w:pStyle w:val="3-BodyText"/>
      </w:pPr>
      <w:r w:rsidRPr="2BCE08C6">
        <w:t xml:space="preserve">Mepolizumab is a humanised immunoglobulin G1 (IgG1) monoclonal antibody that is PBS-listed as an add-on treatment for adult patients (≥18 years of age) with </w:t>
      </w:r>
      <w:proofErr w:type="spellStart"/>
      <w:r w:rsidRPr="2BCE08C6">
        <w:t>CRSwNP</w:t>
      </w:r>
      <w:proofErr w:type="spellEnd"/>
      <w:r w:rsidRPr="2BCE08C6">
        <w:t xml:space="preserve"> with an inadequate response to</w:t>
      </w:r>
      <w:r>
        <w:t xml:space="preserve"> </w:t>
      </w:r>
      <w:r w:rsidRPr="0094129D">
        <w:t>intranasal corticosteroids</w:t>
      </w:r>
      <w:r w:rsidRPr="2BCE08C6">
        <w:t xml:space="preserve"> </w:t>
      </w:r>
      <w:r>
        <w:t>(</w:t>
      </w:r>
      <w:r w:rsidRPr="2BCE08C6">
        <w:t>INCS</w:t>
      </w:r>
      <w:r>
        <w:t>)</w:t>
      </w:r>
      <w:r w:rsidRPr="2BCE08C6">
        <w:t xml:space="preserve"> and BEC ≥300</w:t>
      </w:r>
      <w:r w:rsidR="0099322D">
        <w:t> </w:t>
      </w:r>
      <w:r w:rsidRPr="2BCE08C6">
        <w:t>cells/µl.</w:t>
      </w:r>
      <w:r>
        <w:t xml:space="preserve"> </w:t>
      </w:r>
    </w:p>
    <w:p w14:paraId="5CFB235F" w14:textId="7AC39708" w:rsidR="002C1266" w:rsidRDefault="005463A4" w:rsidP="00FA35E3">
      <w:pPr>
        <w:pStyle w:val="3-BodyText"/>
      </w:pPr>
      <w:r w:rsidRPr="00826983">
        <w:t xml:space="preserve">The submission did not </w:t>
      </w:r>
      <w:r w:rsidR="00511A17" w:rsidRPr="00826983">
        <w:t>propose</w:t>
      </w:r>
      <w:r w:rsidRPr="00826983">
        <w:t xml:space="preserve"> a comparison to </w:t>
      </w:r>
      <w:r w:rsidR="00953FCB" w:rsidRPr="00826983">
        <w:t xml:space="preserve">standard of care for the </w:t>
      </w:r>
      <w:r w:rsidR="00511A17" w:rsidRPr="00826983">
        <w:t>expanded population</w:t>
      </w:r>
      <w:r w:rsidR="00921D40" w:rsidRPr="00826983">
        <w:t xml:space="preserve"> not eligible for mepolizumab</w:t>
      </w:r>
      <w:r w:rsidR="00511A17" w:rsidRPr="00826983">
        <w:t xml:space="preserve">. In the mepolizumab </w:t>
      </w:r>
      <w:r w:rsidR="00067C29" w:rsidRPr="00826983">
        <w:t>re</w:t>
      </w:r>
      <w:r w:rsidR="00511A17" w:rsidRPr="00826983">
        <w:t>submission, the PBAC accepted standard of care</w:t>
      </w:r>
      <w:r w:rsidR="00067C29" w:rsidRPr="00826983">
        <w:t>,</w:t>
      </w:r>
      <w:r w:rsidR="00511A17" w:rsidRPr="00826983">
        <w:t xml:space="preserve"> </w:t>
      </w:r>
      <w:r w:rsidR="00DA20BD" w:rsidRPr="00826983">
        <w:t>which</w:t>
      </w:r>
      <w:r w:rsidR="00511A17" w:rsidRPr="00826983">
        <w:t xml:space="preserve"> include</w:t>
      </w:r>
      <w:r w:rsidR="00DA20BD" w:rsidRPr="00826983">
        <w:t>d</w:t>
      </w:r>
      <w:r w:rsidR="001200BE" w:rsidRPr="00826983">
        <w:t xml:space="preserve"> </w:t>
      </w:r>
      <w:r w:rsidR="00F705BF" w:rsidRPr="00826983">
        <w:t xml:space="preserve">background INCS therapy with intermittent </w:t>
      </w:r>
      <w:r w:rsidR="00F705BF" w:rsidRPr="00826983">
        <w:lastRenderedPageBreak/>
        <w:t>usage of OCS and saline spray or rinses</w:t>
      </w:r>
      <w:r w:rsidR="00F5709B" w:rsidRPr="00826983">
        <w:t>, as the appropriate comparator</w:t>
      </w:r>
      <w:r w:rsidR="00511A17" w:rsidRPr="00826983">
        <w:t xml:space="preserve"> </w:t>
      </w:r>
      <w:r w:rsidR="00DA20BD" w:rsidRPr="00826983">
        <w:t>(para 5.</w:t>
      </w:r>
      <w:r w:rsidR="00A86DCA" w:rsidRPr="00826983">
        <w:t>1</w:t>
      </w:r>
      <w:r w:rsidR="00FD4D22" w:rsidRPr="00826983">
        <w:t xml:space="preserve"> and 7.</w:t>
      </w:r>
      <w:r w:rsidR="00B813D2" w:rsidRPr="00826983">
        <w:t>5</w:t>
      </w:r>
      <w:r w:rsidR="002D4CB3" w:rsidRPr="00826983">
        <w:t>,</w:t>
      </w:r>
      <w:r w:rsidR="00FD4D22" w:rsidRPr="00826983">
        <w:t xml:space="preserve"> </w:t>
      </w:r>
      <w:r w:rsidR="00D227B0" w:rsidRPr="00826983">
        <w:t>mepolizumab, PSD, November 2022 PBAC meeting</w:t>
      </w:r>
      <w:r w:rsidR="00BB3068" w:rsidRPr="00826983">
        <w:t>)</w:t>
      </w:r>
      <w:r w:rsidR="00511A17" w:rsidRPr="00826983">
        <w:t>.</w:t>
      </w:r>
    </w:p>
    <w:p w14:paraId="0983BA4F" w14:textId="6E7B562A" w:rsidR="007E50CA" w:rsidRDefault="007E50CA">
      <w:pPr>
        <w:pStyle w:val="3-BodyText"/>
      </w:pPr>
      <w:r w:rsidRPr="00CA7316">
        <w:t xml:space="preserve">ESC noted that other drugs </w:t>
      </w:r>
      <w:r w:rsidR="001D57A2" w:rsidRPr="00CA7316">
        <w:t xml:space="preserve">are </w:t>
      </w:r>
      <w:r w:rsidRPr="00CA7316">
        <w:t>on the horizon such as dupilumab</w:t>
      </w:r>
      <w:r w:rsidR="00751D29" w:rsidRPr="00CA7316">
        <w:t>,</w:t>
      </w:r>
      <w:r w:rsidRPr="00CA7316">
        <w:t xml:space="preserve"> with a meta-analysis suggesting greater efficacy. A </w:t>
      </w:r>
      <w:r w:rsidR="006D68D5" w:rsidRPr="00CA7316">
        <w:t>head-to-head</w:t>
      </w:r>
      <w:r w:rsidRPr="00CA7316">
        <w:t xml:space="preserve"> trial by Sanofi of dupilumab versus omalizumab is underway (NCT04998604). </w:t>
      </w:r>
    </w:p>
    <w:p w14:paraId="65403A21" w14:textId="6585592D" w:rsidR="00A86BDF" w:rsidRPr="00CA7316" w:rsidRDefault="00A86BDF" w:rsidP="00A86BDF">
      <w:pPr>
        <w:pStyle w:val="3-BodyText"/>
        <w:numPr>
          <w:ilvl w:val="0"/>
          <w:numId w:val="0"/>
        </w:numPr>
        <w:ind w:left="720"/>
      </w:pPr>
      <w:r w:rsidRPr="00EB0109">
        <w:rPr>
          <w:i/>
          <w:iCs/>
        </w:rPr>
        <w:t>For more detail on PBAC’s view, see section 7 PBAC outcome.</w:t>
      </w:r>
    </w:p>
    <w:p w14:paraId="2988E3E8" w14:textId="77777777" w:rsidR="002C1266" w:rsidRPr="0098262F" w:rsidRDefault="002C1266" w:rsidP="002C1266">
      <w:pPr>
        <w:pStyle w:val="2-SectionHeading"/>
        <w:numPr>
          <w:ilvl w:val="0"/>
          <w:numId w:val="1"/>
        </w:numPr>
      </w:pPr>
      <w:bookmarkStart w:id="18" w:name="_Toc193290741"/>
      <w:bookmarkStart w:id="19" w:name="_Toc22897640"/>
      <w:r w:rsidRPr="0098262F">
        <w:t>Consideration of the evidence</w:t>
      </w:r>
      <w:bookmarkEnd w:id="18"/>
    </w:p>
    <w:p w14:paraId="533ED9B0" w14:textId="77777777" w:rsidR="006806B6" w:rsidRPr="006E1229" w:rsidRDefault="006806B6" w:rsidP="006806B6">
      <w:pPr>
        <w:pStyle w:val="4-SubsectionHeading"/>
      </w:pPr>
      <w:bookmarkStart w:id="20" w:name="_Toc193290742"/>
      <w:r w:rsidRPr="006E1229">
        <w:t>Sponsor hearing</w:t>
      </w:r>
    </w:p>
    <w:p w14:paraId="4DC7C06B" w14:textId="49A6D4A8" w:rsidR="001E6C19" w:rsidRPr="00AF00E3" w:rsidRDefault="00CF3EFC" w:rsidP="00CF3EFC">
      <w:pPr>
        <w:pStyle w:val="3-BodyText"/>
        <w:rPr>
          <w:bCs/>
          <w:iCs/>
        </w:rPr>
      </w:pPr>
      <w:r w:rsidRPr="00AF00E3">
        <w:rPr>
          <w:bCs/>
          <w:iCs/>
        </w:rPr>
        <w:t>The</w:t>
      </w:r>
      <w:r w:rsidR="00AF00E3" w:rsidRPr="00AF00E3">
        <w:rPr>
          <w:bCs/>
          <w:iCs/>
        </w:rPr>
        <w:t>re was no</w:t>
      </w:r>
      <w:r w:rsidRPr="00AF00E3">
        <w:rPr>
          <w:bCs/>
          <w:iCs/>
        </w:rPr>
        <w:t xml:space="preserve"> sponsor hearing for this item. </w:t>
      </w:r>
    </w:p>
    <w:p w14:paraId="032D960D" w14:textId="77777777" w:rsidR="001E6C19" w:rsidRPr="006E1229" w:rsidRDefault="001E6C19" w:rsidP="00AF00E3">
      <w:pPr>
        <w:pStyle w:val="4-SubsectionHeading"/>
      </w:pPr>
      <w:r w:rsidRPr="006E1229">
        <w:t>Consumer comments</w:t>
      </w:r>
    </w:p>
    <w:p w14:paraId="76486B07" w14:textId="3398208B" w:rsidR="006806B6" w:rsidRPr="001E669F" w:rsidRDefault="00ED6373" w:rsidP="00CF3EFC">
      <w:pPr>
        <w:pStyle w:val="3-BodyText"/>
        <w:rPr>
          <w:b/>
          <w:i/>
        </w:rPr>
      </w:pPr>
      <w:r w:rsidRPr="00836F75">
        <w:rPr>
          <w:rFonts w:cs="Arial"/>
          <w:bCs/>
          <w:snapToGrid w:val="0"/>
        </w:rPr>
        <w:t xml:space="preserve">The PBAC noted and welcomed the input from </w:t>
      </w:r>
      <w:r w:rsidR="00B17E97">
        <w:rPr>
          <w:rFonts w:cs="Arial"/>
          <w:bCs/>
          <w:snapToGrid w:val="0"/>
        </w:rPr>
        <w:t xml:space="preserve">one </w:t>
      </w:r>
      <w:r w:rsidRPr="00836F75">
        <w:rPr>
          <w:rFonts w:cs="Arial"/>
          <w:bCs/>
          <w:snapToGrid w:val="0"/>
        </w:rPr>
        <w:t>individual</w:t>
      </w:r>
      <w:r w:rsidR="00103082">
        <w:rPr>
          <w:rFonts w:cs="Arial"/>
          <w:bCs/>
          <w:snapToGrid w:val="0"/>
        </w:rPr>
        <w:t xml:space="preserve"> and</w:t>
      </w:r>
      <w:r w:rsidRPr="00836F75">
        <w:rPr>
          <w:rFonts w:cs="Arial"/>
          <w:bCs/>
          <w:snapToGrid w:val="0"/>
        </w:rPr>
        <w:t xml:space="preserve"> </w:t>
      </w:r>
      <w:r w:rsidR="00B17E97">
        <w:rPr>
          <w:rFonts w:cs="Arial"/>
          <w:bCs/>
          <w:snapToGrid w:val="0"/>
        </w:rPr>
        <w:t xml:space="preserve">one </w:t>
      </w:r>
      <w:r w:rsidRPr="00836F75">
        <w:rPr>
          <w:rFonts w:cs="Arial"/>
          <w:bCs/>
          <w:snapToGrid w:val="0"/>
        </w:rPr>
        <w:t>health care professional</w:t>
      </w:r>
      <w:r w:rsidR="00D176E4">
        <w:rPr>
          <w:rFonts w:cs="Arial"/>
          <w:bCs/>
          <w:snapToGrid w:val="0"/>
        </w:rPr>
        <w:t>,</w:t>
      </w:r>
      <w:r w:rsidRPr="00836F75">
        <w:rPr>
          <w:rFonts w:cs="Arial"/>
          <w:bCs/>
          <w:snapToGrid w:val="0"/>
        </w:rPr>
        <w:t xml:space="preserve"> </w:t>
      </w:r>
      <w:proofErr w:type="gramStart"/>
      <w:r w:rsidRPr="00836F75">
        <w:rPr>
          <w:rFonts w:cs="Arial"/>
          <w:bCs/>
          <w:snapToGrid w:val="0"/>
        </w:rPr>
        <w:t>a</w:t>
      </w:r>
      <w:r w:rsidR="00B17E97">
        <w:rPr>
          <w:rFonts w:cs="Arial"/>
          <w:bCs/>
          <w:snapToGrid w:val="0"/>
        </w:rPr>
        <w:t>s well as</w:t>
      </w:r>
      <w:r w:rsidR="00103082">
        <w:rPr>
          <w:rFonts w:cs="Arial"/>
          <w:bCs/>
          <w:snapToGrid w:val="0"/>
        </w:rPr>
        <w:t>,</w:t>
      </w:r>
      <w:proofErr w:type="gramEnd"/>
      <w:r w:rsidR="00B17E97">
        <w:rPr>
          <w:rFonts w:cs="Arial"/>
          <w:bCs/>
          <w:snapToGrid w:val="0"/>
        </w:rPr>
        <w:t xml:space="preserve"> one medical and one consumer</w:t>
      </w:r>
      <w:r w:rsidRPr="00836F75">
        <w:rPr>
          <w:rFonts w:cs="Arial"/>
          <w:bCs/>
          <w:snapToGrid w:val="0"/>
        </w:rPr>
        <w:t xml:space="preserve"> organisation via the Consumer Comments facility on the PBS website. The comments described</w:t>
      </w:r>
      <w:r w:rsidR="00A72350">
        <w:rPr>
          <w:rFonts w:cs="Arial"/>
          <w:bCs/>
          <w:snapToGrid w:val="0"/>
        </w:rPr>
        <w:t xml:space="preserve"> how </w:t>
      </w:r>
      <w:r w:rsidR="00252A36">
        <w:rPr>
          <w:rFonts w:cs="Arial"/>
          <w:bCs/>
          <w:snapToGrid w:val="0"/>
        </w:rPr>
        <w:t xml:space="preserve">the symptoms </w:t>
      </w:r>
      <w:r w:rsidR="00EF5F5E">
        <w:rPr>
          <w:rFonts w:cs="Arial"/>
          <w:bCs/>
          <w:snapToGrid w:val="0"/>
        </w:rPr>
        <w:t xml:space="preserve">of </w:t>
      </w:r>
      <w:proofErr w:type="spellStart"/>
      <w:r w:rsidR="00EF5F5E">
        <w:rPr>
          <w:rFonts w:cs="Arial"/>
          <w:bCs/>
          <w:snapToGrid w:val="0"/>
        </w:rPr>
        <w:t>CRSwNP</w:t>
      </w:r>
      <w:proofErr w:type="spellEnd"/>
      <w:r w:rsidR="00EF5F5E">
        <w:rPr>
          <w:rFonts w:cs="Arial"/>
          <w:bCs/>
          <w:snapToGrid w:val="0"/>
        </w:rPr>
        <w:t xml:space="preserve"> </w:t>
      </w:r>
      <w:r w:rsidR="00252A36">
        <w:rPr>
          <w:rFonts w:cs="Arial"/>
          <w:bCs/>
          <w:snapToGrid w:val="0"/>
        </w:rPr>
        <w:t>make thos</w:t>
      </w:r>
      <w:r w:rsidR="00AB1774">
        <w:rPr>
          <w:rFonts w:cs="Arial"/>
          <w:bCs/>
          <w:snapToGrid w:val="0"/>
        </w:rPr>
        <w:t xml:space="preserve">e affected feel like they have a flu or acute upper respiratory tract infection every day </w:t>
      </w:r>
      <w:r w:rsidR="00B11F22">
        <w:rPr>
          <w:rFonts w:cs="Arial"/>
          <w:bCs/>
          <w:snapToGrid w:val="0"/>
        </w:rPr>
        <w:t>and leads to</w:t>
      </w:r>
      <w:r w:rsidR="00B11F22" w:rsidRPr="00B11F22">
        <w:rPr>
          <w:rFonts w:cs="Arial"/>
          <w:bCs/>
          <w:snapToGrid w:val="0"/>
        </w:rPr>
        <w:t xml:space="preserve"> impaired sleep, poor concentration and fatigue</w:t>
      </w:r>
      <w:r w:rsidR="00910478">
        <w:rPr>
          <w:rFonts w:cs="Arial"/>
          <w:bCs/>
          <w:snapToGrid w:val="0"/>
        </w:rPr>
        <w:t xml:space="preserve">. </w:t>
      </w:r>
      <w:r w:rsidR="0067669B">
        <w:rPr>
          <w:rFonts w:cs="Arial"/>
          <w:bCs/>
          <w:snapToGrid w:val="0"/>
        </w:rPr>
        <w:t xml:space="preserve">The input </w:t>
      </w:r>
      <w:r w:rsidR="00DF5C22">
        <w:rPr>
          <w:rFonts w:cs="Arial"/>
          <w:bCs/>
          <w:snapToGrid w:val="0"/>
        </w:rPr>
        <w:t>stated that omalizumab reduces nasal blockage thereby improving s</w:t>
      </w:r>
      <w:r w:rsidR="00AE46ED">
        <w:rPr>
          <w:rFonts w:cs="Arial"/>
          <w:bCs/>
          <w:snapToGrid w:val="0"/>
        </w:rPr>
        <w:t xml:space="preserve">leep, concentration and energy levels </w:t>
      </w:r>
      <w:r w:rsidR="004742D7">
        <w:rPr>
          <w:rFonts w:cs="Arial"/>
          <w:bCs/>
          <w:snapToGrid w:val="0"/>
        </w:rPr>
        <w:t>enabling fuller contribution to their family, work and society.</w:t>
      </w:r>
      <w:r w:rsidRPr="00836F75">
        <w:rPr>
          <w:rFonts w:cs="Arial"/>
          <w:bCs/>
          <w:snapToGrid w:val="0"/>
        </w:rPr>
        <w:t xml:space="preserve"> </w:t>
      </w:r>
      <w:r w:rsidR="001306C7" w:rsidRPr="001306C7">
        <w:rPr>
          <w:bCs/>
          <w:iCs/>
        </w:rPr>
        <w:t>The input</w:t>
      </w:r>
      <w:r w:rsidR="000F5218">
        <w:rPr>
          <w:bCs/>
          <w:iCs/>
        </w:rPr>
        <w:t xml:space="preserve"> noted the initial inconvenience of administration by a general practitioner</w:t>
      </w:r>
      <w:r w:rsidR="00DF1BF7">
        <w:rPr>
          <w:bCs/>
          <w:iCs/>
        </w:rPr>
        <w:t xml:space="preserve"> and that </w:t>
      </w:r>
      <w:r w:rsidR="000A1DBD">
        <w:rPr>
          <w:bCs/>
          <w:iCs/>
        </w:rPr>
        <w:t>omalizumab must be refrigerated and is not held in stock at pharmacies</w:t>
      </w:r>
      <w:r w:rsidR="00106F14">
        <w:rPr>
          <w:bCs/>
          <w:iCs/>
        </w:rPr>
        <w:t xml:space="preserve">. </w:t>
      </w:r>
      <w:r w:rsidR="004E2A8A">
        <w:rPr>
          <w:bCs/>
          <w:iCs/>
        </w:rPr>
        <w:t>Access through s</w:t>
      </w:r>
      <w:r w:rsidR="00FA0607">
        <w:rPr>
          <w:bCs/>
          <w:iCs/>
        </w:rPr>
        <w:t>elf-administration at home was described as much</w:t>
      </w:r>
      <w:r w:rsidR="004E2A8A">
        <w:rPr>
          <w:bCs/>
          <w:iCs/>
        </w:rPr>
        <w:t xml:space="preserve"> improved.</w:t>
      </w:r>
      <w:r w:rsidR="00FA0607">
        <w:rPr>
          <w:bCs/>
          <w:iCs/>
        </w:rPr>
        <w:t xml:space="preserve"> </w:t>
      </w:r>
    </w:p>
    <w:p w14:paraId="163B4562" w14:textId="79A8527A" w:rsidR="001E669F" w:rsidRPr="00E03CED" w:rsidRDefault="00751337">
      <w:pPr>
        <w:pStyle w:val="3-BodyText"/>
        <w:rPr>
          <w:rFonts w:cs="Arial"/>
          <w:bCs/>
          <w:snapToGrid w:val="0"/>
        </w:rPr>
      </w:pPr>
      <w:r w:rsidRPr="00E03CED">
        <w:rPr>
          <w:snapToGrid w:val="0"/>
        </w:rPr>
        <w:t xml:space="preserve">The PBAC noted the advice received from </w:t>
      </w:r>
      <w:r w:rsidR="004F74EE" w:rsidRPr="00E03CED">
        <w:rPr>
          <w:iCs/>
        </w:rPr>
        <w:t>The Australasian Society of Clinical Immunology and Allergy (ASCIA)</w:t>
      </w:r>
      <w:r w:rsidR="004F74EE" w:rsidRPr="00E03CED">
        <w:rPr>
          <w:snapToGrid w:val="0"/>
        </w:rPr>
        <w:t xml:space="preserve"> </w:t>
      </w:r>
      <w:r w:rsidR="00704E79" w:rsidRPr="00E03CED">
        <w:rPr>
          <w:snapToGrid w:val="0"/>
        </w:rPr>
        <w:t>supported PBS listing of omalizumab noting</w:t>
      </w:r>
      <w:r w:rsidR="005412B0" w:rsidRPr="00E03CED">
        <w:rPr>
          <w:snapToGrid w:val="0"/>
        </w:rPr>
        <w:t xml:space="preserve"> its acceptable safety profile and</w:t>
      </w:r>
      <w:r w:rsidR="00704E79" w:rsidRPr="00E03CED">
        <w:rPr>
          <w:snapToGrid w:val="0"/>
        </w:rPr>
        <w:t xml:space="preserve"> that </w:t>
      </w:r>
      <w:r w:rsidR="008C50EE" w:rsidRPr="00E03CED">
        <w:rPr>
          <w:snapToGrid w:val="0"/>
        </w:rPr>
        <w:t xml:space="preserve">it would likely be steroid-sparing and reduce </w:t>
      </w:r>
      <w:r w:rsidR="00CD5BE1" w:rsidRPr="00E03CED">
        <w:rPr>
          <w:snapToGrid w:val="0"/>
        </w:rPr>
        <w:t>the number of surgical procedures</w:t>
      </w:r>
      <w:r w:rsidR="005412B0" w:rsidRPr="00E03CED">
        <w:rPr>
          <w:snapToGrid w:val="0"/>
        </w:rPr>
        <w:t>.</w:t>
      </w:r>
      <w:r w:rsidR="00117D09" w:rsidRPr="00E03CED">
        <w:rPr>
          <w:snapToGrid w:val="0"/>
        </w:rPr>
        <w:t xml:space="preserve"> </w:t>
      </w:r>
      <w:r w:rsidR="008115C4" w:rsidRPr="00E03CED">
        <w:rPr>
          <w:snapToGrid w:val="0"/>
        </w:rPr>
        <w:t xml:space="preserve">Further, </w:t>
      </w:r>
      <w:r w:rsidR="00F0565B" w:rsidRPr="00E03CED">
        <w:rPr>
          <w:snapToGrid w:val="0"/>
        </w:rPr>
        <w:t xml:space="preserve">ASCIA </w:t>
      </w:r>
      <w:r w:rsidR="00F0565B" w:rsidRPr="00E03CED">
        <w:rPr>
          <w:rFonts w:cs="Arial"/>
          <w:bCs/>
          <w:snapToGrid w:val="0"/>
        </w:rPr>
        <w:t xml:space="preserve">described how </w:t>
      </w:r>
      <w:r w:rsidR="00DF494F" w:rsidRPr="00E03CED">
        <w:rPr>
          <w:rFonts w:cs="Arial"/>
          <w:bCs/>
          <w:snapToGrid w:val="0"/>
        </w:rPr>
        <w:t xml:space="preserve">omalizumab </w:t>
      </w:r>
      <w:r w:rsidR="00DE1820" w:rsidRPr="00E03CED">
        <w:rPr>
          <w:rFonts w:cs="Arial"/>
          <w:bCs/>
          <w:snapToGrid w:val="0"/>
        </w:rPr>
        <w:t>is already</w:t>
      </w:r>
      <w:r w:rsidR="00DF494F" w:rsidRPr="00E03CED">
        <w:rPr>
          <w:rFonts w:cs="Arial"/>
          <w:bCs/>
          <w:snapToGrid w:val="0"/>
        </w:rPr>
        <w:t xml:space="preserve"> effective for </w:t>
      </w:r>
      <w:r w:rsidR="00DE1820" w:rsidRPr="00E03CED">
        <w:rPr>
          <w:rFonts w:cs="Arial"/>
          <w:bCs/>
          <w:snapToGrid w:val="0"/>
        </w:rPr>
        <w:t>treat</w:t>
      </w:r>
      <w:r w:rsidR="00DF494F" w:rsidRPr="00E03CED">
        <w:rPr>
          <w:rFonts w:cs="Arial"/>
          <w:bCs/>
          <w:snapToGrid w:val="0"/>
        </w:rPr>
        <w:t>ment of</w:t>
      </w:r>
      <w:r w:rsidR="00DE1820" w:rsidRPr="00E03CED">
        <w:rPr>
          <w:rFonts w:cs="Arial"/>
          <w:bCs/>
          <w:snapToGrid w:val="0"/>
        </w:rPr>
        <w:t xml:space="preserve"> chronic spontaneous urticaria and uncontrolled severe asthma and </w:t>
      </w:r>
      <w:r w:rsidR="00F0565B" w:rsidRPr="00E03CED">
        <w:rPr>
          <w:rFonts w:cs="Arial"/>
          <w:bCs/>
          <w:snapToGrid w:val="0"/>
        </w:rPr>
        <w:t xml:space="preserve">use of for </w:t>
      </w:r>
      <w:proofErr w:type="spellStart"/>
      <w:r w:rsidR="00F0565B" w:rsidRPr="00E03CED">
        <w:rPr>
          <w:rFonts w:cs="Arial"/>
          <w:bCs/>
          <w:snapToGrid w:val="0"/>
        </w:rPr>
        <w:t>CRSwNP</w:t>
      </w:r>
      <w:proofErr w:type="spellEnd"/>
      <w:r w:rsidR="00F0565B" w:rsidRPr="00E03CED">
        <w:rPr>
          <w:rFonts w:cs="Arial"/>
          <w:bCs/>
          <w:snapToGrid w:val="0"/>
        </w:rPr>
        <w:t xml:space="preserve"> would enable patients to change to another</w:t>
      </w:r>
      <w:r w:rsidR="00DA70E5" w:rsidRPr="00E03CED">
        <w:rPr>
          <w:rFonts w:cs="Arial"/>
          <w:bCs/>
          <w:snapToGrid w:val="0"/>
        </w:rPr>
        <w:t xml:space="preserve"> biologic therapy if they have a sub-optimal response </w:t>
      </w:r>
      <w:r w:rsidR="00B01247" w:rsidRPr="00E03CED">
        <w:rPr>
          <w:rFonts w:cs="Arial"/>
          <w:bCs/>
          <w:snapToGrid w:val="0"/>
        </w:rPr>
        <w:t>to other treatments.</w:t>
      </w:r>
      <w:r w:rsidR="00064304" w:rsidRPr="00E03CED">
        <w:rPr>
          <w:rFonts w:cs="Arial"/>
          <w:bCs/>
          <w:snapToGrid w:val="0"/>
        </w:rPr>
        <w:t xml:space="preserve"> </w:t>
      </w:r>
      <w:r w:rsidR="00D47333" w:rsidRPr="00E03CED">
        <w:rPr>
          <w:rFonts w:cs="Arial"/>
          <w:bCs/>
          <w:snapToGrid w:val="0"/>
        </w:rPr>
        <w:t>Allergy &amp; Anaphylaxis Australia (A&amp;AA) and the National Allergy Council provided a joint submission to support</w:t>
      </w:r>
      <w:r w:rsidR="00F963D6" w:rsidRPr="00E03CED">
        <w:rPr>
          <w:rFonts w:cs="Arial"/>
          <w:bCs/>
          <w:snapToGrid w:val="0"/>
        </w:rPr>
        <w:t xml:space="preserve"> th</w:t>
      </w:r>
      <w:r w:rsidR="0002659C" w:rsidRPr="00E03CED">
        <w:rPr>
          <w:rFonts w:cs="Arial"/>
          <w:bCs/>
          <w:snapToGrid w:val="0"/>
        </w:rPr>
        <w:t>e</w:t>
      </w:r>
      <w:r w:rsidR="00F963D6" w:rsidRPr="00E03CED">
        <w:rPr>
          <w:rFonts w:cs="Arial"/>
          <w:bCs/>
          <w:snapToGrid w:val="0"/>
        </w:rPr>
        <w:t xml:space="preserve"> submission</w:t>
      </w:r>
      <w:r w:rsidR="00F27CC9" w:rsidRPr="00E03CED">
        <w:rPr>
          <w:rFonts w:cs="Arial"/>
          <w:bCs/>
          <w:snapToGrid w:val="0"/>
        </w:rPr>
        <w:t xml:space="preserve"> noting that patients with </w:t>
      </w:r>
      <w:proofErr w:type="spellStart"/>
      <w:r w:rsidR="00F27CC9" w:rsidRPr="00E03CED">
        <w:rPr>
          <w:rFonts w:cs="Arial"/>
          <w:bCs/>
          <w:snapToGrid w:val="0"/>
        </w:rPr>
        <w:t>CRSwNP</w:t>
      </w:r>
      <w:proofErr w:type="spellEnd"/>
      <w:r w:rsidR="00F27CC9" w:rsidRPr="00E03CED">
        <w:rPr>
          <w:rFonts w:cs="Arial"/>
          <w:bCs/>
          <w:snapToGrid w:val="0"/>
        </w:rPr>
        <w:t xml:space="preserve"> have often endured years of different treatments including nasal sprays, oral medication, and even nasal polyp surgery, only to have the polyps regrow and the symptoms recur</w:t>
      </w:r>
      <w:r w:rsidR="00FD28DB" w:rsidRPr="00E03CED">
        <w:rPr>
          <w:rFonts w:cs="Arial"/>
          <w:bCs/>
          <w:snapToGrid w:val="0"/>
        </w:rPr>
        <w:t>.</w:t>
      </w:r>
      <w:r w:rsidR="00560CF8" w:rsidRPr="00E03CED">
        <w:rPr>
          <w:rFonts w:cs="Arial"/>
          <w:bCs/>
          <w:snapToGrid w:val="0"/>
        </w:rPr>
        <w:t xml:space="preserve"> </w:t>
      </w:r>
      <w:r w:rsidR="009F7AEB" w:rsidRPr="00E03CED">
        <w:rPr>
          <w:rFonts w:cs="Arial"/>
          <w:bCs/>
          <w:snapToGrid w:val="0"/>
        </w:rPr>
        <w:t xml:space="preserve">The requirement for repeated surgery is associated with the risk of complications, as well as monetary costs and time off work for recovery. </w:t>
      </w:r>
      <w:r w:rsidR="00560CF8" w:rsidRPr="00E03CED">
        <w:rPr>
          <w:rFonts w:cs="Arial"/>
          <w:bCs/>
          <w:snapToGrid w:val="0"/>
        </w:rPr>
        <w:t xml:space="preserve">The input described how </w:t>
      </w:r>
      <w:proofErr w:type="spellStart"/>
      <w:r w:rsidR="00560CF8" w:rsidRPr="00E03CED">
        <w:rPr>
          <w:rFonts w:cs="Arial"/>
          <w:bCs/>
          <w:snapToGrid w:val="0"/>
        </w:rPr>
        <w:t>CRSwNP</w:t>
      </w:r>
      <w:proofErr w:type="spellEnd"/>
      <w:r w:rsidR="00560CF8" w:rsidRPr="00E03CED">
        <w:rPr>
          <w:rFonts w:cs="Arial"/>
          <w:bCs/>
          <w:snapToGrid w:val="0"/>
        </w:rPr>
        <w:t xml:space="preserve"> is often associated with allergic conditions and </w:t>
      </w:r>
      <w:r w:rsidR="001D4233" w:rsidRPr="00E03CED">
        <w:rPr>
          <w:rFonts w:cs="Arial"/>
          <w:bCs/>
          <w:snapToGrid w:val="0"/>
        </w:rPr>
        <w:t xml:space="preserve">that </w:t>
      </w:r>
      <w:r w:rsidR="00560CF8" w:rsidRPr="00E03CED">
        <w:rPr>
          <w:rFonts w:cs="Arial"/>
          <w:bCs/>
          <w:snapToGrid w:val="0"/>
        </w:rPr>
        <w:t xml:space="preserve">these patients may be under the care of </w:t>
      </w:r>
      <w:r w:rsidR="00E06CD9">
        <w:rPr>
          <w:rFonts w:cs="Arial"/>
          <w:bCs/>
          <w:snapToGrid w:val="0"/>
        </w:rPr>
        <w:t>different</w:t>
      </w:r>
      <w:r w:rsidR="00560CF8" w:rsidRPr="00E03CED">
        <w:rPr>
          <w:rFonts w:cs="Arial"/>
          <w:bCs/>
          <w:snapToGrid w:val="0"/>
        </w:rPr>
        <w:t xml:space="preserve"> specialist</w:t>
      </w:r>
      <w:r w:rsidR="009A2625">
        <w:rPr>
          <w:rFonts w:cs="Arial"/>
          <w:bCs/>
          <w:snapToGrid w:val="0"/>
        </w:rPr>
        <w:t>s including</w:t>
      </w:r>
      <w:r w:rsidR="00560CF8" w:rsidRPr="00E03CED">
        <w:rPr>
          <w:rFonts w:cs="Arial"/>
          <w:bCs/>
          <w:snapToGrid w:val="0"/>
        </w:rPr>
        <w:t xml:space="preserve"> clinical immunologist/allergist</w:t>
      </w:r>
      <w:r w:rsidR="009A2625">
        <w:rPr>
          <w:rFonts w:cs="Arial"/>
          <w:bCs/>
          <w:snapToGrid w:val="0"/>
        </w:rPr>
        <w:t>,</w:t>
      </w:r>
      <w:r w:rsidR="00560CF8" w:rsidRPr="00E03CED">
        <w:rPr>
          <w:rFonts w:cs="Arial"/>
          <w:bCs/>
          <w:snapToGrid w:val="0"/>
        </w:rPr>
        <w:t xml:space="preserve"> Ear Nose and Throat surgeon</w:t>
      </w:r>
      <w:r w:rsidR="00E06CD9">
        <w:rPr>
          <w:rFonts w:cs="Arial"/>
          <w:bCs/>
          <w:snapToGrid w:val="0"/>
        </w:rPr>
        <w:t>, or respiratory physician</w:t>
      </w:r>
      <w:r w:rsidR="00560CF8" w:rsidRPr="00E03CED">
        <w:rPr>
          <w:rFonts w:cs="Arial"/>
          <w:bCs/>
          <w:snapToGrid w:val="0"/>
        </w:rPr>
        <w:t xml:space="preserve">. </w:t>
      </w:r>
      <w:r w:rsidRPr="00E03CED">
        <w:rPr>
          <w:snapToGrid w:val="0"/>
        </w:rPr>
        <w:t xml:space="preserve">The use of </w:t>
      </w:r>
      <w:r w:rsidR="00EC2A70" w:rsidRPr="00E03CED">
        <w:rPr>
          <w:snapToGrid w:val="0"/>
        </w:rPr>
        <w:t>omalizumab</w:t>
      </w:r>
      <w:r w:rsidR="00A570E2" w:rsidRPr="00E03CED">
        <w:rPr>
          <w:snapToGrid w:val="0"/>
        </w:rPr>
        <w:t xml:space="preserve"> offers </w:t>
      </w:r>
      <w:r w:rsidR="00EC2A70" w:rsidRPr="00E03CED">
        <w:rPr>
          <w:snapToGrid w:val="0"/>
        </w:rPr>
        <w:t xml:space="preserve">patients and their treating doctors a choice of treatments that best suit the disease </w:t>
      </w:r>
      <w:r w:rsidR="00EC2A70" w:rsidRPr="00E03CED">
        <w:rPr>
          <w:snapToGrid w:val="0"/>
        </w:rPr>
        <w:lastRenderedPageBreak/>
        <w:t>state</w:t>
      </w:r>
      <w:r w:rsidR="00AB62A1">
        <w:rPr>
          <w:snapToGrid w:val="0"/>
        </w:rPr>
        <w:t>. The PBAC noted</w:t>
      </w:r>
      <w:r w:rsidR="00EC2A70" w:rsidRPr="00E03CED">
        <w:rPr>
          <w:snapToGrid w:val="0"/>
        </w:rPr>
        <w:t xml:space="preserve"> the </w:t>
      </w:r>
      <w:r w:rsidR="00DB73C6">
        <w:rPr>
          <w:snapToGrid w:val="0"/>
        </w:rPr>
        <w:t>statements</w:t>
      </w:r>
      <w:r w:rsidR="00EC2A70" w:rsidRPr="00E03CED">
        <w:rPr>
          <w:snapToGrid w:val="0"/>
        </w:rPr>
        <w:t xml:space="preserve"> </w:t>
      </w:r>
      <w:r w:rsidR="00DB73C6">
        <w:rPr>
          <w:snapToGrid w:val="0"/>
        </w:rPr>
        <w:t>were</w:t>
      </w:r>
      <w:r w:rsidR="004F74EE" w:rsidRPr="00E03CED">
        <w:rPr>
          <w:snapToGrid w:val="0"/>
        </w:rPr>
        <w:t xml:space="preserve"> support</w:t>
      </w:r>
      <w:r w:rsidR="00DB73C6">
        <w:rPr>
          <w:snapToGrid w:val="0"/>
        </w:rPr>
        <w:t>ed by</w:t>
      </w:r>
      <w:r w:rsidR="004F74EE" w:rsidRPr="00E03CED">
        <w:rPr>
          <w:snapToGrid w:val="0"/>
        </w:rPr>
        <w:t xml:space="preserve"> the evidence provided in the submission</w:t>
      </w:r>
      <w:r w:rsidR="00437809" w:rsidRPr="00E03CED">
        <w:rPr>
          <w:snapToGrid w:val="0"/>
        </w:rPr>
        <w:t>.</w:t>
      </w:r>
    </w:p>
    <w:p w14:paraId="039C0072" w14:textId="19CA05AD" w:rsidR="002C1266" w:rsidRPr="0098262F" w:rsidRDefault="002C1266" w:rsidP="002C1266">
      <w:pPr>
        <w:pStyle w:val="4-SubsectionHeading"/>
      </w:pPr>
      <w:r w:rsidRPr="0098262F">
        <w:t>Clinical trials</w:t>
      </w:r>
      <w:bookmarkEnd w:id="19"/>
      <w:bookmarkEnd w:id="20"/>
    </w:p>
    <w:p w14:paraId="12C9BBA1" w14:textId="6E2536E1" w:rsidR="002C1266" w:rsidRDefault="002C1266" w:rsidP="002C1266">
      <w:pPr>
        <w:pStyle w:val="3-BodyText"/>
      </w:pPr>
      <w:r w:rsidRPr="004112A6">
        <w:t xml:space="preserve">No head-to-head randomised </w:t>
      </w:r>
      <w:r>
        <w:t xml:space="preserve">controlled </w:t>
      </w:r>
      <w:r w:rsidRPr="004112A6">
        <w:t>trials</w:t>
      </w:r>
      <w:r>
        <w:t xml:space="preserve"> (RCTs)</w:t>
      </w:r>
      <w:r w:rsidRPr="004112A6">
        <w:t xml:space="preserve"> comparing omalizumab and mepolizumab were available.</w:t>
      </w:r>
      <w:r>
        <w:t xml:space="preserve"> </w:t>
      </w:r>
      <w:r w:rsidR="00816ED2" w:rsidRPr="003807B9">
        <w:t xml:space="preserve">The submission was based on </w:t>
      </w:r>
      <w:r w:rsidR="00816ED2">
        <w:t>two</w:t>
      </w:r>
      <w:r w:rsidR="00816ED2" w:rsidRPr="003807B9">
        <w:t xml:space="preserve"> RCT</w:t>
      </w:r>
      <w:r w:rsidR="0061060F">
        <w:t xml:space="preserve">s </w:t>
      </w:r>
      <w:r w:rsidR="00816ED2" w:rsidRPr="003807B9">
        <w:t xml:space="preserve">which compared </w:t>
      </w:r>
      <w:r w:rsidR="0061060F">
        <w:t>omalizumab</w:t>
      </w:r>
      <w:r w:rsidR="00816ED2" w:rsidRPr="003807B9">
        <w:t xml:space="preserve"> to </w:t>
      </w:r>
      <w:r w:rsidR="0061060F" w:rsidRPr="2BCE08C6">
        <w:t xml:space="preserve">standard of care (SoC; placebo) </w:t>
      </w:r>
      <w:r w:rsidR="00816ED2" w:rsidRPr="003807B9">
        <w:t>(P</w:t>
      </w:r>
      <w:r w:rsidR="0061060F">
        <w:t>OLYP 1 and POLYP 2)</w:t>
      </w:r>
      <w:r w:rsidR="00816ED2" w:rsidRPr="003807B9">
        <w:t xml:space="preserve">, and one RCT comparing </w:t>
      </w:r>
      <w:r w:rsidR="003606F7">
        <w:t>mepolizumab</w:t>
      </w:r>
      <w:r w:rsidR="00816ED2" w:rsidRPr="003807B9">
        <w:t xml:space="preserve"> to </w:t>
      </w:r>
      <w:r w:rsidR="003606F7">
        <w:t>placebo</w:t>
      </w:r>
      <w:r w:rsidR="00816ED2" w:rsidRPr="003807B9">
        <w:t xml:space="preserve"> (</w:t>
      </w:r>
      <w:r w:rsidR="00433D39">
        <w:t>SYNAPSE</w:t>
      </w:r>
      <w:r w:rsidR="00816ED2" w:rsidRPr="003807B9">
        <w:t xml:space="preserve">), to inform </w:t>
      </w:r>
      <w:r w:rsidR="000637EE">
        <w:t>an anchored</w:t>
      </w:r>
      <w:r w:rsidR="00816ED2" w:rsidRPr="003807B9">
        <w:t xml:space="preserve"> indirect treatment comparison (ITC) between </w:t>
      </w:r>
      <w:r w:rsidR="00433D39">
        <w:t>omalizumab</w:t>
      </w:r>
      <w:r w:rsidR="00816ED2" w:rsidRPr="003807B9">
        <w:t xml:space="preserve"> and </w:t>
      </w:r>
      <w:r w:rsidR="00433D39">
        <w:t>mepolizumab</w:t>
      </w:r>
      <w:r w:rsidR="00816ED2" w:rsidRPr="003807B9">
        <w:t xml:space="preserve">. </w:t>
      </w:r>
      <w:r w:rsidR="004E2FED">
        <w:t xml:space="preserve">An additional mepolizumab trial, MERIT, </w:t>
      </w:r>
      <w:r w:rsidR="004E2FED" w:rsidRPr="00493428">
        <w:t>was not included in the submission’s main ITC but was included in sensitivity analyses (explanation below).</w:t>
      </w:r>
    </w:p>
    <w:p w14:paraId="2700653E" w14:textId="295B55E6" w:rsidR="002C1266" w:rsidRDefault="002C1266" w:rsidP="00C167D2">
      <w:pPr>
        <w:pStyle w:val="3-BodyText"/>
      </w:pPr>
      <w:r w:rsidRPr="2BCE08C6">
        <w:t xml:space="preserve">POLYP 1 (N=138) and POLYP 2 (N=127) were replicate/identical phase 3, randomised, multicentre, double-blind, placebo-controlled studies evaluating the efficacy and safety of omalizumab versus </w:t>
      </w:r>
      <w:r w:rsidR="00313736">
        <w:t>SoC (placebo)</w:t>
      </w:r>
      <w:r w:rsidRPr="2BCE08C6">
        <w:t xml:space="preserve"> in patients with inadequately controlled </w:t>
      </w:r>
      <w:proofErr w:type="spellStart"/>
      <w:r w:rsidRPr="2BCE08C6">
        <w:t>CRSwNP</w:t>
      </w:r>
      <w:proofErr w:type="spellEnd"/>
      <w:r w:rsidRPr="2BCE08C6">
        <w:t xml:space="preserve"> despite daily INCS therapy for 24 weeks. There was an open-label extension phase for both trials that consisted of a further 28-week treatment phase whereby all patients received omalizumab irrespective of previous treatment assignment.</w:t>
      </w:r>
    </w:p>
    <w:p w14:paraId="5538D42A" w14:textId="1FBB96B5" w:rsidR="002C1266" w:rsidRDefault="002C1266" w:rsidP="00C167D2">
      <w:pPr>
        <w:pStyle w:val="3-BodyText"/>
      </w:pPr>
      <w:r w:rsidRPr="2BCE08C6">
        <w:t>SYNAPSE (N=407) was a randomised, double-blind, placebo-controlled, parallel-group, phase 3 trial comparing mepolizumab versus placebo, in addition to SoC in adult patients with recurrent, refractory, severe, bilateral nasal polyp symptoms for 52</w:t>
      </w:r>
      <w:r w:rsidR="000E202A">
        <w:t> </w:t>
      </w:r>
      <w:r w:rsidRPr="2BCE08C6">
        <w:t>weeks</w:t>
      </w:r>
      <w:r w:rsidRPr="2BCE08C6" w:rsidDel="001E72A9">
        <w:t>.</w:t>
      </w:r>
      <w:r w:rsidRPr="2BCE08C6">
        <w:t xml:space="preserve"> </w:t>
      </w:r>
      <w:r w:rsidRPr="00493428">
        <w:t xml:space="preserve">This trial was previously </w:t>
      </w:r>
      <w:r w:rsidR="00FB2BC1" w:rsidRPr="00493428">
        <w:t xml:space="preserve">considered </w:t>
      </w:r>
      <w:r w:rsidRPr="00493428">
        <w:t>by PBAC for mepolizumab for the same indication (para 6.4, mepolizumab, PSD, November 2022 PBAC meeting).</w:t>
      </w:r>
    </w:p>
    <w:p w14:paraId="00302488" w14:textId="24B75365" w:rsidR="002C1266" w:rsidRPr="00C167D2" w:rsidRDefault="002C1266" w:rsidP="00C167D2">
      <w:pPr>
        <w:pStyle w:val="3-BodyText"/>
      </w:pPr>
      <w:r w:rsidRPr="2BCE08C6">
        <w:t>MERIT (N=169) was a phase 3, randomised, double-blind, placebo-controlled, parallel-group study assess</w:t>
      </w:r>
      <w:r w:rsidR="002003F7">
        <w:t>ing</w:t>
      </w:r>
      <w:r w:rsidRPr="2BCE08C6">
        <w:t xml:space="preserve"> the efficacy and safety of mepolizumab versus placebo alongside SoC in patients with </w:t>
      </w:r>
      <w:proofErr w:type="spellStart"/>
      <w:r w:rsidRPr="2BCE08C6">
        <w:t>CRSwNP</w:t>
      </w:r>
      <w:proofErr w:type="spellEnd"/>
      <w:r w:rsidRPr="2BCE08C6">
        <w:t>/eosinophilic chronic rhinosinusitis (ECRS) for 52 weeks.</w:t>
      </w:r>
      <w:r w:rsidR="00F43BAF">
        <w:t xml:space="preserve"> E</w:t>
      </w:r>
      <w:r w:rsidR="00F93A45">
        <w:t xml:space="preserve">ligibility criteria </w:t>
      </w:r>
      <w:r w:rsidR="003B051A">
        <w:t>specified</w:t>
      </w:r>
      <w:r w:rsidR="00F43BAF">
        <w:t xml:space="preserve"> that patients </w:t>
      </w:r>
      <w:r w:rsidR="00CB7308">
        <w:t>were</w:t>
      </w:r>
      <w:r w:rsidR="00B44A4F">
        <w:t xml:space="preserve"> </w:t>
      </w:r>
      <w:r w:rsidR="000E69AC">
        <w:t xml:space="preserve">not </w:t>
      </w:r>
      <w:r w:rsidR="00B44A4F">
        <w:t>required</w:t>
      </w:r>
      <w:r w:rsidR="000E69AC">
        <w:t xml:space="preserve"> to be using INCS</w:t>
      </w:r>
      <w:r w:rsidR="00E74F6E" w:rsidRPr="2BCE08C6">
        <w:t xml:space="preserve">. </w:t>
      </w:r>
      <w:r w:rsidR="00925853" w:rsidRPr="00493428">
        <w:t xml:space="preserve">This trial has not been </w:t>
      </w:r>
      <w:r w:rsidR="0043756E" w:rsidRPr="00493428">
        <w:t>prev</w:t>
      </w:r>
      <w:r w:rsidR="00021396" w:rsidRPr="00493428">
        <w:t xml:space="preserve">iously </w:t>
      </w:r>
      <w:r w:rsidR="00925853" w:rsidRPr="00493428">
        <w:t>considered by PBAC.</w:t>
      </w:r>
    </w:p>
    <w:p w14:paraId="51F61DA4" w14:textId="7A9163E2" w:rsidR="002C1266" w:rsidRDefault="002C1266" w:rsidP="002C1266">
      <w:pPr>
        <w:pStyle w:val="3-BodyText"/>
      </w:pPr>
      <w:bookmarkStart w:id="21" w:name="_Ref192582145"/>
      <w:r w:rsidRPr="2BCE08C6">
        <w:t>The main ITC included data from POLYP 1/POLYP 2 and SYNAPSE and was based on the current</w:t>
      </w:r>
      <w:r w:rsidR="0060207E">
        <w:t>ly</w:t>
      </w:r>
      <w:r w:rsidRPr="2BCE08C6">
        <w:t xml:space="preserve"> </w:t>
      </w:r>
      <w:r w:rsidR="00110BFE">
        <w:t>PBS-</w:t>
      </w:r>
      <w:r w:rsidR="00933D6E" w:rsidRPr="2BCE08C6">
        <w:t>eligible</w:t>
      </w:r>
      <w:r w:rsidR="00550C29" w:rsidRPr="2BCE08C6">
        <w:t xml:space="preserve"> </w:t>
      </w:r>
      <w:r w:rsidRPr="2BCE08C6">
        <w:t>population for mepolizumab (post-surgical with BEC ≥300</w:t>
      </w:r>
      <w:r w:rsidR="000E202A">
        <w:t> </w:t>
      </w:r>
      <w:r w:rsidRPr="2BCE08C6">
        <w:t xml:space="preserve">cells/µL) and the proposed </w:t>
      </w:r>
      <w:r w:rsidR="00110BFE">
        <w:t xml:space="preserve">PBS </w:t>
      </w:r>
      <w:r w:rsidRPr="2BCE08C6">
        <w:t xml:space="preserve">population for omalizumab (post-surgical with IgE ≥30 IU/mL). To support the comparative efficacy of omalizumab and mepolizumab in these populations, the submission presented ITCs </w:t>
      </w:r>
      <w:r w:rsidR="003A0563" w:rsidRPr="2BCE08C6">
        <w:t>for the following</w:t>
      </w:r>
      <w:r w:rsidR="00E94F33">
        <w:t xml:space="preserve"> post</w:t>
      </w:r>
      <w:r w:rsidR="006A52B9">
        <w:t>-hoc</w:t>
      </w:r>
      <w:r w:rsidR="003A0563" w:rsidRPr="2BCE08C6">
        <w:t xml:space="preserve"> subgroups</w:t>
      </w:r>
      <w:r w:rsidR="008544B1" w:rsidRPr="2BCE08C6">
        <w:t>:</w:t>
      </w:r>
      <w:r w:rsidR="004357BF">
        <w:t xml:space="preserve"> </w:t>
      </w:r>
      <w:r w:rsidRPr="2BCE08C6">
        <w:t>post-surgical; post-surgical with BEC ≥300 cells/µL; and proposed PBS restriction.</w:t>
      </w:r>
      <w:bookmarkEnd w:id="21"/>
      <w:r w:rsidRPr="2BCE08C6">
        <w:t xml:space="preserve"> </w:t>
      </w:r>
    </w:p>
    <w:p w14:paraId="69DC0B2C" w14:textId="54F71721" w:rsidR="002C1266" w:rsidRDefault="002C1266" w:rsidP="002C1266">
      <w:pPr>
        <w:pStyle w:val="3-BodyText"/>
      </w:pPr>
      <w:r w:rsidRPr="2BCE08C6">
        <w:t xml:space="preserve">The main ITC analyses did not include the MERIT trial based on the </w:t>
      </w:r>
      <w:r w:rsidR="008544B1" w:rsidRPr="2BCE08C6">
        <w:t xml:space="preserve">rationale </w:t>
      </w:r>
      <w:r w:rsidRPr="2BCE08C6">
        <w:t>that this trial was less applicable to the Australian setting (study conducted in China, Japan and Russia</w:t>
      </w:r>
      <w:r w:rsidR="004357BF">
        <w:t>;</w:t>
      </w:r>
      <w:r w:rsidRPr="2BCE08C6" w:rsidDel="002C1266">
        <w:t xml:space="preserve"> </w:t>
      </w:r>
      <w:r w:rsidR="00134E5F" w:rsidRPr="2BCE08C6">
        <w:t xml:space="preserve">included </w:t>
      </w:r>
      <w:r w:rsidRPr="2BCE08C6">
        <w:t>a proportion of patients</w:t>
      </w:r>
      <w:r w:rsidR="00DA1363">
        <w:t xml:space="preserve"> (</w:t>
      </w:r>
      <w:r w:rsidR="00EA05C5">
        <w:t>26%)</w:t>
      </w:r>
      <w:r w:rsidRPr="2BCE08C6">
        <w:t xml:space="preserve"> who did not receive background INCS; </w:t>
      </w:r>
      <w:r w:rsidR="00583D0E">
        <w:t xml:space="preserve">and </w:t>
      </w:r>
      <w:r w:rsidR="00BB432D" w:rsidRPr="2BCE08C6">
        <w:t>no</w:t>
      </w:r>
      <w:r w:rsidRPr="2BCE08C6">
        <w:t xml:space="preserve"> subgroup analysis for patients with BEC ≥300 cells/µL)</w:t>
      </w:r>
      <w:r w:rsidR="00BB432D" w:rsidRPr="2BCE08C6">
        <w:t>.</w:t>
      </w:r>
      <w:r w:rsidRPr="2BCE08C6">
        <w:t xml:space="preserve"> </w:t>
      </w:r>
      <w:r w:rsidR="00BB432D" w:rsidRPr="2BCE08C6">
        <w:t>Howeve</w:t>
      </w:r>
      <w:r w:rsidR="003335F9" w:rsidRPr="2BCE08C6">
        <w:t>r,</w:t>
      </w:r>
      <w:r w:rsidR="00BB432D" w:rsidRPr="2BCE08C6">
        <w:t xml:space="preserve"> </w:t>
      </w:r>
      <w:r w:rsidRPr="2BCE08C6">
        <w:t xml:space="preserve">an additional ITC </w:t>
      </w:r>
      <w:r w:rsidR="0069434B">
        <w:t>including</w:t>
      </w:r>
      <w:r w:rsidR="0069434B" w:rsidRPr="2BCE08C6">
        <w:t xml:space="preserve"> </w:t>
      </w:r>
      <w:r w:rsidRPr="2BCE08C6">
        <w:t xml:space="preserve">MERIT </w:t>
      </w:r>
      <w:r w:rsidR="003204F8">
        <w:t>was</w:t>
      </w:r>
      <w:r w:rsidRPr="2BCE08C6">
        <w:t xml:space="preserve"> provided as </w:t>
      </w:r>
      <w:r w:rsidR="00AA69C5">
        <w:t xml:space="preserve">a </w:t>
      </w:r>
      <w:r w:rsidRPr="2BCE08C6">
        <w:t>sensitivity analys</w:t>
      </w:r>
      <w:r w:rsidR="00AA69C5">
        <w:t>i</w:t>
      </w:r>
      <w:r w:rsidRPr="2BCE08C6">
        <w:t xml:space="preserve">s. The submission stated that no statistically significant improvements in nasal polyp score (NPS) for mepolizumab </w:t>
      </w:r>
      <w:r w:rsidRPr="2BCE08C6">
        <w:lastRenderedPageBreak/>
        <w:t xml:space="preserve">relative to </w:t>
      </w:r>
      <w:r w:rsidR="00D177DA">
        <w:t>SoC (</w:t>
      </w:r>
      <w:r w:rsidRPr="2BCE08C6">
        <w:t>placebo</w:t>
      </w:r>
      <w:r w:rsidR="00D177DA">
        <w:t>)</w:t>
      </w:r>
      <w:r w:rsidRPr="2BCE08C6">
        <w:t xml:space="preserve"> were identified in the MERIT trial, so this approach </w:t>
      </w:r>
      <w:r w:rsidR="00F00CE5">
        <w:t>wa</w:t>
      </w:r>
      <w:r w:rsidR="00F00CE5" w:rsidRPr="2BCE08C6">
        <w:t xml:space="preserve">s </w:t>
      </w:r>
      <w:r w:rsidRPr="2BCE08C6">
        <w:t>likely to be conservative.</w:t>
      </w:r>
    </w:p>
    <w:p w14:paraId="39A5831B" w14:textId="471F3F5C" w:rsidR="00116A0A" w:rsidRDefault="002C1266" w:rsidP="002C1266">
      <w:pPr>
        <w:pStyle w:val="3-BodyText"/>
      </w:pPr>
      <w:r w:rsidRPr="0098262F">
        <w:t xml:space="preserve">Details of the trials presented in the submission are provided in </w:t>
      </w:r>
      <w:r w:rsidRPr="0098262F">
        <w:fldChar w:fldCharType="begin"/>
      </w:r>
      <w:r w:rsidRPr="0098262F">
        <w:instrText xml:space="preserve"> REF _Ref104803956 \h </w:instrText>
      </w:r>
      <w:r w:rsidRPr="0098262F">
        <w:fldChar w:fldCharType="separate"/>
      </w:r>
      <w:r w:rsidR="00CE52BF" w:rsidRPr="0098262F">
        <w:t xml:space="preserve">Table </w:t>
      </w:r>
      <w:r w:rsidR="00CE52BF">
        <w:rPr>
          <w:noProof/>
        </w:rPr>
        <w:t>2</w:t>
      </w:r>
      <w:r w:rsidRPr="0098262F">
        <w:fldChar w:fldCharType="end"/>
      </w:r>
      <w:r w:rsidRPr="0098262F">
        <w:t xml:space="preserve">. </w:t>
      </w:r>
    </w:p>
    <w:p w14:paraId="1DA380C5" w14:textId="685859EF" w:rsidR="002C1266" w:rsidRPr="0098262F" w:rsidRDefault="002C1266" w:rsidP="002C1266">
      <w:pPr>
        <w:pStyle w:val="TableFigureHeading"/>
        <w:rPr>
          <w:rStyle w:val="CommentReference"/>
          <w:b/>
          <w:szCs w:val="24"/>
        </w:rPr>
      </w:pPr>
      <w:bookmarkStart w:id="22" w:name="_Ref104803956"/>
      <w:r w:rsidRPr="0098262F">
        <w:t xml:space="preserve">Table </w:t>
      </w:r>
      <w:r>
        <w:fldChar w:fldCharType="begin"/>
      </w:r>
      <w:r>
        <w:instrText>SEQ Table \* ARABIC</w:instrText>
      </w:r>
      <w:r>
        <w:fldChar w:fldCharType="separate"/>
      </w:r>
      <w:r w:rsidR="00CE52BF">
        <w:rPr>
          <w:noProof/>
        </w:rPr>
        <w:t>2</w:t>
      </w:r>
      <w:r>
        <w:fldChar w:fldCharType="end"/>
      </w:r>
      <w:bookmarkEnd w:id="22"/>
      <w:r w:rsidRPr="0098262F">
        <w:t>:</w:t>
      </w:r>
      <w:r w:rsidRPr="0098262F">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51"/>
        <w:gridCol w:w="5452"/>
        <w:gridCol w:w="2114"/>
      </w:tblGrid>
      <w:tr w:rsidR="002C1266" w:rsidRPr="0098262F" w14:paraId="7E422183" w14:textId="77777777" w:rsidTr="2BCE08C6">
        <w:trPr>
          <w:tblHeader/>
        </w:trPr>
        <w:tc>
          <w:tcPr>
            <w:tcW w:w="805" w:type="pct"/>
          </w:tcPr>
          <w:p w14:paraId="248FD6DE" w14:textId="77777777" w:rsidR="002C1266" w:rsidRPr="0098262F" w:rsidRDefault="002C1266">
            <w:pPr>
              <w:pStyle w:val="In-tableHeading"/>
              <w:keepNext w:val="0"/>
              <w:keepLines w:val="0"/>
              <w:widowControl w:val="0"/>
              <w:rPr>
                <w:lang w:val="en-AU"/>
              </w:rPr>
            </w:pPr>
            <w:r w:rsidRPr="0098262F">
              <w:rPr>
                <w:lang w:val="en-AU"/>
              </w:rPr>
              <w:t>Trial ID</w:t>
            </w:r>
          </w:p>
        </w:tc>
        <w:tc>
          <w:tcPr>
            <w:tcW w:w="3023" w:type="pct"/>
          </w:tcPr>
          <w:p w14:paraId="3D32B932" w14:textId="77777777" w:rsidR="002C1266" w:rsidRPr="0098262F" w:rsidRDefault="002C1266">
            <w:pPr>
              <w:pStyle w:val="In-tableHeading"/>
              <w:keepNext w:val="0"/>
              <w:keepLines w:val="0"/>
              <w:widowControl w:val="0"/>
              <w:rPr>
                <w:lang w:val="en-AU"/>
              </w:rPr>
            </w:pPr>
            <w:r w:rsidRPr="0098262F">
              <w:rPr>
                <w:lang w:val="en-AU"/>
              </w:rPr>
              <w:t>Protocol title/ Publication title</w:t>
            </w:r>
          </w:p>
        </w:tc>
        <w:tc>
          <w:tcPr>
            <w:tcW w:w="1172" w:type="pct"/>
          </w:tcPr>
          <w:p w14:paraId="5DF795FE" w14:textId="77777777" w:rsidR="002C1266" w:rsidRPr="0098262F" w:rsidRDefault="002C1266">
            <w:pPr>
              <w:pStyle w:val="In-tableHeading"/>
              <w:keepNext w:val="0"/>
              <w:keepLines w:val="0"/>
              <w:widowControl w:val="0"/>
              <w:rPr>
                <w:lang w:val="en-AU"/>
              </w:rPr>
            </w:pPr>
            <w:r w:rsidRPr="0098262F">
              <w:rPr>
                <w:lang w:val="en-AU"/>
              </w:rPr>
              <w:t>Publication citation</w:t>
            </w:r>
          </w:p>
        </w:tc>
      </w:tr>
      <w:tr w:rsidR="002C1266" w:rsidRPr="0098262F" w14:paraId="533BF3A1" w14:textId="77777777" w:rsidTr="2BCE08C6">
        <w:tc>
          <w:tcPr>
            <w:tcW w:w="805" w:type="pct"/>
            <w:tcBorders>
              <w:bottom w:val="nil"/>
            </w:tcBorders>
          </w:tcPr>
          <w:p w14:paraId="4A0CA28A" w14:textId="77777777" w:rsidR="002C1266" w:rsidRDefault="002C1266" w:rsidP="00D131BA">
            <w:pPr>
              <w:pStyle w:val="TableText0"/>
              <w:rPr>
                <w:snapToGrid w:val="0"/>
              </w:rPr>
            </w:pPr>
            <w:r w:rsidRPr="006C2D62">
              <w:rPr>
                <w:snapToGrid w:val="0"/>
              </w:rPr>
              <w:t xml:space="preserve">POLYP 1 </w:t>
            </w:r>
          </w:p>
          <w:p w14:paraId="61C45D06" w14:textId="77777777" w:rsidR="002C1266" w:rsidRDefault="002C1266" w:rsidP="00D131BA">
            <w:pPr>
              <w:pStyle w:val="TableText0"/>
              <w:rPr>
                <w:snapToGrid w:val="0"/>
              </w:rPr>
            </w:pPr>
            <w:r>
              <w:rPr>
                <w:snapToGrid w:val="0"/>
              </w:rPr>
              <w:t>(</w:t>
            </w:r>
            <w:r w:rsidRPr="00D8509A">
              <w:rPr>
                <w:snapToGrid w:val="0"/>
              </w:rPr>
              <w:t>NCT03280550</w:t>
            </w:r>
            <w:r>
              <w:rPr>
                <w:snapToGrid w:val="0"/>
              </w:rPr>
              <w:t>)</w:t>
            </w:r>
          </w:p>
          <w:p w14:paraId="4531A7AA" w14:textId="77777777" w:rsidR="002C1266" w:rsidRPr="0098262F" w:rsidRDefault="002C1266" w:rsidP="00D131BA">
            <w:pPr>
              <w:pStyle w:val="TableText0"/>
            </w:pPr>
            <w:r w:rsidRPr="006C2D62">
              <w:rPr>
                <w:snapToGrid w:val="0"/>
              </w:rPr>
              <w:t>and/or POLYP 2</w:t>
            </w:r>
            <w:r>
              <w:rPr>
                <w:snapToGrid w:val="0"/>
              </w:rPr>
              <w:t xml:space="preserve"> (</w:t>
            </w:r>
            <w:r w:rsidRPr="0093295A">
              <w:rPr>
                <w:snapToGrid w:val="0"/>
              </w:rPr>
              <w:t>NCT03280537</w:t>
            </w:r>
            <w:r>
              <w:rPr>
                <w:snapToGrid w:val="0"/>
              </w:rPr>
              <w:t>)</w:t>
            </w:r>
          </w:p>
        </w:tc>
        <w:tc>
          <w:tcPr>
            <w:tcW w:w="3023" w:type="pct"/>
            <w:tcBorders>
              <w:bottom w:val="nil"/>
            </w:tcBorders>
          </w:tcPr>
          <w:p w14:paraId="1CFA0199" w14:textId="42DD56E9" w:rsidR="002C1266" w:rsidRPr="00CE6C07" w:rsidRDefault="002C1266" w:rsidP="00D131BA">
            <w:pPr>
              <w:pStyle w:val="TableText0"/>
            </w:pPr>
            <w:r w:rsidRPr="27F32C45">
              <w:t xml:space="preserve">Final CSR GA39688 (POLYP 1), A Phase III, Randomized, </w:t>
            </w:r>
            <w:proofErr w:type="spellStart"/>
            <w:r w:rsidRPr="27F32C45">
              <w:t>Multicenter</w:t>
            </w:r>
            <w:proofErr w:type="spellEnd"/>
            <w:r w:rsidRPr="27F32C45">
              <w:t>, Double-Blind, Placebo-Controlled Clinical Trial of Omalizumab in Patients with Chronic Rhinosinusitis With Nasal Polyps. Report No. 1094284.</w:t>
            </w:r>
          </w:p>
        </w:tc>
        <w:tc>
          <w:tcPr>
            <w:tcW w:w="1172" w:type="pct"/>
            <w:tcBorders>
              <w:bottom w:val="nil"/>
            </w:tcBorders>
          </w:tcPr>
          <w:p w14:paraId="3E1C0015" w14:textId="77777777" w:rsidR="002C1266" w:rsidRPr="0098262F" w:rsidRDefault="002C1266" w:rsidP="00D131BA">
            <w:pPr>
              <w:pStyle w:val="TableText0"/>
            </w:pPr>
            <w:r w:rsidRPr="006C2D62">
              <w:rPr>
                <w:snapToGrid w:val="0"/>
              </w:rPr>
              <w:t>August 2019</w:t>
            </w:r>
          </w:p>
        </w:tc>
      </w:tr>
      <w:tr w:rsidR="002C1266" w:rsidRPr="0098262F" w14:paraId="67F64BF4" w14:textId="77777777" w:rsidTr="2BCE08C6">
        <w:tc>
          <w:tcPr>
            <w:tcW w:w="805" w:type="pct"/>
            <w:tcBorders>
              <w:top w:val="nil"/>
              <w:bottom w:val="nil"/>
            </w:tcBorders>
          </w:tcPr>
          <w:p w14:paraId="3DFE44B3" w14:textId="77777777" w:rsidR="002C1266" w:rsidRPr="0098262F" w:rsidRDefault="002C1266" w:rsidP="00D131BA">
            <w:pPr>
              <w:pStyle w:val="TableText0"/>
            </w:pPr>
          </w:p>
        </w:tc>
        <w:tc>
          <w:tcPr>
            <w:tcW w:w="3023" w:type="pct"/>
            <w:tcBorders>
              <w:top w:val="nil"/>
              <w:bottom w:val="nil"/>
            </w:tcBorders>
          </w:tcPr>
          <w:p w14:paraId="5E9E5F5E" w14:textId="1A175107" w:rsidR="002C1266" w:rsidRDefault="002C1266" w:rsidP="00D131BA">
            <w:pPr>
              <w:pStyle w:val="TableText0"/>
            </w:pPr>
            <w:r w:rsidRPr="2BCE08C6">
              <w:t xml:space="preserve">Final CSR GA39855 (POLYP 2), A Phase III, Randomized, </w:t>
            </w:r>
            <w:proofErr w:type="spellStart"/>
            <w:r w:rsidRPr="2BCE08C6">
              <w:t>Multicenter</w:t>
            </w:r>
            <w:proofErr w:type="spellEnd"/>
            <w:r w:rsidRPr="2BCE08C6">
              <w:t>, Double-Blind, Placebo-Controlled Clinical Trial of Omalizumab in Patients with Chronic Rhinosinusitis With Nasal Polyps. Report No. 1092977</w:t>
            </w:r>
          </w:p>
          <w:p w14:paraId="7CBD78E7" w14:textId="77777777" w:rsidR="002C1266" w:rsidRPr="0098262F" w:rsidRDefault="002C1266" w:rsidP="00D131BA">
            <w:pPr>
              <w:pStyle w:val="TableText0"/>
            </w:pPr>
          </w:p>
        </w:tc>
        <w:tc>
          <w:tcPr>
            <w:tcW w:w="1172" w:type="pct"/>
            <w:tcBorders>
              <w:top w:val="nil"/>
              <w:bottom w:val="nil"/>
            </w:tcBorders>
          </w:tcPr>
          <w:p w14:paraId="0BD43B5E" w14:textId="77777777" w:rsidR="002C1266" w:rsidRPr="0098262F" w:rsidRDefault="002C1266" w:rsidP="00D131BA">
            <w:pPr>
              <w:pStyle w:val="TableText0"/>
            </w:pPr>
            <w:r w:rsidRPr="006C2D62">
              <w:rPr>
                <w:snapToGrid w:val="0"/>
              </w:rPr>
              <w:t>August 2019</w:t>
            </w:r>
          </w:p>
        </w:tc>
      </w:tr>
      <w:tr w:rsidR="002C1266" w:rsidRPr="0098262F" w14:paraId="233CD665" w14:textId="77777777" w:rsidTr="2BCE08C6">
        <w:tc>
          <w:tcPr>
            <w:tcW w:w="805" w:type="pct"/>
            <w:tcBorders>
              <w:top w:val="nil"/>
              <w:bottom w:val="nil"/>
            </w:tcBorders>
          </w:tcPr>
          <w:p w14:paraId="6ECCC26E" w14:textId="77777777" w:rsidR="002C1266" w:rsidRPr="0098262F" w:rsidRDefault="002C1266" w:rsidP="00D131BA">
            <w:pPr>
              <w:pStyle w:val="TableText0"/>
            </w:pPr>
          </w:p>
        </w:tc>
        <w:tc>
          <w:tcPr>
            <w:tcW w:w="3023" w:type="pct"/>
            <w:tcBorders>
              <w:top w:val="nil"/>
              <w:bottom w:val="nil"/>
            </w:tcBorders>
          </w:tcPr>
          <w:p w14:paraId="404BDA4A" w14:textId="652F7FEE" w:rsidR="002C1266" w:rsidRPr="0098262F" w:rsidRDefault="002C1266" w:rsidP="00D131BA">
            <w:pPr>
              <w:pStyle w:val="TableText0"/>
            </w:pPr>
            <w:r w:rsidRPr="2BCE08C6">
              <w:t xml:space="preserve">Gevaert P, </w:t>
            </w:r>
            <w:proofErr w:type="spellStart"/>
            <w:r w:rsidRPr="2BCE08C6">
              <w:t>Omachi</w:t>
            </w:r>
            <w:proofErr w:type="spellEnd"/>
            <w:r w:rsidRPr="2BCE08C6">
              <w:t xml:space="preserve"> TA, Corren J, </w:t>
            </w:r>
            <w:proofErr w:type="spellStart"/>
            <w:r w:rsidRPr="2BCE08C6">
              <w:t>Mullol</w:t>
            </w:r>
            <w:proofErr w:type="spellEnd"/>
            <w:r w:rsidRPr="2BCE08C6">
              <w:t xml:space="preserve"> J, Han J, Lee SE, et al. Efficacy and safety of omalizumab in nasal polyposis: 2 randomized phase 3 trials. </w:t>
            </w:r>
          </w:p>
        </w:tc>
        <w:tc>
          <w:tcPr>
            <w:tcW w:w="1172" w:type="pct"/>
            <w:tcBorders>
              <w:top w:val="nil"/>
              <w:bottom w:val="nil"/>
            </w:tcBorders>
          </w:tcPr>
          <w:p w14:paraId="39022B1D" w14:textId="77777777" w:rsidR="002C1266" w:rsidRPr="00E708E2" w:rsidRDefault="002C1266" w:rsidP="00D131BA">
            <w:pPr>
              <w:pStyle w:val="TableText0"/>
            </w:pPr>
            <w:r w:rsidRPr="00E708E2">
              <w:t>Journal of Allergy and Clinical Immunology. 2020;146(3):595-605.</w:t>
            </w:r>
          </w:p>
        </w:tc>
      </w:tr>
      <w:tr w:rsidR="002C1266" w:rsidRPr="0098262F" w14:paraId="043584CA" w14:textId="77777777" w:rsidTr="2BCE08C6">
        <w:tc>
          <w:tcPr>
            <w:tcW w:w="805" w:type="pct"/>
            <w:tcBorders>
              <w:bottom w:val="nil"/>
            </w:tcBorders>
          </w:tcPr>
          <w:p w14:paraId="6FF9B8E1" w14:textId="77777777" w:rsidR="002C1266" w:rsidRDefault="002C1266" w:rsidP="00D131BA">
            <w:pPr>
              <w:pStyle w:val="TableText0"/>
            </w:pPr>
            <w:r w:rsidRPr="005B2803">
              <w:t>SYNAPSE</w:t>
            </w:r>
          </w:p>
          <w:p w14:paraId="5A3687EC" w14:textId="77777777" w:rsidR="002C1266" w:rsidRPr="0098262F" w:rsidRDefault="002C1266" w:rsidP="00D131BA">
            <w:pPr>
              <w:pStyle w:val="TableText0"/>
            </w:pPr>
            <w:r w:rsidRPr="009D1CAA">
              <w:t>NCT03085797</w:t>
            </w:r>
          </w:p>
        </w:tc>
        <w:tc>
          <w:tcPr>
            <w:tcW w:w="3023" w:type="pct"/>
            <w:tcBorders>
              <w:bottom w:val="nil"/>
            </w:tcBorders>
          </w:tcPr>
          <w:p w14:paraId="7909500F" w14:textId="32260368" w:rsidR="002C1266" w:rsidRDefault="002C1266" w:rsidP="00D131BA">
            <w:pPr>
              <w:pStyle w:val="TableText0"/>
            </w:pPr>
            <w:r w:rsidRPr="2BCE08C6">
              <w:t xml:space="preserve">Han JK, Bachert C, </w:t>
            </w:r>
            <w:proofErr w:type="spellStart"/>
            <w:r w:rsidRPr="2BCE08C6">
              <w:t>Fokkens</w:t>
            </w:r>
            <w:proofErr w:type="spellEnd"/>
            <w:r w:rsidRPr="2BCE08C6">
              <w:t xml:space="preserve"> W, Desrosiers M, Wagenmann M, Lee SE, et al. Mepolizumab for chronic rhinosinusitis with nasal polyps (SYNAPSE): a randomised, double-blind, placebo-controlled, phase 3 trial. </w:t>
            </w:r>
          </w:p>
          <w:p w14:paraId="75513BCB" w14:textId="77777777" w:rsidR="002C1266" w:rsidRPr="0098262F" w:rsidRDefault="002C1266" w:rsidP="00D131BA">
            <w:pPr>
              <w:pStyle w:val="TableText0"/>
            </w:pPr>
          </w:p>
        </w:tc>
        <w:tc>
          <w:tcPr>
            <w:tcW w:w="1172" w:type="pct"/>
            <w:tcBorders>
              <w:bottom w:val="nil"/>
            </w:tcBorders>
          </w:tcPr>
          <w:p w14:paraId="486FCDC3" w14:textId="77777777" w:rsidR="002C1266" w:rsidRPr="0098262F" w:rsidRDefault="002C1266" w:rsidP="00D131BA">
            <w:pPr>
              <w:pStyle w:val="TableText0"/>
            </w:pPr>
            <w:r w:rsidRPr="00B57DF9">
              <w:t>The Lancet Respiratory Medicine. 2021;9(10):1141-53.</w:t>
            </w:r>
          </w:p>
        </w:tc>
      </w:tr>
      <w:tr w:rsidR="002C1266" w:rsidRPr="0098262F" w14:paraId="5630F3CE" w14:textId="77777777" w:rsidTr="2BCE08C6">
        <w:tc>
          <w:tcPr>
            <w:tcW w:w="805" w:type="pct"/>
            <w:tcBorders>
              <w:top w:val="nil"/>
              <w:bottom w:val="nil"/>
            </w:tcBorders>
          </w:tcPr>
          <w:p w14:paraId="1433EFC9" w14:textId="77777777" w:rsidR="002C1266" w:rsidRPr="0098262F" w:rsidRDefault="002C1266" w:rsidP="00D131BA">
            <w:pPr>
              <w:pStyle w:val="TableText0"/>
            </w:pPr>
          </w:p>
        </w:tc>
        <w:tc>
          <w:tcPr>
            <w:tcW w:w="3023" w:type="pct"/>
            <w:tcBorders>
              <w:top w:val="nil"/>
              <w:bottom w:val="nil"/>
            </w:tcBorders>
          </w:tcPr>
          <w:p w14:paraId="2782A08D" w14:textId="77777777" w:rsidR="002C1266" w:rsidRPr="0098262F" w:rsidRDefault="002C1266" w:rsidP="00D131BA">
            <w:pPr>
              <w:pStyle w:val="TableText0"/>
            </w:pPr>
            <w:r w:rsidRPr="2BCE08C6">
              <w:t xml:space="preserve">Mepolizumab for the treatment of </w:t>
            </w:r>
            <w:proofErr w:type="spellStart"/>
            <w:r w:rsidRPr="2BCE08C6">
              <w:t>CRSwNP</w:t>
            </w:r>
            <w:proofErr w:type="spellEnd"/>
            <w:r w:rsidRPr="2BCE08C6">
              <w:t>. Public Summary Document.</w:t>
            </w:r>
          </w:p>
        </w:tc>
        <w:tc>
          <w:tcPr>
            <w:tcW w:w="1172" w:type="pct"/>
            <w:tcBorders>
              <w:top w:val="nil"/>
              <w:bottom w:val="nil"/>
            </w:tcBorders>
          </w:tcPr>
          <w:p w14:paraId="59561358" w14:textId="77777777" w:rsidR="002C1266" w:rsidRPr="0098262F" w:rsidRDefault="002C1266" w:rsidP="00D131BA">
            <w:pPr>
              <w:pStyle w:val="TableText0"/>
              <w:rPr>
                <w:i/>
              </w:rPr>
            </w:pPr>
            <w:r>
              <w:t>November 2022 PBAC Meeting</w:t>
            </w:r>
          </w:p>
        </w:tc>
      </w:tr>
      <w:tr w:rsidR="002C1266" w:rsidRPr="0098262F" w14:paraId="21ADD775" w14:textId="77777777" w:rsidTr="2BCE08C6">
        <w:tc>
          <w:tcPr>
            <w:tcW w:w="805" w:type="pct"/>
            <w:tcBorders>
              <w:top w:val="nil"/>
              <w:bottom w:val="nil"/>
            </w:tcBorders>
          </w:tcPr>
          <w:p w14:paraId="2F0601B3" w14:textId="77777777" w:rsidR="002C1266" w:rsidRPr="0098262F" w:rsidRDefault="002C1266" w:rsidP="00D131BA">
            <w:pPr>
              <w:pStyle w:val="TableText0"/>
            </w:pPr>
          </w:p>
        </w:tc>
        <w:tc>
          <w:tcPr>
            <w:tcW w:w="3023" w:type="pct"/>
            <w:tcBorders>
              <w:top w:val="nil"/>
              <w:bottom w:val="nil"/>
            </w:tcBorders>
          </w:tcPr>
          <w:p w14:paraId="147BFE08" w14:textId="77777777" w:rsidR="002C1266" w:rsidRPr="0098262F" w:rsidRDefault="002C1266" w:rsidP="00D131BA">
            <w:pPr>
              <w:pStyle w:val="TableText0"/>
            </w:pPr>
            <w:r w:rsidRPr="2BCE08C6">
              <w:t xml:space="preserve">Mepolizumab for the treatment of </w:t>
            </w:r>
            <w:proofErr w:type="spellStart"/>
            <w:r w:rsidRPr="2BCE08C6">
              <w:t>CRSwNP</w:t>
            </w:r>
            <w:proofErr w:type="spellEnd"/>
            <w:r w:rsidRPr="2BCE08C6">
              <w:t xml:space="preserve">. Public Summary Document </w:t>
            </w:r>
          </w:p>
        </w:tc>
        <w:tc>
          <w:tcPr>
            <w:tcW w:w="1172" w:type="pct"/>
            <w:tcBorders>
              <w:top w:val="nil"/>
              <w:bottom w:val="nil"/>
            </w:tcBorders>
          </w:tcPr>
          <w:p w14:paraId="73CD2FC0" w14:textId="77777777" w:rsidR="002C1266" w:rsidRPr="0098262F" w:rsidRDefault="002C1266" w:rsidP="00D131BA">
            <w:pPr>
              <w:pStyle w:val="TableText0"/>
            </w:pPr>
            <w:r>
              <w:t>November 2021 PBAC Meeting.</w:t>
            </w:r>
          </w:p>
        </w:tc>
      </w:tr>
      <w:tr w:rsidR="002C1266" w:rsidRPr="0098262F" w14:paraId="7F1C9C22" w14:textId="77777777" w:rsidTr="2BCE08C6">
        <w:tc>
          <w:tcPr>
            <w:tcW w:w="805" w:type="pct"/>
            <w:tcBorders>
              <w:bottom w:val="single" w:sz="4" w:space="0" w:color="auto"/>
            </w:tcBorders>
          </w:tcPr>
          <w:p w14:paraId="252F5CFA" w14:textId="77777777" w:rsidR="002C1266" w:rsidRDefault="002C1266" w:rsidP="00D131BA">
            <w:pPr>
              <w:pStyle w:val="TableText0"/>
            </w:pPr>
            <w:r>
              <w:t>MERIT</w:t>
            </w:r>
          </w:p>
          <w:p w14:paraId="250EA283" w14:textId="77777777" w:rsidR="002C1266" w:rsidRPr="0098262F" w:rsidRDefault="002C1266" w:rsidP="00D131BA">
            <w:pPr>
              <w:pStyle w:val="TableText0"/>
            </w:pPr>
            <w:r w:rsidRPr="004F5243">
              <w:t>NCT04607005</w:t>
            </w:r>
          </w:p>
        </w:tc>
        <w:tc>
          <w:tcPr>
            <w:tcW w:w="3023" w:type="pct"/>
            <w:tcBorders>
              <w:bottom w:val="single" w:sz="4" w:space="0" w:color="auto"/>
            </w:tcBorders>
          </w:tcPr>
          <w:p w14:paraId="3D7D3E34" w14:textId="444A957B" w:rsidR="002C1266" w:rsidRPr="0098262F" w:rsidRDefault="002C1266" w:rsidP="00D131BA">
            <w:pPr>
              <w:pStyle w:val="TableText0"/>
            </w:pPr>
            <w:r w:rsidRPr="2BCE08C6">
              <w:t xml:space="preserve">Fujieda S, Wang C, Yoshikawa M, Asako M, </w:t>
            </w:r>
            <w:proofErr w:type="spellStart"/>
            <w:r w:rsidRPr="2BCE08C6">
              <w:t>Suzaki</w:t>
            </w:r>
            <w:proofErr w:type="spellEnd"/>
            <w:r w:rsidRPr="2BCE08C6">
              <w:t xml:space="preserve"> I, Bachert C, et al. Mepolizumab in </w:t>
            </w:r>
            <w:proofErr w:type="spellStart"/>
            <w:r w:rsidRPr="2BCE08C6">
              <w:t>CRSwNP</w:t>
            </w:r>
            <w:proofErr w:type="spellEnd"/>
            <w:r w:rsidRPr="2BCE08C6">
              <w:t xml:space="preserve">/ECRS and NP: the phase III randomised MERIT trial in Japan, China, and Russia. </w:t>
            </w:r>
          </w:p>
        </w:tc>
        <w:tc>
          <w:tcPr>
            <w:tcW w:w="1172" w:type="pct"/>
            <w:tcBorders>
              <w:bottom w:val="single" w:sz="4" w:space="0" w:color="auto"/>
            </w:tcBorders>
          </w:tcPr>
          <w:p w14:paraId="08C816BA" w14:textId="77777777" w:rsidR="002C1266" w:rsidRPr="0098262F" w:rsidRDefault="002C1266" w:rsidP="00D131BA">
            <w:pPr>
              <w:pStyle w:val="TableText0"/>
            </w:pPr>
            <w:r w:rsidRPr="008B0DB9">
              <w:t>Rhinology</w:t>
            </w:r>
            <w:r>
              <w:t>.</w:t>
            </w:r>
            <w:r w:rsidRPr="008B0DB9">
              <w:t xml:space="preserve"> 2024</w:t>
            </w:r>
          </w:p>
        </w:tc>
      </w:tr>
    </w:tbl>
    <w:p w14:paraId="079EB7E5" w14:textId="77777777" w:rsidR="002C1266" w:rsidRPr="00C84752" w:rsidRDefault="002C1266" w:rsidP="000E202A">
      <w:pPr>
        <w:pStyle w:val="TableFigureFooter"/>
        <w:jc w:val="both"/>
      </w:pPr>
      <w:r w:rsidRPr="00C84752">
        <w:t>Source: Table 2.5, pp44-48 of the submission.</w:t>
      </w:r>
    </w:p>
    <w:p w14:paraId="6F018343" w14:textId="77777777" w:rsidR="002C1266" w:rsidRPr="00C84752" w:rsidRDefault="002C1266" w:rsidP="000E202A">
      <w:pPr>
        <w:pStyle w:val="TableFigureFooter"/>
        <w:jc w:val="both"/>
      </w:pPr>
      <w:proofErr w:type="spellStart"/>
      <w:r w:rsidRPr="2BCE08C6">
        <w:t>CRSwNP</w:t>
      </w:r>
      <w:proofErr w:type="spellEnd"/>
      <w:r w:rsidRPr="2BCE08C6">
        <w:t>, chronic rhinosinusitis with nasal polyps; CSR, clinical study report; ECRS, eosinophilic chronic rhinosinusitis; NP, nasal polyps; PBAC, Pharmaceutical Benefits Advisory Committee; PSD, Public Summary Document.</w:t>
      </w:r>
    </w:p>
    <w:p w14:paraId="1B69819F" w14:textId="57A36A57" w:rsidR="000F0315" w:rsidRDefault="002C1266" w:rsidP="000E202A">
      <w:pPr>
        <w:pStyle w:val="TableFigureFooter"/>
        <w:jc w:val="both"/>
      </w:pPr>
      <w:r w:rsidRPr="00C84752">
        <w:t>Note: Only the main sources of evidence included in the submission were listed in this table. Conference abstracts presented in the submission were excluded given the availability of full-text publications, from which outcomes were extracted and presented in the submission.</w:t>
      </w:r>
    </w:p>
    <w:p w14:paraId="5E0BE409" w14:textId="775B9EFA" w:rsidR="00116A0A" w:rsidRDefault="002C1266" w:rsidP="002C1266">
      <w:pPr>
        <w:pStyle w:val="3-BodyText"/>
      </w:pPr>
      <w:bookmarkStart w:id="23" w:name="_Ref190343540"/>
      <w:r w:rsidRPr="0098262F">
        <w:t xml:space="preserve">The key features of the included evidence are summarised in </w:t>
      </w:r>
      <w:r w:rsidRPr="0098262F">
        <w:fldChar w:fldCharType="begin"/>
      </w:r>
      <w:r w:rsidRPr="0098262F">
        <w:instrText xml:space="preserve"> REF _Ref104804098 \h  \* MERGEFORMAT </w:instrText>
      </w:r>
      <w:r w:rsidRPr="0098262F">
        <w:fldChar w:fldCharType="separate"/>
      </w:r>
      <w:r w:rsidR="00CE52BF" w:rsidRPr="00CE52BF">
        <w:t>Table 3</w:t>
      </w:r>
      <w:r w:rsidRPr="0098262F">
        <w:fldChar w:fldCharType="end"/>
      </w:r>
      <w:r w:rsidRPr="0098262F">
        <w:t>.</w:t>
      </w:r>
      <w:bookmarkEnd w:id="23"/>
    </w:p>
    <w:p w14:paraId="09381B6B" w14:textId="447292DB" w:rsidR="002C1266" w:rsidRPr="0098262F" w:rsidRDefault="002C1266" w:rsidP="000E202A">
      <w:pPr>
        <w:pStyle w:val="Caption"/>
        <w:rPr>
          <w:rStyle w:val="CommentReference"/>
          <w:rFonts w:eastAsiaTheme="majorEastAsia" w:cstheme="majorBidi"/>
          <w:b/>
          <w:szCs w:val="24"/>
        </w:rPr>
      </w:pPr>
      <w:bookmarkStart w:id="24" w:name="_Ref104804098"/>
      <w:r w:rsidRPr="0098262F">
        <w:rPr>
          <w:rStyle w:val="CommentReference"/>
          <w:rFonts w:eastAsiaTheme="majorEastAsia" w:cstheme="majorBidi"/>
          <w:b/>
          <w:szCs w:val="24"/>
        </w:rPr>
        <w:t xml:space="preserve">Table </w:t>
      </w:r>
      <w:r w:rsidRPr="0098262F">
        <w:rPr>
          <w:rStyle w:val="CommentReference"/>
          <w:rFonts w:eastAsiaTheme="majorEastAsia" w:cstheme="majorBidi"/>
          <w:b/>
          <w:szCs w:val="24"/>
        </w:rPr>
        <w:fldChar w:fldCharType="begin"/>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CE52BF">
        <w:rPr>
          <w:rStyle w:val="CommentReference"/>
          <w:rFonts w:eastAsiaTheme="majorEastAsia" w:cstheme="majorBidi"/>
          <w:b/>
          <w:noProof/>
          <w:szCs w:val="24"/>
        </w:rPr>
        <w:t>3</w:t>
      </w:r>
      <w:r w:rsidRPr="0098262F">
        <w:rPr>
          <w:rStyle w:val="CommentReference"/>
          <w:rFonts w:eastAsiaTheme="majorEastAsia" w:cstheme="majorBidi"/>
          <w:b/>
          <w:szCs w:val="24"/>
        </w:rPr>
        <w:fldChar w:fldCharType="end"/>
      </w:r>
      <w:bookmarkEnd w:id="24"/>
      <w:r w:rsidRPr="0098262F">
        <w:rPr>
          <w:rStyle w:val="CommentReference"/>
          <w:rFonts w:eastAsiaTheme="majorEastAsia" w:cstheme="majorBidi"/>
          <w:b/>
          <w:szCs w:val="24"/>
        </w:rPr>
        <w:t>: Key features of the included evidence</w:t>
      </w:r>
      <w:r>
        <w:rPr>
          <w:rStyle w:val="CommentReference"/>
          <w:rFonts w:eastAsiaTheme="majorEastAsia" w:cstheme="majorBidi"/>
          <w:b/>
          <w:szCs w:val="24"/>
        </w:rPr>
        <w:t xml:space="preserve"> </w:t>
      </w:r>
      <w:r w:rsidRPr="0098262F">
        <w:rPr>
          <w:rStyle w:val="CommentReference"/>
          <w:b/>
          <w:szCs w:val="24"/>
        </w:rPr>
        <w:t>–</w:t>
      </w:r>
      <w:r>
        <w:rPr>
          <w:rStyle w:val="CommentReference"/>
          <w:rFonts w:eastAsiaTheme="majorEastAsia" w:cstheme="majorBidi"/>
          <w:b/>
          <w:szCs w:val="24"/>
        </w:rPr>
        <w:t xml:space="preserve">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17"/>
        <w:gridCol w:w="990"/>
        <w:gridCol w:w="1740"/>
        <w:gridCol w:w="994"/>
        <w:gridCol w:w="2070"/>
        <w:gridCol w:w="1706"/>
      </w:tblGrid>
      <w:tr w:rsidR="002C1266" w:rsidRPr="0098262F" w14:paraId="41DF48A5" w14:textId="77777777" w:rsidTr="2BCE08C6">
        <w:trPr>
          <w:cantSplit/>
          <w:tblHeader/>
        </w:trPr>
        <w:tc>
          <w:tcPr>
            <w:tcW w:w="841" w:type="pct"/>
            <w:shd w:val="clear" w:color="auto" w:fill="auto"/>
          </w:tcPr>
          <w:p w14:paraId="48808BCC" w14:textId="77777777" w:rsidR="002C1266" w:rsidRPr="0098262F" w:rsidRDefault="002C1266" w:rsidP="000E202A">
            <w:pPr>
              <w:pStyle w:val="In-tableHeading"/>
              <w:rPr>
                <w:lang w:val="en-AU"/>
              </w:rPr>
            </w:pPr>
            <w:r w:rsidRPr="0098262F">
              <w:rPr>
                <w:lang w:val="en-AU"/>
              </w:rPr>
              <w:t>Trial</w:t>
            </w:r>
          </w:p>
        </w:tc>
        <w:tc>
          <w:tcPr>
            <w:tcW w:w="549" w:type="pct"/>
            <w:shd w:val="clear" w:color="auto" w:fill="auto"/>
          </w:tcPr>
          <w:p w14:paraId="067FE63B" w14:textId="77777777" w:rsidR="002C1266" w:rsidRPr="0098262F" w:rsidRDefault="002C1266" w:rsidP="000E202A">
            <w:pPr>
              <w:pStyle w:val="In-tableHeading"/>
              <w:rPr>
                <w:lang w:val="en-AU"/>
              </w:rPr>
            </w:pPr>
            <w:r w:rsidRPr="0098262F">
              <w:rPr>
                <w:lang w:val="en-AU"/>
              </w:rPr>
              <w:t>N</w:t>
            </w:r>
          </w:p>
        </w:tc>
        <w:tc>
          <w:tcPr>
            <w:tcW w:w="965" w:type="pct"/>
            <w:shd w:val="clear" w:color="auto" w:fill="auto"/>
          </w:tcPr>
          <w:p w14:paraId="73B02618" w14:textId="77777777" w:rsidR="002C1266" w:rsidRPr="0098262F" w:rsidRDefault="002C1266" w:rsidP="000E202A">
            <w:pPr>
              <w:pStyle w:val="In-tableHeading"/>
              <w:rPr>
                <w:lang w:val="en-AU"/>
              </w:rPr>
            </w:pPr>
            <w:r w:rsidRPr="0098262F">
              <w:rPr>
                <w:lang w:val="en-AU"/>
              </w:rPr>
              <w:t>Design/ duration</w:t>
            </w:r>
          </w:p>
        </w:tc>
        <w:tc>
          <w:tcPr>
            <w:tcW w:w="551" w:type="pct"/>
            <w:shd w:val="clear" w:color="auto" w:fill="auto"/>
          </w:tcPr>
          <w:p w14:paraId="47B25D8E" w14:textId="77777777" w:rsidR="002C1266" w:rsidRPr="0098262F" w:rsidRDefault="002C1266" w:rsidP="000E202A">
            <w:pPr>
              <w:pStyle w:val="In-tableHeading"/>
              <w:rPr>
                <w:lang w:val="en-AU"/>
              </w:rPr>
            </w:pPr>
            <w:r w:rsidRPr="0098262F">
              <w:rPr>
                <w:lang w:val="en-AU"/>
              </w:rPr>
              <w:t>Risk of bias</w:t>
            </w:r>
          </w:p>
        </w:tc>
        <w:tc>
          <w:tcPr>
            <w:tcW w:w="1148" w:type="pct"/>
            <w:shd w:val="clear" w:color="auto" w:fill="auto"/>
          </w:tcPr>
          <w:p w14:paraId="20BBEDB9" w14:textId="77777777" w:rsidR="002C1266" w:rsidRPr="0098262F" w:rsidRDefault="002C1266" w:rsidP="000E202A">
            <w:pPr>
              <w:pStyle w:val="In-tableHeading"/>
              <w:rPr>
                <w:lang w:val="en-AU"/>
              </w:rPr>
            </w:pPr>
            <w:r w:rsidRPr="0098262F">
              <w:rPr>
                <w:lang w:val="en-AU"/>
              </w:rPr>
              <w:t>Patient population</w:t>
            </w:r>
          </w:p>
        </w:tc>
        <w:tc>
          <w:tcPr>
            <w:tcW w:w="946" w:type="pct"/>
            <w:shd w:val="clear" w:color="auto" w:fill="auto"/>
          </w:tcPr>
          <w:p w14:paraId="649BA394" w14:textId="77777777" w:rsidR="002C1266" w:rsidRPr="0098262F" w:rsidRDefault="002C1266" w:rsidP="000E202A">
            <w:pPr>
              <w:pStyle w:val="In-tableHeading"/>
              <w:rPr>
                <w:lang w:val="en-AU"/>
              </w:rPr>
            </w:pPr>
            <w:r w:rsidRPr="0098262F">
              <w:rPr>
                <w:lang w:val="en-AU"/>
              </w:rPr>
              <w:t>Outcome(s)</w:t>
            </w:r>
          </w:p>
        </w:tc>
      </w:tr>
      <w:tr w:rsidR="002C1266" w:rsidRPr="0098262F" w14:paraId="54D590EC" w14:textId="77777777" w:rsidTr="2BCE08C6">
        <w:trPr>
          <w:cantSplit/>
        </w:trPr>
        <w:tc>
          <w:tcPr>
            <w:tcW w:w="5000" w:type="pct"/>
            <w:gridSpan w:val="6"/>
            <w:shd w:val="clear" w:color="auto" w:fill="auto"/>
          </w:tcPr>
          <w:p w14:paraId="2DF2C0A7" w14:textId="610245A3" w:rsidR="002C1266" w:rsidRPr="001B7A2E" w:rsidRDefault="002C1266" w:rsidP="000E202A">
            <w:pPr>
              <w:pStyle w:val="TableText0"/>
              <w:keepNext/>
              <w:rPr>
                <w:b/>
                <w:bCs w:val="0"/>
              </w:rPr>
            </w:pPr>
            <w:r w:rsidRPr="001B7A2E">
              <w:rPr>
                <w:b/>
                <w:bCs w:val="0"/>
              </w:rPr>
              <w:t>Omalizumab versus placebo</w:t>
            </w:r>
            <w:r w:rsidR="00D52EFB">
              <w:rPr>
                <w:b/>
                <w:bCs w:val="0"/>
              </w:rPr>
              <w:t xml:space="preserve"> (in addition to INCS</w:t>
            </w:r>
            <w:r w:rsidR="00A16557">
              <w:rPr>
                <w:b/>
                <w:bCs w:val="0"/>
              </w:rPr>
              <w:t>)</w:t>
            </w:r>
          </w:p>
        </w:tc>
      </w:tr>
      <w:tr w:rsidR="002C1266" w:rsidRPr="0098262F" w14:paraId="61C95BEA" w14:textId="77777777" w:rsidTr="2BCE08C6">
        <w:trPr>
          <w:cantSplit/>
        </w:trPr>
        <w:tc>
          <w:tcPr>
            <w:tcW w:w="841" w:type="pct"/>
            <w:shd w:val="clear" w:color="auto" w:fill="auto"/>
          </w:tcPr>
          <w:p w14:paraId="202587CD" w14:textId="77777777" w:rsidR="002C1266" w:rsidRDefault="002C1266" w:rsidP="000E202A">
            <w:pPr>
              <w:pStyle w:val="TableText0"/>
              <w:keepNext/>
            </w:pPr>
            <w:r>
              <w:t>POLYP 1</w:t>
            </w:r>
          </w:p>
          <w:p w14:paraId="5AD783AF" w14:textId="77777777" w:rsidR="002C1266" w:rsidRPr="0098262F" w:rsidRDefault="002C1266" w:rsidP="000E202A">
            <w:pPr>
              <w:pStyle w:val="TableText0"/>
              <w:keepNext/>
            </w:pPr>
            <w:r w:rsidRPr="005B2803">
              <w:t>NCT03280550</w:t>
            </w:r>
          </w:p>
        </w:tc>
        <w:tc>
          <w:tcPr>
            <w:tcW w:w="549" w:type="pct"/>
            <w:shd w:val="clear" w:color="auto" w:fill="auto"/>
          </w:tcPr>
          <w:p w14:paraId="18E3C3F7" w14:textId="77777777" w:rsidR="002C1266" w:rsidRPr="0098262F" w:rsidRDefault="002C1266" w:rsidP="000E202A">
            <w:pPr>
              <w:pStyle w:val="TableText0"/>
              <w:keepNext/>
            </w:pPr>
            <w:r>
              <w:t>138</w:t>
            </w:r>
          </w:p>
        </w:tc>
        <w:tc>
          <w:tcPr>
            <w:tcW w:w="965" w:type="pct"/>
            <w:shd w:val="clear" w:color="auto" w:fill="auto"/>
          </w:tcPr>
          <w:p w14:paraId="74E1AA14" w14:textId="77777777" w:rsidR="002C1266" w:rsidRDefault="002C1266" w:rsidP="000E202A">
            <w:pPr>
              <w:pStyle w:val="TableText0"/>
              <w:keepNext/>
            </w:pPr>
            <w:r>
              <w:t xml:space="preserve">Phase 3, </w:t>
            </w:r>
            <w:r w:rsidRPr="0098262F">
              <w:t>R,</w:t>
            </w:r>
            <w:r>
              <w:t xml:space="preserve"> MC, </w:t>
            </w:r>
            <w:r w:rsidRPr="0098262F">
              <w:t>DB</w:t>
            </w:r>
            <w:r>
              <w:t>, PC, 24 weeks</w:t>
            </w:r>
          </w:p>
          <w:p w14:paraId="1046A8D2" w14:textId="77777777" w:rsidR="002C1266" w:rsidRDefault="002C1266" w:rsidP="000E202A">
            <w:pPr>
              <w:pStyle w:val="TableText0"/>
              <w:keepNext/>
            </w:pPr>
            <w:r>
              <w:t xml:space="preserve">OL (extension) </w:t>
            </w:r>
          </w:p>
          <w:p w14:paraId="01C734F8" w14:textId="77777777" w:rsidR="002C1266" w:rsidRPr="0098262F" w:rsidRDefault="002C1266" w:rsidP="000E202A">
            <w:pPr>
              <w:pStyle w:val="TableText0"/>
              <w:keepNext/>
            </w:pPr>
            <w:r>
              <w:t>28 weeks</w:t>
            </w:r>
          </w:p>
        </w:tc>
        <w:tc>
          <w:tcPr>
            <w:tcW w:w="551" w:type="pct"/>
            <w:shd w:val="clear" w:color="auto" w:fill="auto"/>
          </w:tcPr>
          <w:p w14:paraId="5247B5CE" w14:textId="77777777" w:rsidR="002C1266" w:rsidRPr="0098262F" w:rsidRDefault="002C1266" w:rsidP="000E202A">
            <w:pPr>
              <w:pStyle w:val="TableText0"/>
              <w:keepNext/>
              <w:rPr>
                <w:i/>
              </w:rPr>
            </w:pPr>
            <w:r>
              <w:t xml:space="preserve">Low </w:t>
            </w:r>
            <w:r w:rsidRPr="00EF172E">
              <w:rPr>
                <w:vertAlign w:val="superscript"/>
              </w:rPr>
              <w:t>a</w:t>
            </w:r>
          </w:p>
        </w:tc>
        <w:tc>
          <w:tcPr>
            <w:tcW w:w="1148" w:type="pct"/>
            <w:shd w:val="clear" w:color="auto" w:fill="auto"/>
          </w:tcPr>
          <w:p w14:paraId="24168405" w14:textId="77777777" w:rsidR="002C1266" w:rsidRPr="0098262F" w:rsidRDefault="002C1266" w:rsidP="000E202A">
            <w:pPr>
              <w:pStyle w:val="TableText0"/>
              <w:keepNext/>
            </w:pPr>
            <w:r w:rsidRPr="2BCE08C6">
              <w:t xml:space="preserve">Patients with inadequately controlled </w:t>
            </w:r>
            <w:proofErr w:type="spellStart"/>
            <w:r w:rsidRPr="2BCE08C6">
              <w:t>CRSwNP</w:t>
            </w:r>
            <w:proofErr w:type="spellEnd"/>
            <w:r w:rsidRPr="2BCE08C6">
              <w:t xml:space="preserve"> despite daily intranasal corticosteroid therapy</w:t>
            </w:r>
          </w:p>
        </w:tc>
        <w:tc>
          <w:tcPr>
            <w:tcW w:w="946" w:type="pct"/>
            <w:shd w:val="clear" w:color="auto" w:fill="auto"/>
          </w:tcPr>
          <w:p w14:paraId="0ED378AE" w14:textId="77777777" w:rsidR="002C1266" w:rsidRPr="0098262F" w:rsidRDefault="002C1266" w:rsidP="000E202A">
            <w:pPr>
              <w:pStyle w:val="TableText0"/>
              <w:keepNext/>
            </w:pPr>
            <w:r>
              <w:t>Change from baseline in NPS, NCS, SNOT-22, AEs</w:t>
            </w:r>
          </w:p>
        </w:tc>
      </w:tr>
      <w:tr w:rsidR="002C1266" w:rsidRPr="0098262F" w14:paraId="764513F3" w14:textId="77777777" w:rsidTr="2BCE08C6">
        <w:trPr>
          <w:cantSplit/>
        </w:trPr>
        <w:tc>
          <w:tcPr>
            <w:tcW w:w="841" w:type="pct"/>
            <w:shd w:val="clear" w:color="auto" w:fill="auto"/>
          </w:tcPr>
          <w:p w14:paraId="04D7FC66" w14:textId="77777777" w:rsidR="002C1266" w:rsidRDefault="002C1266" w:rsidP="00D131BA">
            <w:pPr>
              <w:pStyle w:val="TableText0"/>
            </w:pPr>
            <w:r>
              <w:t>POLYP 2</w:t>
            </w:r>
          </w:p>
          <w:p w14:paraId="6CFA871B" w14:textId="77777777" w:rsidR="002C1266" w:rsidRPr="0098262F" w:rsidRDefault="002C1266" w:rsidP="00D131BA">
            <w:pPr>
              <w:pStyle w:val="TableText0"/>
            </w:pPr>
            <w:r w:rsidRPr="005B2803">
              <w:t>NCT03280537</w:t>
            </w:r>
          </w:p>
        </w:tc>
        <w:tc>
          <w:tcPr>
            <w:tcW w:w="549" w:type="pct"/>
            <w:shd w:val="clear" w:color="auto" w:fill="auto"/>
          </w:tcPr>
          <w:p w14:paraId="621DFD89" w14:textId="77777777" w:rsidR="002C1266" w:rsidRPr="0098262F" w:rsidRDefault="002C1266" w:rsidP="00D131BA">
            <w:pPr>
              <w:pStyle w:val="TableText0"/>
            </w:pPr>
            <w:r>
              <w:t>127</w:t>
            </w:r>
          </w:p>
        </w:tc>
        <w:tc>
          <w:tcPr>
            <w:tcW w:w="965" w:type="pct"/>
            <w:shd w:val="clear" w:color="auto" w:fill="auto"/>
          </w:tcPr>
          <w:p w14:paraId="33944BCF" w14:textId="77777777" w:rsidR="002C1266" w:rsidRDefault="002C1266" w:rsidP="00D131BA">
            <w:pPr>
              <w:pStyle w:val="TableText0"/>
            </w:pPr>
            <w:r>
              <w:t xml:space="preserve">Phase 3, </w:t>
            </w:r>
            <w:r w:rsidRPr="0098262F">
              <w:t>R,</w:t>
            </w:r>
            <w:r>
              <w:t xml:space="preserve"> MC, </w:t>
            </w:r>
            <w:r w:rsidRPr="0098262F">
              <w:t>DB</w:t>
            </w:r>
            <w:r>
              <w:t>, PC, 24 weeks</w:t>
            </w:r>
          </w:p>
          <w:p w14:paraId="5B2D1246" w14:textId="77777777" w:rsidR="002C1266" w:rsidRDefault="002C1266" w:rsidP="00D131BA">
            <w:pPr>
              <w:pStyle w:val="TableText0"/>
            </w:pPr>
            <w:r>
              <w:t xml:space="preserve">OL (extension) </w:t>
            </w:r>
          </w:p>
          <w:p w14:paraId="6B22EB9B" w14:textId="77777777" w:rsidR="002C1266" w:rsidRPr="0098262F" w:rsidRDefault="002C1266" w:rsidP="00D131BA">
            <w:pPr>
              <w:pStyle w:val="TableText0"/>
            </w:pPr>
            <w:r>
              <w:t>28 weeks</w:t>
            </w:r>
          </w:p>
        </w:tc>
        <w:tc>
          <w:tcPr>
            <w:tcW w:w="551" w:type="pct"/>
            <w:shd w:val="clear" w:color="auto" w:fill="auto"/>
          </w:tcPr>
          <w:p w14:paraId="35B593E4" w14:textId="77777777" w:rsidR="002C1266" w:rsidRPr="0098262F" w:rsidRDefault="002C1266" w:rsidP="00D131BA">
            <w:pPr>
              <w:pStyle w:val="TableText0"/>
              <w:rPr>
                <w:i/>
              </w:rPr>
            </w:pPr>
            <w:r>
              <w:t xml:space="preserve">Low </w:t>
            </w:r>
            <w:r w:rsidRPr="00EF172E">
              <w:rPr>
                <w:vertAlign w:val="superscript"/>
              </w:rPr>
              <w:t>a</w:t>
            </w:r>
          </w:p>
        </w:tc>
        <w:tc>
          <w:tcPr>
            <w:tcW w:w="1148" w:type="pct"/>
            <w:shd w:val="clear" w:color="auto" w:fill="auto"/>
          </w:tcPr>
          <w:p w14:paraId="11F771F7" w14:textId="77777777" w:rsidR="002C1266" w:rsidRPr="0098262F" w:rsidRDefault="002C1266" w:rsidP="00D131BA">
            <w:pPr>
              <w:pStyle w:val="TableText0"/>
            </w:pPr>
            <w:r w:rsidRPr="2BCE08C6">
              <w:t xml:space="preserve">Patients with inadequately controlled </w:t>
            </w:r>
            <w:proofErr w:type="spellStart"/>
            <w:r w:rsidRPr="2BCE08C6">
              <w:t>CRSwNP</w:t>
            </w:r>
            <w:proofErr w:type="spellEnd"/>
            <w:r w:rsidRPr="2BCE08C6">
              <w:t xml:space="preserve"> despite daily intranasal corticosteroid therapy</w:t>
            </w:r>
          </w:p>
        </w:tc>
        <w:tc>
          <w:tcPr>
            <w:tcW w:w="946" w:type="pct"/>
            <w:shd w:val="clear" w:color="auto" w:fill="auto"/>
          </w:tcPr>
          <w:p w14:paraId="5CDBC5EE" w14:textId="77777777" w:rsidR="002C1266" w:rsidRPr="0098262F" w:rsidRDefault="002C1266" w:rsidP="00D131BA">
            <w:pPr>
              <w:pStyle w:val="TableText0"/>
            </w:pPr>
            <w:r>
              <w:t>Change from baseline in NPS, NCS, SNOT-22, AEs</w:t>
            </w:r>
          </w:p>
        </w:tc>
      </w:tr>
      <w:tr w:rsidR="002C1266" w:rsidRPr="0098262F" w14:paraId="0B1D88EC" w14:textId="77777777" w:rsidTr="2BCE08C6">
        <w:trPr>
          <w:cantSplit/>
        </w:trPr>
        <w:tc>
          <w:tcPr>
            <w:tcW w:w="841" w:type="pct"/>
            <w:shd w:val="clear" w:color="auto" w:fill="auto"/>
          </w:tcPr>
          <w:p w14:paraId="531B3EF9" w14:textId="77777777" w:rsidR="002C1266" w:rsidRPr="0098262F" w:rsidRDefault="002C1266" w:rsidP="00D131BA">
            <w:pPr>
              <w:pStyle w:val="TableText0"/>
            </w:pPr>
            <w:r w:rsidRPr="0098262F">
              <w:t>Meta-analysis</w:t>
            </w:r>
          </w:p>
        </w:tc>
        <w:tc>
          <w:tcPr>
            <w:tcW w:w="549" w:type="pct"/>
            <w:shd w:val="clear" w:color="auto" w:fill="auto"/>
          </w:tcPr>
          <w:p w14:paraId="574BAD4C" w14:textId="77777777" w:rsidR="002C1266" w:rsidRPr="0098262F" w:rsidRDefault="002C1266" w:rsidP="00472E71">
            <w:pPr>
              <w:pStyle w:val="TableText0"/>
            </w:pPr>
            <w:r>
              <w:t>265</w:t>
            </w:r>
          </w:p>
        </w:tc>
        <w:tc>
          <w:tcPr>
            <w:tcW w:w="3610" w:type="pct"/>
            <w:gridSpan w:val="4"/>
            <w:shd w:val="clear" w:color="auto" w:fill="auto"/>
          </w:tcPr>
          <w:p w14:paraId="0D442A75" w14:textId="77777777" w:rsidR="002C1266" w:rsidRPr="0098262F" w:rsidRDefault="002C1266" w:rsidP="00D131BA">
            <w:pPr>
              <w:pStyle w:val="TableText0"/>
            </w:pPr>
            <w:r w:rsidRPr="0098262F">
              <w:t xml:space="preserve">Included </w:t>
            </w:r>
            <w:r>
              <w:t>POLYP 1 and POLYP 2</w:t>
            </w:r>
            <w:r w:rsidRPr="0098262F">
              <w:t xml:space="preserve">; sub-group analysis; assessed </w:t>
            </w:r>
            <w:r>
              <w:t>outcomes above and multiple secondary and exploratory outcomes</w:t>
            </w:r>
          </w:p>
        </w:tc>
      </w:tr>
      <w:tr w:rsidR="002C1266" w:rsidRPr="0098262F" w14:paraId="1F6C29FD" w14:textId="77777777" w:rsidTr="2BCE08C6">
        <w:trPr>
          <w:cantSplit/>
        </w:trPr>
        <w:tc>
          <w:tcPr>
            <w:tcW w:w="5000" w:type="pct"/>
            <w:gridSpan w:val="6"/>
            <w:shd w:val="clear" w:color="auto" w:fill="auto"/>
          </w:tcPr>
          <w:p w14:paraId="071A84FA" w14:textId="1377242D" w:rsidR="002C1266" w:rsidRPr="001B7A2E" w:rsidRDefault="002C1266" w:rsidP="2BCE08C6">
            <w:pPr>
              <w:pStyle w:val="TableText0"/>
              <w:rPr>
                <w:b/>
              </w:rPr>
            </w:pPr>
            <w:r w:rsidRPr="2BCE08C6">
              <w:rPr>
                <w:b/>
              </w:rPr>
              <w:t xml:space="preserve">Mepolizumab versus placebo (in addition to/alongside </w:t>
            </w:r>
            <w:proofErr w:type="spellStart"/>
            <w:r w:rsidRPr="2BCE08C6">
              <w:rPr>
                <w:b/>
              </w:rPr>
              <w:t>SoC</w:t>
            </w:r>
            <w:r w:rsidRPr="2BCE08C6">
              <w:rPr>
                <w:b/>
                <w:vertAlign w:val="superscript"/>
              </w:rPr>
              <w:t>b</w:t>
            </w:r>
            <w:proofErr w:type="spellEnd"/>
            <w:r w:rsidRPr="2BCE08C6">
              <w:rPr>
                <w:b/>
              </w:rPr>
              <w:t>)</w:t>
            </w:r>
          </w:p>
        </w:tc>
      </w:tr>
      <w:tr w:rsidR="002C1266" w:rsidRPr="0098262F" w14:paraId="0ABBB152" w14:textId="77777777" w:rsidTr="2BCE08C6">
        <w:trPr>
          <w:cantSplit/>
        </w:trPr>
        <w:tc>
          <w:tcPr>
            <w:tcW w:w="841" w:type="pct"/>
            <w:shd w:val="clear" w:color="auto" w:fill="auto"/>
          </w:tcPr>
          <w:p w14:paraId="1393871C" w14:textId="77777777" w:rsidR="002C1266" w:rsidRDefault="002C1266" w:rsidP="00D131BA">
            <w:pPr>
              <w:pStyle w:val="TableText0"/>
            </w:pPr>
            <w:r>
              <w:lastRenderedPageBreak/>
              <w:t>SYNAPSE</w:t>
            </w:r>
          </w:p>
          <w:p w14:paraId="1DB2F97E" w14:textId="77777777" w:rsidR="002C1266" w:rsidRPr="0098262F" w:rsidRDefault="002C1266" w:rsidP="00D131BA">
            <w:pPr>
              <w:pStyle w:val="TableText0"/>
            </w:pPr>
            <w:r w:rsidRPr="005B2803">
              <w:t>NCT03085797</w:t>
            </w:r>
          </w:p>
        </w:tc>
        <w:tc>
          <w:tcPr>
            <w:tcW w:w="549" w:type="pct"/>
            <w:shd w:val="clear" w:color="auto" w:fill="auto"/>
          </w:tcPr>
          <w:p w14:paraId="761A12B7" w14:textId="77777777" w:rsidR="002C1266" w:rsidRPr="0098262F" w:rsidRDefault="002C1266" w:rsidP="00472E71">
            <w:pPr>
              <w:pStyle w:val="TableText0"/>
            </w:pPr>
            <w:r>
              <w:t>407</w:t>
            </w:r>
          </w:p>
        </w:tc>
        <w:tc>
          <w:tcPr>
            <w:tcW w:w="965" w:type="pct"/>
            <w:shd w:val="clear" w:color="auto" w:fill="auto"/>
          </w:tcPr>
          <w:p w14:paraId="614CDC4E" w14:textId="77777777" w:rsidR="002C1266" w:rsidRDefault="002C1266" w:rsidP="00D131BA">
            <w:pPr>
              <w:pStyle w:val="TableText0"/>
            </w:pPr>
            <w:r>
              <w:t>Phase 3, R, MC, DB, PC, PG</w:t>
            </w:r>
          </w:p>
          <w:p w14:paraId="5CAC96D8" w14:textId="77777777" w:rsidR="002C1266" w:rsidRPr="0098262F" w:rsidRDefault="002C1266" w:rsidP="00D131BA">
            <w:pPr>
              <w:pStyle w:val="TableText0"/>
            </w:pPr>
            <w:r>
              <w:t>52 weeks</w:t>
            </w:r>
          </w:p>
        </w:tc>
        <w:tc>
          <w:tcPr>
            <w:tcW w:w="551" w:type="pct"/>
            <w:shd w:val="clear" w:color="auto" w:fill="auto"/>
          </w:tcPr>
          <w:p w14:paraId="6423B5A2" w14:textId="77777777" w:rsidR="002C1266" w:rsidRPr="0098262F" w:rsidRDefault="002C1266" w:rsidP="00D131BA">
            <w:pPr>
              <w:pStyle w:val="TableText0"/>
            </w:pPr>
            <w:r>
              <w:t>Low</w:t>
            </w:r>
          </w:p>
        </w:tc>
        <w:tc>
          <w:tcPr>
            <w:tcW w:w="1148" w:type="pct"/>
            <w:shd w:val="clear" w:color="auto" w:fill="auto"/>
          </w:tcPr>
          <w:p w14:paraId="48FBE789" w14:textId="77777777" w:rsidR="002C1266" w:rsidRPr="0098262F" w:rsidRDefault="002C1266" w:rsidP="00D131BA">
            <w:pPr>
              <w:pStyle w:val="TableText0"/>
            </w:pPr>
            <w:r>
              <w:t>P</w:t>
            </w:r>
            <w:r w:rsidRPr="005B2803">
              <w:t xml:space="preserve">atients with recurrent, refractory, severe, bilateral </w:t>
            </w:r>
            <w:r>
              <w:t>NP</w:t>
            </w:r>
            <w:r w:rsidRPr="005B2803">
              <w:t xml:space="preserve"> symptoms (</w:t>
            </w:r>
            <w:r>
              <w:t>NO-</w:t>
            </w:r>
            <w:r w:rsidRPr="005B2803">
              <w:t>VAS score of &gt;5)</w:t>
            </w:r>
            <w:r>
              <w:t xml:space="preserve"> and with prior NP surgery</w:t>
            </w:r>
          </w:p>
        </w:tc>
        <w:tc>
          <w:tcPr>
            <w:tcW w:w="946" w:type="pct"/>
            <w:shd w:val="clear" w:color="auto" w:fill="auto"/>
          </w:tcPr>
          <w:p w14:paraId="02EE4AE4" w14:textId="77777777" w:rsidR="002C1266" w:rsidRPr="0098262F" w:rsidRDefault="002C1266" w:rsidP="00D131BA">
            <w:pPr>
              <w:pStyle w:val="TableText0"/>
            </w:pPr>
            <w:r>
              <w:t>Change from baseline in NPS, SNOT-22, AEs</w:t>
            </w:r>
          </w:p>
        </w:tc>
      </w:tr>
      <w:tr w:rsidR="002C1266" w:rsidRPr="0098262F" w14:paraId="7A389954" w14:textId="77777777" w:rsidTr="2BCE08C6">
        <w:trPr>
          <w:cantSplit/>
        </w:trPr>
        <w:tc>
          <w:tcPr>
            <w:tcW w:w="841" w:type="pct"/>
            <w:shd w:val="clear" w:color="auto" w:fill="auto"/>
          </w:tcPr>
          <w:p w14:paraId="5D8E5BE0" w14:textId="77777777" w:rsidR="002C1266" w:rsidRDefault="002C1266" w:rsidP="00D131BA">
            <w:pPr>
              <w:pStyle w:val="TableText0"/>
            </w:pPr>
            <w:r>
              <w:t xml:space="preserve">MERIT </w:t>
            </w:r>
          </w:p>
          <w:p w14:paraId="39677CFA" w14:textId="77777777" w:rsidR="002C1266" w:rsidRDefault="002C1266" w:rsidP="00D131BA">
            <w:pPr>
              <w:pStyle w:val="TableText0"/>
            </w:pPr>
            <w:r w:rsidRPr="009614C9">
              <w:t>NCT04607005</w:t>
            </w:r>
          </w:p>
          <w:p w14:paraId="523260DB" w14:textId="77777777" w:rsidR="002C1266" w:rsidRPr="0098262F" w:rsidRDefault="002C1266" w:rsidP="00D131BA">
            <w:pPr>
              <w:pStyle w:val="TableText0"/>
            </w:pPr>
            <w:r>
              <w:t>(sensitivity analysis only)</w:t>
            </w:r>
          </w:p>
        </w:tc>
        <w:tc>
          <w:tcPr>
            <w:tcW w:w="549" w:type="pct"/>
            <w:shd w:val="clear" w:color="auto" w:fill="auto"/>
          </w:tcPr>
          <w:p w14:paraId="71BA89D2" w14:textId="77777777" w:rsidR="002C1266" w:rsidRPr="0098262F" w:rsidRDefault="002C1266" w:rsidP="00D131BA">
            <w:pPr>
              <w:pStyle w:val="TableText0"/>
            </w:pPr>
            <w:r>
              <w:t>169</w:t>
            </w:r>
          </w:p>
        </w:tc>
        <w:tc>
          <w:tcPr>
            <w:tcW w:w="965" w:type="pct"/>
            <w:shd w:val="clear" w:color="auto" w:fill="auto"/>
          </w:tcPr>
          <w:p w14:paraId="1C463C72" w14:textId="77777777" w:rsidR="002C1266" w:rsidRDefault="002C1266" w:rsidP="00D131BA">
            <w:pPr>
              <w:pStyle w:val="TableText0"/>
            </w:pPr>
            <w:r>
              <w:t>Phase 3, R, MC, DB, PC, PG</w:t>
            </w:r>
          </w:p>
          <w:p w14:paraId="4D899E55" w14:textId="77777777" w:rsidR="002C1266" w:rsidRPr="0098262F" w:rsidRDefault="002C1266" w:rsidP="00D131BA">
            <w:pPr>
              <w:pStyle w:val="TableText0"/>
            </w:pPr>
            <w:r>
              <w:t>52 weeks</w:t>
            </w:r>
          </w:p>
        </w:tc>
        <w:tc>
          <w:tcPr>
            <w:tcW w:w="551" w:type="pct"/>
            <w:shd w:val="clear" w:color="auto" w:fill="auto"/>
          </w:tcPr>
          <w:p w14:paraId="338BF035" w14:textId="77777777" w:rsidR="002C1266" w:rsidRPr="0098262F" w:rsidRDefault="002C1266" w:rsidP="00D131BA">
            <w:pPr>
              <w:pStyle w:val="TableText0"/>
            </w:pPr>
            <w:r>
              <w:t>Some concerns</w:t>
            </w:r>
          </w:p>
        </w:tc>
        <w:tc>
          <w:tcPr>
            <w:tcW w:w="1148" w:type="pct"/>
            <w:shd w:val="clear" w:color="auto" w:fill="auto"/>
          </w:tcPr>
          <w:p w14:paraId="1A8AE61E" w14:textId="77777777" w:rsidR="002C1266" w:rsidRPr="0098262F" w:rsidRDefault="002C1266" w:rsidP="00D131BA">
            <w:pPr>
              <w:pStyle w:val="TableText0"/>
            </w:pPr>
            <w:r w:rsidRPr="2BCE08C6">
              <w:t xml:space="preserve">Patients with </w:t>
            </w:r>
            <w:proofErr w:type="spellStart"/>
            <w:r w:rsidRPr="2BCE08C6">
              <w:t>CRSwNP</w:t>
            </w:r>
            <w:proofErr w:type="spellEnd"/>
            <w:r w:rsidRPr="2BCE08C6">
              <w:t>/ ECRS</w:t>
            </w:r>
          </w:p>
        </w:tc>
        <w:tc>
          <w:tcPr>
            <w:tcW w:w="946" w:type="pct"/>
            <w:shd w:val="clear" w:color="auto" w:fill="auto"/>
          </w:tcPr>
          <w:p w14:paraId="5DAABD9A" w14:textId="77777777" w:rsidR="002C1266" w:rsidRPr="0098262F" w:rsidRDefault="002C1266" w:rsidP="00D131BA">
            <w:pPr>
              <w:pStyle w:val="TableText0"/>
            </w:pPr>
            <w:r>
              <w:t>Change from baseline in NPS, SNOT-22, AEs</w:t>
            </w:r>
          </w:p>
        </w:tc>
      </w:tr>
    </w:tbl>
    <w:p w14:paraId="685F2A4B" w14:textId="7137926F" w:rsidR="002C1266" w:rsidRPr="00004450" w:rsidRDefault="002C1266" w:rsidP="000E202A">
      <w:pPr>
        <w:pStyle w:val="TableFigureFooter"/>
        <w:jc w:val="both"/>
      </w:pPr>
      <w:r w:rsidRPr="2BCE08C6">
        <w:t>Source: Table 2.6, p55 of the submission, p49-57 of submission, Table 5.1 and Table 5.2, pp162-165 of the submission.</w:t>
      </w:r>
    </w:p>
    <w:p w14:paraId="25E665FA" w14:textId="5C38654C" w:rsidR="002C1266" w:rsidRDefault="002C1266" w:rsidP="000E202A">
      <w:pPr>
        <w:pStyle w:val="TableFigureFooter"/>
        <w:jc w:val="both"/>
      </w:pPr>
      <w:r w:rsidRPr="2BCE08C6">
        <w:t xml:space="preserve">AE, adverse events; </w:t>
      </w:r>
      <w:proofErr w:type="spellStart"/>
      <w:r w:rsidRPr="2BCE08C6">
        <w:t>CRSwNP</w:t>
      </w:r>
      <w:proofErr w:type="spellEnd"/>
      <w:r w:rsidRPr="2BCE08C6">
        <w:t>, chronic rhinosinusitis with nasal polyps; DB, double blind; ECRS, eosinophilic chronic rhinosinusitis;</w:t>
      </w:r>
      <w:r w:rsidR="00A16557">
        <w:t xml:space="preserve"> INCS, intranasal </w:t>
      </w:r>
      <w:r w:rsidR="00007800">
        <w:t>corticosteroids</w:t>
      </w:r>
      <w:r w:rsidR="00F3591D">
        <w:t>;</w:t>
      </w:r>
      <w:r w:rsidRPr="2BCE08C6">
        <w:t xml:space="preserve"> MC, multi-centre; NCS, nasal congestion score; NO-VAS, nasal obstruction visual analogue scale; NP; nasal polyp; NPS, nasal polyp score; OL, open label; PC, placebo- controlled; PG, parallel-group; R, randomised; SNOT-22, </w:t>
      </w:r>
      <w:proofErr w:type="spellStart"/>
      <w:r w:rsidRPr="2BCE08C6">
        <w:t>sino</w:t>
      </w:r>
      <w:proofErr w:type="spellEnd"/>
      <w:r w:rsidRPr="2BCE08C6">
        <w:t xml:space="preserve">-nasal outcomes test-22; SoC, standard of care. </w:t>
      </w:r>
    </w:p>
    <w:p w14:paraId="12E2DC6C" w14:textId="77777777" w:rsidR="002C1266" w:rsidRPr="00CD690A" w:rsidRDefault="002C1266" w:rsidP="000E202A">
      <w:pPr>
        <w:pStyle w:val="TableFigureFooter"/>
        <w:jc w:val="both"/>
      </w:pPr>
      <w:r w:rsidRPr="000B7435">
        <w:rPr>
          <w:vertAlign w:val="superscript"/>
        </w:rPr>
        <w:t>a</w:t>
      </w:r>
      <w:r>
        <w:t xml:space="preserve"> Risk of bias assessment considering results presented at week 24.</w:t>
      </w:r>
    </w:p>
    <w:p w14:paraId="242EE258" w14:textId="5B837853" w:rsidR="002C1266" w:rsidRDefault="002C1266" w:rsidP="000E202A">
      <w:pPr>
        <w:pStyle w:val="TableFigureFooter"/>
        <w:jc w:val="both"/>
      </w:pPr>
      <w:r w:rsidRPr="2BCE08C6">
        <w:rPr>
          <w:vertAlign w:val="superscript"/>
        </w:rPr>
        <w:t>b</w:t>
      </w:r>
      <w:r w:rsidRPr="2BCE08C6">
        <w:t xml:space="preserve"> SoC was included in both treatment arms in addition to the study drug in SYNAPSE and MERIT. In SYNAPSE, SoC included mometasone furoate intranasal spray for at least 8 weeks before screening and during the study, saline nasal irrigations, systemic corticosteroids or antibiotics, or both (as required). In MERIT, SoC treatments was in accordance with local practice, which could have included optional daily intranasal corticosteroids (INCS) and saline nasal douching, occasional short courses of high-dose oral corticosteroids (OCS), and/or antibiotics when required.</w:t>
      </w:r>
    </w:p>
    <w:p w14:paraId="4AAA52DA" w14:textId="542DB75B" w:rsidR="006B23D0" w:rsidRPr="00022C1B" w:rsidRDefault="005A1CAF" w:rsidP="000E202A">
      <w:pPr>
        <w:pStyle w:val="TableFigureFooter"/>
        <w:jc w:val="both"/>
      </w:pPr>
      <w:r w:rsidRPr="00022C1B">
        <w:t xml:space="preserve">Note: </w:t>
      </w:r>
      <w:r w:rsidR="00A9552E" w:rsidRPr="00022C1B">
        <w:t>While POLYP trials did not</w:t>
      </w:r>
      <w:r w:rsidR="00AA7071" w:rsidRPr="00022C1B">
        <w:t xml:space="preserve"> specify </w:t>
      </w:r>
      <w:r w:rsidR="00A174D4" w:rsidRPr="00022C1B">
        <w:t>SoC</w:t>
      </w:r>
      <w:r w:rsidR="009744A3" w:rsidRPr="00022C1B">
        <w:t xml:space="preserve">, </w:t>
      </w:r>
      <w:r w:rsidR="009D4FEE" w:rsidRPr="00022C1B">
        <w:t>p</w:t>
      </w:r>
      <w:r w:rsidR="00F83B3C" w:rsidRPr="00022C1B">
        <w:t>atients received</w:t>
      </w:r>
      <w:r w:rsidR="009A60B0" w:rsidRPr="00022C1B">
        <w:t xml:space="preserve"> INCS and </w:t>
      </w:r>
      <w:r w:rsidR="00B9755F" w:rsidRPr="00022C1B">
        <w:t>systemic corticosteroids</w:t>
      </w:r>
      <w:r w:rsidR="00623EEE" w:rsidRPr="00022C1B">
        <w:t xml:space="preserve"> along </w:t>
      </w:r>
      <w:r w:rsidR="00763C79" w:rsidRPr="00022C1B">
        <w:t xml:space="preserve">with </w:t>
      </w:r>
      <w:r w:rsidR="00963FEC" w:rsidRPr="00022C1B">
        <w:t>the</w:t>
      </w:r>
      <w:r w:rsidR="00B67980" w:rsidRPr="00022C1B">
        <w:t xml:space="preserve"> study</w:t>
      </w:r>
      <w:r w:rsidR="00963FEC" w:rsidRPr="00022C1B">
        <w:t xml:space="preserve"> treatment</w:t>
      </w:r>
      <w:r w:rsidR="00BD1071" w:rsidRPr="00022C1B">
        <w:t>.</w:t>
      </w:r>
      <w:r w:rsidR="00963FEC" w:rsidRPr="00022C1B">
        <w:t xml:space="preserve"> </w:t>
      </w:r>
    </w:p>
    <w:p w14:paraId="35AE0BE8" w14:textId="5C5E635A" w:rsidR="002C1266" w:rsidRPr="00493428" w:rsidRDefault="002C1266" w:rsidP="2BCE08C6">
      <w:pPr>
        <w:pStyle w:val="3-BodyText"/>
        <w:rPr>
          <w:color w:val="0066FF"/>
        </w:rPr>
      </w:pPr>
      <w:r w:rsidRPr="00493428">
        <w:t>While the POLYP 1, POLYP 2 and SYNAPSE trials were assessed with an overall low risk of bias, the MERIT trial was considered to have a moderate risk of attrition bias due to discontinuation</w:t>
      </w:r>
      <w:r w:rsidR="00E11EF9" w:rsidRPr="00493428">
        <w:t>s</w:t>
      </w:r>
      <w:r w:rsidRPr="00493428">
        <w:t xml:space="preserve"> (7.1% mepolizumab and 18.8% </w:t>
      </w:r>
      <w:r w:rsidR="00313736" w:rsidRPr="00493428">
        <w:t>SoC (placebo)</w:t>
      </w:r>
      <w:r w:rsidRPr="00493428">
        <w:t xml:space="preserve">) leading to an overall risk of bias of </w:t>
      </w:r>
      <w:r w:rsidR="00862BEC" w:rsidRPr="00493428">
        <w:t>‘</w:t>
      </w:r>
      <w:r w:rsidRPr="00493428">
        <w:t xml:space="preserve">some </w:t>
      </w:r>
      <w:proofErr w:type="gramStart"/>
      <w:r w:rsidRPr="00493428">
        <w:t>concerns</w:t>
      </w:r>
      <w:r w:rsidR="00862BEC" w:rsidRPr="00493428">
        <w:t>’</w:t>
      </w:r>
      <w:proofErr w:type="gramEnd"/>
      <w:r w:rsidRPr="00493428">
        <w:t>. The low overall risk of bias for the SYNAPSE trial is consistent with a prior assessment of mepolizumab (para 6.6, mepolizumab, PSD, November 2022 PBAC meeting).</w:t>
      </w:r>
    </w:p>
    <w:p w14:paraId="710B9720" w14:textId="7CE8949C" w:rsidR="002C1266" w:rsidRPr="00493428" w:rsidRDefault="002C1266" w:rsidP="2BCE08C6">
      <w:pPr>
        <w:pStyle w:val="3-BodyText"/>
      </w:pPr>
      <w:r w:rsidRPr="00493428">
        <w:t xml:space="preserve">The open label extensions of the POLYP trials (week 24 to week 52) are subject to high risk of </w:t>
      </w:r>
      <w:r w:rsidR="007A6AD9" w:rsidRPr="00493428">
        <w:t xml:space="preserve">performance and attrition </w:t>
      </w:r>
      <w:r w:rsidRPr="00493428">
        <w:t xml:space="preserve">bias </w:t>
      </w:r>
      <w:r w:rsidR="006F112C" w:rsidRPr="00493428">
        <w:t>with</w:t>
      </w:r>
      <w:r w:rsidRPr="00493428">
        <w:t xml:space="preserve"> all patients crossing over to receive omalizumab after Week 24. However, the open label results were excluded from the ITC analyses. Only 24-week results were used for these analyses and to support the clinical claim.</w:t>
      </w:r>
    </w:p>
    <w:p w14:paraId="0A12B61D" w14:textId="083C86A3" w:rsidR="002C1266" w:rsidRPr="00493428" w:rsidRDefault="002C1266" w:rsidP="2BCE08C6">
      <w:pPr>
        <w:pStyle w:val="3-BodyText"/>
      </w:pPr>
      <w:r w:rsidRPr="00493428">
        <w:t xml:space="preserve">The eligibility criteria of the four studies were broadly consistent with the proposed </w:t>
      </w:r>
      <w:r w:rsidR="00212D0E" w:rsidRPr="00493428">
        <w:t xml:space="preserve">PBS </w:t>
      </w:r>
      <w:r w:rsidRPr="00493428">
        <w:t>listing, however, there were some key differences in study design,</w:t>
      </w:r>
      <w:r w:rsidRPr="2BCE08C6">
        <w:rPr>
          <w:i/>
          <w:iCs/>
        </w:rPr>
        <w:t xml:space="preserve"> </w:t>
      </w:r>
      <w:r w:rsidRPr="00493428">
        <w:t>inclusion/exclusion criteria and baseline characteristics between studies</w:t>
      </w:r>
      <w:r w:rsidR="00E33C4A" w:rsidRPr="00493428">
        <w:t xml:space="preserve">, which </w:t>
      </w:r>
      <w:r w:rsidR="0074357C" w:rsidRPr="00493428">
        <w:t xml:space="preserve">impact </w:t>
      </w:r>
      <w:r w:rsidR="00E33C4A" w:rsidRPr="00493428">
        <w:t xml:space="preserve">the </w:t>
      </w:r>
      <w:r w:rsidR="0074357C" w:rsidRPr="00493428">
        <w:t>transitivity assumption</w:t>
      </w:r>
      <w:r w:rsidRPr="00493428">
        <w:t>:</w:t>
      </w:r>
    </w:p>
    <w:p w14:paraId="0AE134BB" w14:textId="1B024C09" w:rsidR="002C1266" w:rsidRPr="00493428" w:rsidRDefault="002C1266" w:rsidP="006B5191">
      <w:pPr>
        <w:pStyle w:val="ListParagraph"/>
        <w:ind w:left="1134"/>
        <w:jc w:val="both"/>
      </w:pPr>
      <w:r w:rsidRPr="00493428">
        <w:t xml:space="preserve">The SYNAPSE study was limited to patients who had undergone prior surgery for NPs (100%), while the POLYP 1/2 and MERIT trials were not restricted to nasal surgery in the previous 6 months, </w:t>
      </w:r>
      <w:r w:rsidR="00F52729" w:rsidRPr="00493428">
        <w:t xml:space="preserve">and included </w:t>
      </w:r>
      <w:r w:rsidRPr="00493428">
        <w:t>60% and 64% of patients with previous surgery, respectively.</w:t>
      </w:r>
      <w:r w:rsidR="00AF07DD" w:rsidRPr="00493428">
        <w:t xml:space="preserve"> </w:t>
      </w:r>
      <w:r w:rsidR="00214173" w:rsidRPr="00493428">
        <w:t>T</w:t>
      </w:r>
      <w:r w:rsidRPr="00493428">
        <w:t xml:space="preserve">he submission presented an ITC including </w:t>
      </w:r>
      <w:r w:rsidR="00C93136" w:rsidRPr="00493428">
        <w:t xml:space="preserve">available data </w:t>
      </w:r>
      <w:r w:rsidR="00E97F94" w:rsidRPr="00493428">
        <w:t xml:space="preserve">for </w:t>
      </w:r>
      <w:r w:rsidRPr="00493428">
        <w:t xml:space="preserve">post-surgical populations </w:t>
      </w:r>
      <w:r w:rsidR="00825C4D" w:rsidRPr="00493428">
        <w:t xml:space="preserve">from </w:t>
      </w:r>
      <w:r w:rsidRPr="00493428">
        <w:t xml:space="preserve">the POLYP 1/2 and MERIT trials. </w:t>
      </w:r>
    </w:p>
    <w:p w14:paraId="7CB09444" w14:textId="263F3C09" w:rsidR="002C1266" w:rsidRPr="00493428" w:rsidRDefault="003D2FF6" w:rsidP="006B5191">
      <w:pPr>
        <w:pStyle w:val="ListParagraph"/>
        <w:ind w:left="1134"/>
        <w:jc w:val="both"/>
      </w:pPr>
      <w:r w:rsidRPr="00493428">
        <w:t>Eligibility c</w:t>
      </w:r>
      <w:r w:rsidR="001034CF" w:rsidRPr="00493428">
        <w:t>riteria related to</w:t>
      </w:r>
      <w:r w:rsidR="002C1266" w:rsidRPr="00493428">
        <w:t xml:space="preserve"> severity of the disease varied across studies. While all studies required an NPS of ≥5, SYNAPSE and MERIT additionally required an obstruction Visual Analog Scale (VAS) symptom score of &gt;5 (and overall VAS symptom score &gt;7 for SYNAPSE only)</w:t>
      </w:r>
      <w:r w:rsidR="00FB272F" w:rsidRPr="00493428">
        <w:t xml:space="preserve"> whereas</w:t>
      </w:r>
      <w:r w:rsidR="002C1266" w:rsidRPr="00493428">
        <w:t xml:space="preserve"> </w:t>
      </w:r>
      <w:r w:rsidR="00FB272F" w:rsidRPr="00493428">
        <w:t xml:space="preserve">POLYP 1/2 trials </w:t>
      </w:r>
      <w:r w:rsidR="006C5591" w:rsidRPr="00493428">
        <w:t xml:space="preserve">included </w:t>
      </w:r>
      <w:r w:rsidR="00DD3119" w:rsidRPr="00493428">
        <w:t>patients</w:t>
      </w:r>
      <w:r w:rsidR="006C5591" w:rsidRPr="00493428">
        <w:t xml:space="preserve"> with</w:t>
      </w:r>
      <w:r w:rsidR="00E5430B" w:rsidRPr="00493428">
        <w:t xml:space="preserve"> </w:t>
      </w:r>
      <w:r w:rsidR="00DD3119" w:rsidRPr="00493428">
        <w:t xml:space="preserve">a </w:t>
      </w:r>
      <w:r w:rsidR="002C1266" w:rsidRPr="00493428">
        <w:t xml:space="preserve">SNOT-22 score of ≥20. </w:t>
      </w:r>
      <w:r w:rsidR="00251F37" w:rsidRPr="00493428">
        <w:t>T</w:t>
      </w:r>
      <w:r w:rsidR="002C1266" w:rsidRPr="00493428">
        <w:t>h</w:t>
      </w:r>
      <w:r w:rsidR="00251F37" w:rsidRPr="00493428">
        <w:t>is</w:t>
      </w:r>
      <w:r w:rsidR="002C1266" w:rsidRPr="00493428">
        <w:t xml:space="preserve"> </w:t>
      </w:r>
      <w:r w:rsidR="00251F37" w:rsidRPr="00493428">
        <w:t xml:space="preserve">variation </w:t>
      </w:r>
      <w:r w:rsidR="002C1266" w:rsidRPr="00493428">
        <w:t>indicate</w:t>
      </w:r>
      <w:r w:rsidR="00E506FB" w:rsidRPr="00493428">
        <w:t>d</w:t>
      </w:r>
      <w:r w:rsidR="002C1266" w:rsidRPr="00493428">
        <w:t xml:space="preserve"> </w:t>
      </w:r>
      <w:r w:rsidR="004E424A" w:rsidRPr="00493428">
        <w:t xml:space="preserve">a range in </w:t>
      </w:r>
      <w:r w:rsidR="00695940" w:rsidRPr="00493428">
        <w:t xml:space="preserve">severity of </w:t>
      </w:r>
      <w:r w:rsidR="004E424A" w:rsidRPr="00493428">
        <w:t xml:space="preserve">nasal </w:t>
      </w:r>
      <w:r w:rsidR="004E424A" w:rsidRPr="00493428">
        <w:lastRenderedPageBreak/>
        <w:t xml:space="preserve">symptoms from </w:t>
      </w:r>
      <w:r w:rsidR="002C1266" w:rsidRPr="00493428">
        <w:t>moderate to severe. The</w:t>
      </w:r>
      <w:r w:rsidR="002C1266" w:rsidRPr="00493428" w:rsidDel="002C1266">
        <w:t xml:space="preserve"> </w:t>
      </w:r>
      <w:r w:rsidR="002C1266" w:rsidRPr="00493428">
        <w:t>lack of consistency</w:t>
      </w:r>
      <w:r w:rsidR="00B86AE2" w:rsidRPr="00493428">
        <w:t xml:space="preserve"> across the trials</w:t>
      </w:r>
      <w:r w:rsidR="002C1266" w:rsidRPr="00493428">
        <w:t xml:space="preserve"> in the definition of disease severity in </w:t>
      </w:r>
      <w:proofErr w:type="spellStart"/>
      <w:r w:rsidR="002C1266" w:rsidRPr="00493428">
        <w:t>CRSwNP</w:t>
      </w:r>
      <w:proofErr w:type="spellEnd"/>
      <w:r w:rsidR="002C1266" w:rsidRPr="00493428">
        <w:t xml:space="preserve"> was similarly raised in the TGA Delegate’s Overview for omalizumab</w:t>
      </w:r>
      <w:r w:rsidR="00250106" w:rsidRPr="00493428">
        <w:t xml:space="preserve">. The </w:t>
      </w:r>
      <w:r w:rsidR="00294DE3" w:rsidRPr="00493428">
        <w:t>Delegate</w:t>
      </w:r>
      <w:r w:rsidR="00250106" w:rsidRPr="00493428">
        <w:t xml:space="preserve"> </w:t>
      </w:r>
      <w:r w:rsidR="00294DE3" w:rsidRPr="00493428">
        <w:t>considered</w:t>
      </w:r>
      <w:r w:rsidR="002C1266" w:rsidRPr="00493428">
        <w:t xml:space="preserve"> </w:t>
      </w:r>
      <w:r w:rsidR="007268DE" w:rsidRPr="00493428">
        <w:t xml:space="preserve">on the basis of prior surgery and systemic corticosteroid use, populations with more severe disease were investigated in the mepolizumab </w:t>
      </w:r>
      <w:r w:rsidR="009F407D" w:rsidRPr="00493428">
        <w:t>study</w:t>
      </w:r>
      <w:r w:rsidR="007268DE" w:rsidRPr="00493428">
        <w:t>. However, the mean NPS and SNOT-22 indicate</w:t>
      </w:r>
      <w:r w:rsidR="00E83626" w:rsidRPr="00493428">
        <w:t>d</w:t>
      </w:r>
      <w:r w:rsidR="007268DE" w:rsidRPr="00493428">
        <w:t xml:space="preserve"> similar disease severity across the studies</w:t>
      </w:r>
      <w:r w:rsidR="002C1266" w:rsidRPr="00493428">
        <w:t xml:space="preserve">.  </w:t>
      </w:r>
    </w:p>
    <w:p w14:paraId="1D34E699" w14:textId="4A9F6E35" w:rsidR="002C1266" w:rsidRPr="00BC783C" w:rsidRDefault="00475BA4" w:rsidP="006B5191">
      <w:pPr>
        <w:pStyle w:val="ListParagraph"/>
        <w:ind w:left="1134"/>
        <w:jc w:val="both"/>
      </w:pPr>
      <w:r w:rsidRPr="008753F0">
        <w:t>M</w:t>
      </w:r>
      <w:r w:rsidR="002C1266" w:rsidRPr="008753F0">
        <w:t>ean NPS</w:t>
      </w:r>
      <w:r w:rsidR="002C1266" w:rsidRPr="2BCE08C6">
        <w:t xml:space="preserve"> was highest in the POLYP trials (mean=6.3) followed by MERIT (mean=6.0) and lowest in SYNAPSE (mean=5.5), whereas the mean SNOT-22 score was highest in SYNAPSE (mean=64) followed by POLYP (mean=60) and lowest in MERIT (mean=57). </w:t>
      </w:r>
      <w:r w:rsidR="002C1266" w:rsidRPr="00493428">
        <w:t xml:space="preserve">NPS scores ≥5 and SNOT-22 score ≥50 indicate severe </w:t>
      </w:r>
      <w:proofErr w:type="spellStart"/>
      <w:r w:rsidR="002C1266" w:rsidRPr="00493428">
        <w:t>CRSwNP</w:t>
      </w:r>
      <w:proofErr w:type="spellEnd"/>
      <w:r w:rsidR="002C1266" w:rsidRPr="00493428">
        <w:t xml:space="preserve"> and </w:t>
      </w:r>
      <w:r w:rsidR="00A05638" w:rsidRPr="00493428">
        <w:t xml:space="preserve">severe </w:t>
      </w:r>
      <w:r w:rsidR="002C1266" w:rsidRPr="00493428">
        <w:t>nasal symptoms</w:t>
      </w:r>
      <w:r w:rsidR="001B06FB" w:rsidRPr="00493428">
        <w:t>, respectively</w:t>
      </w:r>
      <w:r w:rsidR="002C1266" w:rsidRPr="00493428">
        <w:t>.</w:t>
      </w:r>
      <w:r w:rsidR="002C1266" w:rsidRPr="00493428">
        <w:rPr>
          <w:rStyle w:val="FootnoteReference"/>
        </w:rPr>
        <w:footnoteReference w:id="8"/>
      </w:r>
      <w:r w:rsidR="002C1266" w:rsidRPr="00493428">
        <w:t xml:space="preserve"> </w:t>
      </w:r>
      <w:r w:rsidR="002C1266" w:rsidRPr="00493428">
        <w:rPr>
          <w:rStyle w:val="FootnoteReference"/>
        </w:rPr>
        <w:footnoteReference w:id="9"/>
      </w:r>
    </w:p>
    <w:p w14:paraId="117F32A8" w14:textId="5414A948" w:rsidR="002C1266" w:rsidRPr="00BC783C" w:rsidRDefault="002C1266" w:rsidP="006B5191">
      <w:pPr>
        <w:pStyle w:val="ListParagraph"/>
        <w:ind w:left="1134"/>
        <w:jc w:val="both"/>
      </w:pPr>
      <w:r w:rsidRPr="2BCE08C6">
        <w:t>POLYP 1/2 and SYNAPSE required prior treatment with INCS</w:t>
      </w:r>
      <w:r w:rsidR="008B6340" w:rsidRPr="2BCE08C6">
        <w:t>.</w:t>
      </w:r>
      <w:r w:rsidRPr="2BCE08C6">
        <w:t xml:space="preserve"> </w:t>
      </w:r>
      <w:r w:rsidR="008B6340" w:rsidRPr="2BCE08C6">
        <w:t>W</w:t>
      </w:r>
      <w:r w:rsidRPr="2BCE08C6">
        <w:t xml:space="preserve">hile this was not a </w:t>
      </w:r>
      <w:r w:rsidRPr="00493428">
        <w:t>requirement for MERIT</w:t>
      </w:r>
      <w:r w:rsidR="00C72645" w:rsidRPr="00493428">
        <w:t>, a</w:t>
      </w:r>
      <w:r w:rsidRPr="00493428">
        <w:t xml:space="preserve"> high proportion (74%) of the MERIT population </w:t>
      </w:r>
      <w:r w:rsidR="00201ECF" w:rsidRPr="00493428">
        <w:t xml:space="preserve">had </w:t>
      </w:r>
      <w:r w:rsidRPr="00493428">
        <w:t>used INCS previously. It is unclear how this may bias the results. A subgroup analysis of this population was not presented.</w:t>
      </w:r>
    </w:p>
    <w:p w14:paraId="57C71DEA" w14:textId="6E5392A4" w:rsidR="002C1266" w:rsidRPr="00463DAE" w:rsidRDefault="002C1266" w:rsidP="006B5191">
      <w:pPr>
        <w:pStyle w:val="ListParagraph"/>
        <w:ind w:left="1134"/>
        <w:jc w:val="both"/>
        <w:rPr>
          <w:i/>
          <w:iCs/>
        </w:rPr>
      </w:pPr>
      <w:r w:rsidRPr="2BCE08C6">
        <w:t>MERIT was conducted in three countries (Russia, Chin</w:t>
      </w:r>
      <w:r w:rsidR="007A7FA3" w:rsidRPr="2BCE08C6">
        <w:t>a</w:t>
      </w:r>
      <w:r w:rsidRPr="2BCE08C6">
        <w:t xml:space="preserve"> and Japan), while POLYP 1/2 and SYNAPSE were conducted in 20 and 11 countries, respectively, across South America, North America, Europe and Asia. A lower proportion </w:t>
      </w:r>
      <w:r w:rsidR="00B824AB">
        <w:t xml:space="preserve">of </w:t>
      </w:r>
      <w:r w:rsidR="00E325FB" w:rsidRPr="2BCE08C6">
        <w:t xml:space="preserve">patients were </w:t>
      </w:r>
      <w:r w:rsidRPr="2BCE08C6">
        <w:t xml:space="preserve">white/Caucasian in the MERIT trial (28-29%) compared to the other trials (91% to 100%). </w:t>
      </w:r>
      <w:r w:rsidR="007B408F" w:rsidRPr="00493428">
        <w:t xml:space="preserve">Differences in </w:t>
      </w:r>
      <w:r w:rsidRPr="00493428">
        <w:t xml:space="preserve">study site </w:t>
      </w:r>
      <w:r w:rsidR="00547473" w:rsidRPr="00493428">
        <w:t>geographic</w:t>
      </w:r>
      <w:r w:rsidR="007B408F" w:rsidRPr="00493428">
        <w:t xml:space="preserve"> </w:t>
      </w:r>
      <w:r w:rsidRPr="00493428">
        <w:t>locations</w:t>
      </w:r>
      <w:r w:rsidR="00A7337E" w:rsidRPr="00493428">
        <w:t xml:space="preserve"> and </w:t>
      </w:r>
      <w:r w:rsidR="005343E2" w:rsidRPr="00493428">
        <w:t xml:space="preserve">patient </w:t>
      </w:r>
      <w:r w:rsidR="008150A8" w:rsidRPr="00493428">
        <w:t>demographics</w:t>
      </w:r>
      <w:r w:rsidRPr="00493428">
        <w:t xml:space="preserve"> may impact generalisability of results, although the direction and magnitude of </w:t>
      </w:r>
      <w:r w:rsidR="0064206B" w:rsidRPr="00493428">
        <w:t xml:space="preserve">the potential </w:t>
      </w:r>
      <w:r w:rsidRPr="00493428">
        <w:t>impact is unclear.</w:t>
      </w:r>
    </w:p>
    <w:p w14:paraId="0CD36D68" w14:textId="65752E6A" w:rsidR="002C1266" w:rsidRPr="00493428" w:rsidRDefault="002C1266" w:rsidP="00B909CA">
      <w:pPr>
        <w:pStyle w:val="3-BodyText"/>
      </w:pPr>
      <w:r w:rsidRPr="00493428">
        <w:t>There are several patient characteristics and variables that might indicate less complexity</w:t>
      </w:r>
      <w:r w:rsidR="009A67BA" w:rsidRPr="00493428">
        <w:t xml:space="preserve"> </w:t>
      </w:r>
      <w:r w:rsidRPr="00493428">
        <w:t>in patients enrolled in the POLYP trials compared to MERIT and SYNAPSE as follows:</w:t>
      </w:r>
    </w:p>
    <w:p w14:paraId="2618E8A1" w14:textId="51DB6249" w:rsidR="002C1266" w:rsidRPr="00493428" w:rsidRDefault="002C1266" w:rsidP="006B5191">
      <w:pPr>
        <w:pStyle w:val="ListParagraph"/>
        <w:ind w:left="1134"/>
        <w:jc w:val="both"/>
      </w:pPr>
      <w:r w:rsidRPr="00493428">
        <w:t xml:space="preserve">Patients in the MERIT trial were required to have a BEC level &gt;2% while this was not a requirement for POLYP 1/2 and SYNAPSE trials. A </w:t>
      </w:r>
      <w:r w:rsidR="00791B04" w:rsidRPr="00493428">
        <w:t xml:space="preserve">minimum threshold of </w:t>
      </w:r>
      <w:r w:rsidRPr="00493428">
        <w:t xml:space="preserve">2% for </w:t>
      </w:r>
      <w:r w:rsidR="006C3750" w:rsidRPr="00493428">
        <w:t>BEC</w:t>
      </w:r>
      <w:r w:rsidRPr="00493428">
        <w:t xml:space="preserve"> is approximately equivalent to </w:t>
      </w:r>
      <w:r w:rsidR="006C3750" w:rsidRPr="00493428">
        <w:t xml:space="preserve">the </w:t>
      </w:r>
      <w:r w:rsidR="00791B04" w:rsidRPr="00493428">
        <w:t xml:space="preserve">minimum threshold of </w:t>
      </w:r>
      <w:r w:rsidR="00BB291F" w:rsidRPr="00493428">
        <w:t xml:space="preserve">the </w:t>
      </w:r>
      <w:r w:rsidRPr="00493428">
        <w:t>150 cells/</w:t>
      </w:r>
      <w:proofErr w:type="spellStart"/>
      <w:r w:rsidRPr="00493428">
        <w:t>μL</w:t>
      </w:r>
      <w:proofErr w:type="spellEnd"/>
      <w:r w:rsidRPr="00493428">
        <w:t xml:space="preserve"> absolute count</w:t>
      </w:r>
      <w:r w:rsidR="00BB291F" w:rsidRPr="00493428">
        <w:t xml:space="preserve"> recommended in the recent European guidelines</w:t>
      </w:r>
      <w:r w:rsidRPr="00493428">
        <w:t xml:space="preserve">.  </w:t>
      </w:r>
    </w:p>
    <w:p w14:paraId="24A124A8" w14:textId="05E2E5CE" w:rsidR="002C1266" w:rsidRPr="00493428" w:rsidRDefault="002C1266" w:rsidP="006B5191">
      <w:pPr>
        <w:pStyle w:val="ListParagraph"/>
        <w:ind w:left="1134"/>
        <w:jc w:val="both"/>
      </w:pPr>
      <w:r w:rsidRPr="00493428">
        <w:t xml:space="preserve">A higher proportion of patients (54%) in the MERIT </w:t>
      </w:r>
      <w:r w:rsidR="00327C9C" w:rsidRPr="00493428">
        <w:t xml:space="preserve">and SYNAPSE (48%) </w:t>
      </w:r>
      <w:r w:rsidRPr="00493428">
        <w:t xml:space="preserve">trial used systemic corticosteroids (SCS) prior </w:t>
      </w:r>
      <w:r w:rsidR="007E2FCE" w:rsidRPr="00493428">
        <w:t xml:space="preserve">to the </w:t>
      </w:r>
      <w:r w:rsidRPr="00493428">
        <w:t xml:space="preserve">study treatment compared to and POLYP 1/2 trials (20%). SCS </w:t>
      </w:r>
      <w:r w:rsidR="0071620A" w:rsidRPr="00493428">
        <w:t xml:space="preserve">use </w:t>
      </w:r>
      <w:r w:rsidRPr="00493428">
        <w:t xml:space="preserve">was also permitted during </w:t>
      </w:r>
      <w:r w:rsidR="00636EEA" w:rsidRPr="00493428">
        <w:t>each of</w:t>
      </w:r>
      <w:r w:rsidR="00922CFD" w:rsidRPr="00493428">
        <w:t xml:space="preserve"> </w:t>
      </w:r>
      <w:r w:rsidRPr="00493428">
        <w:t xml:space="preserve">the </w:t>
      </w:r>
      <w:r w:rsidR="00636EEA" w:rsidRPr="00493428">
        <w:t xml:space="preserve">three </w:t>
      </w:r>
      <w:r w:rsidRPr="00493428">
        <w:t xml:space="preserve">trials with SYNAPSE reporting a higher SCS use (25% in the mepolizumab arms and 37% in the </w:t>
      </w:r>
      <w:r w:rsidR="00313736" w:rsidRPr="00493428">
        <w:t>SoC (placebo)</w:t>
      </w:r>
      <w:r w:rsidRPr="00493428">
        <w:t xml:space="preserve"> arm) compared to the POLYP trials (2.3% in the omalizumab arms and 6.2% in the </w:t>
      </w:r>
      <w:r w:rsidR="00313736" w:rsidRPr="00493428">
        <w:t>SoC (placebo)</w:t>
      </w:r>
      <w:r w:rsidRPr="00493428">
        <w:t xml:space="preserve"> arm), while </w:t>
      </w:r>
      <w:r w:rsidR="00B81B95" w:rsidRPr="00493428">
        <w:t xml:space="preserve">SCS use </w:t>
      </w:r>
      <w:r w:rsidRPr="00493428">
        <w:t xml:space="preserve">was not reported in the </w:t>
      </w:r>
      <w:r w:rsidRPr="00493428">
        <w:lastRenderedPageBreak/>
        <w:t xml:space="preserve">MERIT trial. The higher use of SCS in the </w:t>
      </w:r>
      <w:r w:rsidR="00313736" w:rsidRPr="00493428">
        <w:t>SoC (placebo)</w:t>
      </w:r>
      <w:r w:rsidRPr="00493428">
        <w:t xml:space="preserve"> arm may have underestimated the treatment effect of mepolizumab considered in the ITC.</w:t>
      </w:r>
    </w:p>
    <w:p w14:paraId="55081566" w14:textId="06BE5816" w:rsidR="002C1266" w:rsidRPr="00BC783C" w:rsidRDefault="002C1266" w:rsidP="006B5191">
      <w:pPr>
        <w:pStyle w:val="ListParagraph"/>
        <w:ind w:left="1134"/>
        <w:jc w:val="both"/>
      </w:pPr>
      <w:r w:rsidRPr="00BC783C">
        <w:t xml:space="preserve">POLYP trials had </w:t>
      </w:r>
      <w:r w:rsidR="00FB6CDC">
        <w:t>fewer</w:t>
      </w:r>
      <w:r w:rsidRPr="00BC783C">
        <w:t xml:space="preserve"> asthmatic patients (54-60%) compared to SYNAPSE (68-74%) and MERIT (79%).</w:t>
      </w:r>
      <w:r w:rsidR="00FF25B9">
        <w:t xml:space="preserve"> </w:t>
      </w:r>
      <w:r w:rsidR="00A946E7" w:rsidRPr="00493428">
        <w:rPr>
          <w:iCs/>
        </w:rPr>
        <w:t>As s</w:t>
      </w:r>
      <w:r w:rsidR="00C3632C" w:rsidRPr="00493428">
        <w:rPr>
          <w:iCs/>
        </w:rPr>
        <w:t>tated in</w:t>
      </w:r>
      <w:r w:rsidR="00705B41" w:rsidRPr="00493428">
        <w:rPr>
          <w:iCs/>
        </w:rPr>
        <w:t xml:space="preserve"> </w:t>
      </w:r>
      <w:r w:rsidR="00153EDB" w:rsidRPr="00493428">
        <w:rPr>
          <w:iCs/>
        </w:rPr>
        <w:t xml:space="preserve">para </w:t>
      </w:r>
      <w:r w:rsidR="00153EDB" w:rsidRPr="00493428">
        <w:rPr>
          <w:iCs/>
        </w:rPr>
        <w:fldChar w:fldCharType="begin"/>
      </w:r>
      <w:r w:rsidR="00153EDB" w:rsidRPr="00493428">
        <w:rPr>
          <w:iCs/>
        </w:rPr>
        <w:instrText xml:space="preserve"> REF _Ref192771806 \r \h </w:instrText>
      </w:r>
      <w:r w:rsidR="004E0FB2" w:rsidRPr="00493428">
        <w:rPr>
          <w:iCs/>
        </w:rPr>
        <w:instrText xml:space="preserve"> \* MERGEFORMAT </w:instrText>
      </w:r>
      <w:r w:rsidR="00153EDB" w:rsidRPr="00493428">
        <w:rPr>
          <w:iCs/>
        </w:rPr>
      </w:r>
      <w:r w:rsidR="00153EDB" w:rsidRPr="00493428">
        <w:rPr>
          <w:iCs/>
        </w:rPr>
        <w:fldChar w:fldCharType="separate"/>
      </w:r>
      <w:r w:rsidR="00CE52BF">
        <w:rPr>
          <w:iCs/>
        </w:rPr>
        <w:t>4.3</w:t>
      </w:r>
      <w:r w:rsidR="00153EDB" w:rsidRPr="00493428">
        <w:rPr>
          <w:iCs/>
        </w:rPr>
        <w:fldChar w:fldCharType="end"/>
      </w:r>
      <w:r w:rsidR="00C3632C" w:rsidRPr="00493428">
        <w:rPr>
          <w:iCs/>
        </w:rPr>
        <w:t>, p</w:t>
      </w:r>
      <w:r w:rsidR="006A752A" w:rsidRPr="00493428">
        <w:rPr>
          <w:iCs/>
        </w:rPr>
        <w:t>atient</w:t>
      </w:r>
      <w:r w:rsidR="00BB129A" w:rsidRPr="00493428">
        <w:rPr>
          <w:iCs/>
        </w:rPr>
        <w:t>s</w:t>
      </w:r>
      <w:r w:rsidR="006A752A" w:rsidRPr="00493428">
        <w:rPr>
          <w:iCs/>
        </w:rPr>
        <w:t xml:space="preserve"> with a</w:t>
      </w:r>
      <w:r w:rsidR="00002094" w:rsidRPr="00493428">
        <w:rPr>
          <w:iCs/>
        </w:rPr>
        <w:t>sthma</w:t>
      </w:r>
      <w:r w:rsidR="006A752A" w:rsidRPr="00493428">
        <w:rPr>
          <w:iCs/>
        </w:rPr>
        <w:t xml:space="preserve"> as a comorbidity </w:t>
      </w:r>
      <w:r w:rsidR="00AB334A" w:rsidRPr="00493428">
        <w:rPr>
          <w:iCs/>
        </w:rPr>
        <w:t xml:space="preserve">are likely to </w:t>
      </w:r>
      <w:r w:rsidR="00C75C0F" w:rsidRPr="00493428">
        <w:rPr>
          <w:iCs/>
        </w:rPr>
        <w:t>suffer</w:t>
      </w:r>
      <w:r w:rsidR="00AB334A" w:rsidRPr="00493428">
        <w:rPr>
          <w:iCs/>
        </w:rPr>
        <w:t xml:space="preserve"> a more detrimental impact</w:t>
      </w:r>
      <w:r w:rsidR="00C75C0F" w:rsidRPr="00493428">
        <w:rPr>
          <w:iCs/>
        </w:rPr>
        <w:t xml:space="preserve"> </w:t>
      </w:r>
      <w:r w:rsidR="00BB129A" w:rsidRPr="00493428">
        <w:rPr>
          <w:iCs/>
        </w:rPr>
        <w:t xml:space="preserve">from </w:t>
      </w:r>
      <w:proofErr w:type="spellStart"/>
      <w:r w:rsidR="00BB129A" w:rsidRPr="00493428">
        <w:rPr>
          <w:iCs/>
        </w:rPr>
        <w:t>CRSwNP</w:t>
      </w:r>
      <w:proofErr w:type="spellEnd"/>
      <w:r w:rsidR="00075DCC" w:rsidRPr="00493428">
        <w:rPr>
          <w:iCs/>
        </w:rPr>
        <w:t>.</w:t>
      </w:r>
      <w:r w:rsidR="00BF36E3">
        <w:t xml:space="preserve"> </w:t>
      </w:r>
    </w:p>
    <w:p w14:paraId="3229D820" w14:textId="4CCB8A64" w:rsidR="002C1266" w:rsidRPr="00BC783C" w:rsidRDefault="002C1266" w:rsidP="006B5191">
      <w:pPr>
        <w:pStyle w:val="ListParagraph"/>
        <w:ind w:left="1134"/>
        <w:jc w:val="both"/>
      </w:pPr>
      <w:r w:rsidRPr="00BC783C">
        <w:t>Lower proportion of aspirin sensitive patients in POLYP trials (21-26%) compared to SYNAPSE (22-31%) and MERIT (30-45%).</w:t>
      </w:r>
      <w:r w:rsidR="004B4638">
        <w:t xml:space="preserve"> </w:t>
      </w:r>
      <w:r w:rsidR="00DE58B9" w:rsidRPr="00493428">
        <w:t>Similarly to</w:t>
      </w:r>
      <w:r w:rsidR="003F42D2" w:rsidRPr="00493428">
        <w:t xml:space="preserve"> as</w:t>
      </w:r>
      <w:r w:rsidR="0009689E" w:rsidRPr="00493428">
        <w:t xml:space="preserve">thmatic </w:t>
      </w:r>
      <w:r w:rsidR="00F01751" w:rsidRPr="00493428">
        <w:t>patients</w:t>
      </w:r>
      <w:r w:rsidR="00F164BA" w:rsidRPr="00493428">
        <w:t xml:space="preserve">, </w:t>
      </w:r>
      <w:r w:rsidR="00F01751" w:rsidRPr="00493428">
        <w:t>those</w:t>
      </w:r>
      <w:r w:rsidR="004B4638" w:rsidRPr="00493428">
        <w:t xml:space="preserve"> with</w:t>
      </w:r>
      <w:r w:rsidR="00941A5E" w:rsidRPr="00493428">
        <w:t xml:space="preserve"> aspi</w:t>
      </w:r>
      <w:r w:rsidR="0017746D" w:rsidRPr="00493428">
        <w:t>r</w:t>
      </w:r>
      <w:r w:rsidR="00941A5E" w:rsidRPr="00493428">
        <w:t xml:space="preserve">in sensitivity </w:t>
      </w:r>
      <w:r w:rsidR="0017746D" w:rsidRPr="00493428">
        <w:t xml:space="preserve">as a comorbidity </w:t>
      </w:r>
      <w:r w:rsidR="00941A5E" w:rsidRPr="00493428">
        <w:t xml:space="preserve">are </w:t>
      </w:r>
      <w:r w:rsidR="00B02272" w:rsidRPr="00493428">
        <w:t xml:space="preserve">more likely to </w:t>
      </w:r>
      <w:r w:rsidR="00882843" w:rsidRPr="00493428">
        <w:t xml:space="preserve">suffer a more detrimental impact </w:t>
      </w:r>
      <w:r w:rsidR="00ED2FC7" w:rsidRPr="00493428">
        <w:t>on quality of life</w:t>
      </w:r>
      <w:r w:rsidR="000A4D95" w:rsidRPr="00493428">
        <w:t xml:space="preserve"> </w:t>
      </w:r>
      <w:r w:rsidR="00882843" w:rsidRPr="00493428">
        <w:t xml:space="preserve">from </w:t>
      </w:r>
      <w:proofErr w:type="spellStart"/>
      <w:r w:rsidR="00882843" w:rsidRPr="00493428">
        <w:t>CRSwNP</w:t>
      </w:r>
      <w:proofErr w:type="spellEnd"/>
      <w:r w:rsidR="00DF3D50" w:rsidRPr="00493428">
        <w:t xml:space="preserve"> (see para </w:t>
      </w:r>
      <w:r w:rsidR="00A40389" w:rsidRPr="00493428">
        <w:fldChar w:fldCharType="begin"/>
      </w:r>
      <w:r w:rsidR="00A40389" w:rsidRPr="00493428">
        <w:instrText xml:space="preserve"> REF _Ref192771806 \r \h </w:instrText>
      </w:r>
      <w:r w:rsidR="004E0FB2" w:rsidRPr="00493428">
        <w:instrText xml:space="preserve"> \* MERGEFORMAT </w:instrText>
      </w:r>
      <w:r w:rsidR="00A40389" w:rsidRPr="00493428">
        <w:fldChar w:fldCharType="separate"/>
      </w:r>
      <w:r w:rsidR="00CE52BF">
        <w:t>4.3</w:t>
      </w:r>
      <w:r w:rsidR="00A40389" w:rsidRPr="00493428">
        <w:fldChar w:fldCharType="end"/>
      </w:r>
      <w:r w:rsidR="00DF3D50" w:rsidRPr="00493428">
        <w:t>).</w:t>
      </w:r>
    </w:p>
    <w:p w14:paraId="0A5516F3" w14:textId="01D74721" w:rsidR="002C1266" w:rsidRPr="00493428" w:rsidRDefault="002C1266" w:rsidP="006B5191">
      <w:pPr>
        <w:pStyle w:val="ListParagraph"/>
        <w:ind w:left="1134"/>
        <w:jc w:val="both"/>
      </w:pPr>
      <w:r w:rsidRPr="00DF6B72">
        <w:t xml:space="preserve">Lower </w:t>
      </w:r>
      <w:r w:rsidR="007A35C4" w:rsidRPr="00DF6B72">
        <w:t xml:space="preserve">mean </w:t>
      </w:r>
      <w:r w:rsidRPr="00DF6B72">
        <w:t xml:space="preserve">BEC levels in </w:t>
      </w:r>
      <w:r w:rsidR="00FB6BD1" w:rsidRPr="00DF6B72">
        <w:t>pa</w:t>
      </w:r>
      <w:r w:rsidR="006748CF" w:rsidRPr="00DF6B72">
        <w:t>tients</w:t>
      </w:r>
      <w:r w:rsidR="00787243" w:rsidRPr="00DF6B72">
        <w:t xml:space="preserve"> across treatment arms</w:t>
      </w:r>
      <w:r w:rsidR="006748CF" w:rsidRPr="00DF6B72">
        <w:t xml:space="preserve"> in the </w:t>
      </w:r>
      <w:r w:rsidRPr="00DF6B72">
        <w:t>POLYP trials (320</w:t>
      </w:r>
      <w:r w:rsidR="007F200E">
        <w:softHyphen/>
      </w:r>
      <w:r w:rsidRPr="00DF6B72">
        <w:t xml:space="preserve">360 cells/µL) compared to </w:t>
      </w:r>
      <w:r w:rsidR="0097344F" w:rsidRPr="00DF6B72">
        <w:t>SYNAPSE (</w:t>
      </w:r>
      <w:r w:rsidRPr="00DF6B72">
        <w:t>390-400 cells/µL) and MERIT (390</w:t>
      </w:r>
      <w:r w:rsidR="007F200E">
        <w:softHyphen/>
      </w:r>
      <w:r w:rsidR="007F200E" w:rsidRPr="00DF6B72">
        <w:t>450</w:t>
      </w:r>
      <w:r w:rsidR="007F200E">
        <w:t> </w:t>
      </w:r>
      <w:r w:rsidRPr="00DF6B72">
        <w:t>cells/µL).</w:t>
      </w:r>
      <w:r w:rsidR="00533E6A" w:rsidRPr="00DF6B72">
        <w:t xml:space="preserve"> Patients with higher BEC levels are more li</w:t>
      </w:r>
      <w:r w:rsidR="00083DFF" w:rsidRPr="00DF6B72">
        <w:t xml:space="preserve">kely to have </w:t>
      </w:r>
      <w:r w:rsidR="00A90AB8" w:rsidRPr="00DF6B72">
        <w:t xml:space="preserve">increased risk of exacerbations </w:t>
      </w:r>
      <w:r w:rsidR="00703A0F" w:rsidRPr="00DF6B72">
        <w:t xml:space="preserve">in various pulmonary </w:t>
      </w:r>
      <w:r w:rsidR="00756C16" w:rsidRPr="00DF6B72">
        <w:t>and extra pulmonary diseases such as allergy</w:t>
      </w:r>
      <w:r w:rsidR="008253F7" w:rsidRPr="00493428">
        <w:t>.</w:t>
      </w:r>
      <w:r w:rsidR="008253F7" w:rsidRPr="00493428">
        <w:rPr>
          <w:rStyle w:val="FootnoteReference"/>
        </w:rPr>
        <w:footnoteReference w:id="10"/>
      </w:r>
    </w:p>
    <w:p w14:paraId="1E448DD2" w14:textId="58C913B1" w:rsidR="002C1266" w:rsidRPr="00493428" w:rsidRDefault="002C1266" w:rsidP="2BCE08C6">
      <w:pPr>
        <w:pStyle w:val="3-BodyText"/>
      </w:pPr>
      <w:r w:rsidRPr="00493428">
        <w:t xml:space="preserve">The following characteristics suggest more complex patients in the </w:t>
      </w:r>
      <w:r w:rsidR="00170C08" w:rsidRPr="00493428">
        <w:t xml:space="preserve">POLYP 1/2 </w:t>
      </w:r>
      <w:r w:rsidRPr="00493428">
        <w:t xml:space="preserve">subgroups compared to mepolizumab patients: </w:t>
      </w:r>
    </w:p>
    <w:p w14:paraId="4701856F" w14:textId="3AD06334" w:rsidR="002C1266" w:rsidRPr="00A60C67" w:rsidRDefault="002C1266" w:rsidP="006B5191">
      <w:pPr>
        <w:pStyle w:val="ListParagraph"/>
        <w:ind w:left="1134"/>
        <w:jc w:val="both"/>
      </w:pPr>
      <w:r w:rsidRPr="00A60C67">
        <w:t>Higher BEC levels for the post-surgical + BEC ≥300 subgroup of the POLYP 1/2 trials (530-550 cells/µL) compared to the ITT population of SYNAPSE (390-</w:t>
      </w:r>
      <w:r w:rsidR="007F200E" w:rsidRPr="00A60C67">
        <w:t>400</w:t>
      </w:r>
      <w:r w:rsidR="007F200E">
        <w:t> </w:t>
      </w:r>
      <w:r w:rsidRPr="00A60C67">
        <w:t>cells/µL) and MERIT (390-450 cells/µL).</w:t>
      </w:r>
    </w:p>
    <w:p w14:paraId="2068CC7E" w14:textId="668CCEE7" w:rsidR="002C1266" w:rsidRPr="00226B11" w:rsidRDefault="002C1266" w:rsidP="006B5191">
      <w:pPr>
        <w:pStyle w:val="ListParagraph"/>
        <w:ind w:left="1134"/>
        <w:jc w:val="both"/>
      </w:pPr>
      <w:r w:rsidRPr="00226B11">
        <w:t>Higher proportion of aspirin sensitive patients for the post-surgical (30-37%) and post-surgical + BEC ≥300 (31-34%) subgroups compared to SYNAPSE (22-31%) but lower compared to MERIT (30-45%).</w:t>
      </w:r>
    </w:p>
    <w:p w14:paraId="6F79B717" w14:textId="473F6F03" w:rsidR="002C1266" w:rsidRPr="00226B11" w:rsidRDefault="002C1266" w:rsidP="006B5191">
      <w:pPr>
        <w:pStyle w:val="ListParagraph"/>
        <w:ind w:left="1134"/>
        <w:jc w:val="both"/>
      </w:pPr>
      <w:r w:rsidRPr="00226B11">
        <w:t>Higher proportion of asthmatic patients for the post-surgical + BEC ≥300 (77-79%) subgroup compared to SYNAPSE (68-74%), but similar to MERIT (79%).</w:t>
      </w:r>
    </w:p>
    <w:p w14:paraId="2B71EBD6" w14:textId="21711B8D" w:rsidR="002C1266" w:rsidRPr="00493428" w:rsidRDefault="002C1266" w:rsidP="2BCE08C6">
      <w:pPr>
        <w:pStyle w:val="3-BodyText"/>
      </w:pPr>
      <w:bookmarkStart w:id="25" w:name="_Ref190206018"/>
      <w:r w:rsidRPr="00493428">
        <w:t xml:space="preserve">The submission included adjusted </w:t>
      </w:r>
      <w:r w:rsidR="00171982" w:rsidRPr="00493428">
        <w:t xml:space="preserve">ITC </w:t>
      </w:r>
      <w:r w:rsidRPr="00493428">
        <w:t xml:space="preserve">analyses for differences </w:t>
      </w:r>
      <w:r w:rsidR="0007376B" w:rsidRPr="00493428">
        <w:t xml:space="preserve">between </w:t>
      </w:r>
      <w:r w:rsidRPr="00493428">
        <w:t xml:space="preserve">treatment arms within each trial, but these analyses did not account for the differences between trials. </w:t>
      </w:r>
      <w:r w:rsidR="00371343" w:rsidRPr="00493428">
        <w:t xml:space="preserve">Differences in the eligibility criteria, study design and baseline characteristics </w:t>
      </w:r>
      <w:r w:rsidR="003123F3" w:rsidRPr="00493428">
        <w:t xml:space="preserve">described above </w:t>
      </w:r>
      <w:r w:rsidR="00371343" w:rsidRPr="00493428">
        <w:rPr>
          <w:rStyle w:val="normaltextrun"/>
          <w:rFonts w:ascii="Calibri" w:hAnsi="Calibri" w:cs="Calibri"/>
          <w:shd w:val="clear" w:color="auto" w:fill="FFFFFF"/>
        </w:rPr>
        <w:t xml:space="preserve">were identified to be important transitivity concerns </w:t>
      </w:r>
      <w:r w:rsidR="00615BBD" w:rsidRPr="00493428">
        <w:rPr>
          <w:rStyle w:val="normaltextrun"/>
          <w:rFonts w:ascii="Calibri" w:hAnsi="Calibri" w:cs="Calibri"/>
          <w:shd w:val="clear" w:color="auto" w:fill="FFFFFF"/>
        </w:rPr>
        <w:t>that</w:t>
      </w:r>
      <w:r w:rsidR="00371343" w:rsidRPr="00493428">
        <w:rPr>
          <w:rStyle w:val="normaltextrun"/>
          <w:rFonts w:ascii="Calibri" w:hAnsi="Calibri" w:cs="Calibri"/>
          <w:shd w:val="clear" w:color="auto" w:fill="FFFFFF"/>
        </w:rPr>
        <w:t xml:space="preserve"> could </w:t>
      </w:r>
      <w:r w:rsidR="009931A1">
        <w:rPr>
          <w:rStyle w:val="normaltextrun"/>
          <w:rFonts w:ascii="Calibri" w:hAnsi="Calibri" w:cs="Calibri"/>
          <w:shd w:val="clear" w:color="auto" w:fill="FFFFFF"/>
        </w:rPr>
        <w:t xml:space="preserve">have </w:t>
      </w:r>
      <w:r w:rsidR="00371343" w:rsidRPr="00493428">
        <w:rPr>
          <w:rStyle w:val="normaltextrun"/>
          <w:rFonts w:ascii="Calibri" w:hAnsi="Calibri" w:cs="Calibri"/>
          <w:shd w:val="clear" w:color="auto" w:fill="FFFFFF"/>
        </w:rPr>
        <w:t>confound</w:t>
      </w:r>
      <w:r w:rsidR="009931A1">
        <w:rPr>
          <w:rStyle w:val="normaltextrun"/>
          <w:rFonts w:ascii="Calibri" w:hAnsi="Calibri" w:cs="Calibri"/>
          <w:shd w:val="clear" w:color="auto" w:fill="FFFFFF"/>
        </w:rPr>
        <w:t>ed</w:t>
      </w:r>
      <w:r w:rsidR="00371343" w:rsidRPr="00493428">
        <w:rPr>
          <w:rStyle w:val="normaltextrun"/>
          <w:rFonts w:ascii="Calibri" w:hAnsi="Calibri" w:cs="Calibri"/>
          <w:shd w:val="clear" w:color="auto" w:fill="FFFFFF"/>
        </w:rPr>
        <w:t xml:space="preserve"> the results of the indirect comparisons</w:t>
      </w:r>
      <w:r w:rsidR="00DB35EA" w:rsidRPr="00493428">
        <w:rPr>
          <w:rStyle w:val="normaltextrun"/>
          <w:rFonts w:ascii="Calibri" w:hAnsi="Calibri" w:cs="Calibri"/>
          <w:shd w:val="clear" w:color="auto" w:fill="FFFFFF"/>
        </w:rPr>
        <w:t>.</w:t>
      </w:r>
      <w:r w:rsidR="00371343" w:rsidRPr="00493428">
        <w:t xml:space="preserve"> </w:t>
      </w:r>
      <w:r w:rsidRPr="009931A1">
        <w:t>As such, these results should be interpreted with caution given the combined impact of the identified differences on observed outcomes are uncertain</w:t>
      </w:r>
      <w:r w:rsidRPr="00493428">
        <w:t>.</w:t>
      </w:r>
      <w:bookmarkEnd w:id="25"/>
    </w:p>
    <w:p w14:paraId="4C713B98" w14:textId="677A994A" w:rsidR="002C1266" w:rsidRDefault="002C1266" w:rsidP="002C1266">
      <w:pPr>
        <w:pStyle w:val="3-BodyText"/>
        <w:rPr>
          <w:i/>
          <w:iCs/>
        </w:rPr>
      </w:pPr>
      <w:bookmarkStart w:id="26" w:name="_Ref190206031"/>
      <w:r w:rsidRPr="00493428">
        <w:t xml:space="preserve">Overall, the definitions of the outcomes of all included trials were broadly aligned. However, outcomes included in POLYP trials were measured at week 24 while outcomes included in the mepolizumab trials were measured at week 52. The different duration of the trials may </w:t>
      </w:r>
      <w:r w:rsidR="001F4F14">
        <w:t xml:space="preserve">have </w:t>
      </w:r>
      <w:r w:rsidRPr="00493428">
        <w:t>bias</w:t>
      </w:r>
      <w:r w:rsidR="001F4F14">
        <w:t>ed</w:t>
      </w:r>
      <w:r w:rsidRPr="00493428">
        <w:t xml:space="preserve"> the comparability of omalizumab versus mepolizumab in favour of mepolizumab given greater data maturity.</w:t>
      </w:r>
      <w:r>
        <w:rPr>
          <w:i/>
          <w:iCs/>
        </w:rPr>
        <w:t xml:space="preserve"> </w:t>
      </w:r>
      <w:r w:rsidRPr="00EA5B46">
        <w:t xml:space="preserve">Data from </w:t>
      </w:r>
      <w:r w:rsidRPr="00EA5B46">
        <w:lastRenderedPageBreak/>
        <w:t>SYNAPSE suggest</w:t>
      </w:r>
      <w:r w:rsidR="00FC1E52">
        <w:t>ed</w:t>
      </w:r>
      <w:r w:rsidRPr="00EA5B46">
        <w:t xml:space="preserve"> that efficacy outcomes continue</w:t>
      </w:r>
      <w:r w:rsidR="00FC1E52">
        <w:t>d</w:t>
      </w:r>
      <w:r w:rsidRPr="00EA5B46">
        <w:t xml:space="preserve"> to improve between </w:t>
      </w:r>
      <w:r w:rsidR="007F200E" w:rsidRPr="00EA5B46">
        <w:t>Week</w:t>
      </w:r>
      <w:r w:rsidR="007F200E">
        <w:t> </w:t>
      </w:r>
      <w:r w:rsidRPr="00EA5B46">
        <w:t>24 and Week 52.</w:t>
      </w:r>
      <w:bookmarkEnd w:id="26"/>
    </w:p>
    <w:p w14:paraId="2F0821AB" w14:textId="7D9E9B60" w:rsidR="002C1266" w:rsidRDefault="002C1266" w:rsidP="002C1266">
      <w:pPr>
        <w:pStyle w:val="3-BodyText"/>
      </w:pPr>
      <w:bookmarkStart w:id="27" w:name="_Ref190206041"/>
      <w:r w:rsidRPr="27E95B3D">
        <w:t xml:space="preserve">The POLYP and MERIT trials </w:t>
      </w:r>
      <w:r w:rsidR="00EB3FEE">
        <w:t>compared</w:t>
      </w:r>
      <w:r w:rsidR="00B95A16" w:rsidRPr="27E95B3D">
        <w:t xml:space="preserve"> </w:t>
      </w:r>
      <w:r w:rsidR="00C615FE" w:rsidRPr="27E95B3D">
        <w:t xml:space="preserve">change from baseline </w:t>
      </w:r>
      <w:r w:rsidR="00647DA0">
        <w:t>of</w:t>
      </w:r>
      <w:r w:rsidR="00C615FE" w:rsidRPr="27E95B3D">
        <w:t xml:space="preserve"> NPS and </w:t>
      </w:r>
      <w:r w:rsidR="002C349E">
        <w:t xml:space="preserve">of </w:t>
      </w:r>
      <w:r w:rsidR="00C615FE" w:rsidRPr="27E95B3D">
        <w:t>SNOT-22</w:t>
      </w:r>
      <w:r w:rsidR="00C615FE">
        <w:t xml:space="preserve"> </w:t>
      </w:r>
      <w:r w:rsidR="00EB3FEE">
        <w:t xml:space="preserve">across </w:t>
      </w:r>
      <w:r w:rsidRPr="27E95B3D">
        <w:t>treatment arm</w:t>
      </w:r>
      <w:r w:rsidR="002A2D4D">
        <w:t>s</w:t>
      </w:r>
      <w:r w:rsidRPr="27E95B3D">
        <w:t xml:space="preserve"> </w:t>
      </w:r>
      <w:r w:rsidR="006C23EB">
        <w:t xml:space="preserve">as </w:t>
      </w:r>
      <w:r w:rsidR="00C70A3B">
        <w:t>mean</w:t>
      </w:r>
      <w:r w:rsidR="00C70A3B" w:rsidRPr="27E95B3D">
        <w:t xml:space="preserve"> </w:t>
      </w:r>
      <w:r w:rsidRPr="27E95B3D">
        <w:t>differences</w:t>
      </w:r>
      <w:r w:rsidR="00331CB3" w:rsidRPr="00331CB3">
        <w:t xml:space="preserve"> </w:t>
      </w:r>
      <w:r w:rsidR="00331CB3">
        <w:t xml:space="preserve">with </w:t>
      </w:r>
      <w:r w:rsidR="00331CB3" w:rsidRPr="27E95B3D">
        <w:t>95% confidence interval [CI]</w:t>
      </w:r>
      <w:r w:rsidR="00331CB3">
        <w:t xml:space="preserve"> </w:t>
      </w:r>
      <w:r w:rsidRPr="27E95B3D">
        <w:t xml:space="preserve">while SYNAPSE reported median (95% CI) differences. To account for </w:t>
      </w:r>
      <w:r w:rsidR="00B45E67">
        <w:t xml:space="preserve">the </w:t>
      </w:r>
      <w:r w:rsidR="008940B6">
        <w:t>variation</w:t>
      </w:r>
      <w:r w:rsidR="00307585">
        <w:t xml:space="preserve"> in</w:t>
      </w:r>
      <w:r w:rsidR="00B45E67">
        <w:t xml:space="preserve"> measures</w:t>
      </w:r>
      <w:r w:rsidRPr="27E95B3D">
        <w:t xml:space="preserve"> in the ITC, the submission reported treatment effects as median (95% CI) changes to align with the SYNAPSE trial using quantile regression </w:t>
      </w:r>
      <w:r w:rsidR="00E96BE1">
        <w:t xml:space="preserve">and </w:t>
      </w:r>
      <w:r w:rsidRPr="27E95B3D">
        <w:t xml:space="preserve">accounting for the same covariates as SYNAPSE. Sensitivity analyses for the ITCs were conducted in the submission using the mean change in NPS between the POLYP and MERIT trials where data were available. </w:t>
      </w:r>
      <w:r w:rsidRPr="00493428">
        <w:t xml:space="preserve">These analyses </w:t>
      </w:r>
      <w:r w:rsidR="008D4D67" w:rsidRPr="00493428">
        <w:t xml:space="preserve">were </w:t>
      </w:r>
      <w:r w:rsidRPr="00493428">
        <w:t>not adjusted for differences between trials</w:t>
      </w:r>
      <w:r w:rsidR="00D01693" w:rsidRPr="00493428">
        <w:t xml:space="preserve"> </w:t>
      </w:r>
      <w:r w:rsidR="001F5654" w:rsidRPr="00493428">
        <w:t>and</w:t>
      </w:r>
      <w:r w:rsidR="00821A52" w:rsidRPr="00493428">
        <w:t xml:space="preserve"> their</w:t>
      </w:r>
      <w:r w:rsidRPr="00493428">
        <w:t xml:space="preserve"> impact</w:t>
      </w:r>
      <w:r w:rsidR="00821A52" w:rsidRPr="00493428">
        <w:t xml:space="preserve"> on direction and magnitude of </w:t>
      </w:r>
      <w:r w:rsidR="00CB25DD" w:rsidRPr="00493428">
        <w:t xml:space="preserve">the </w:t>
      </w:r>
      <w:r w:rsidR="00821A52" w:rsidRPr="00493428">
        <w:t>results</w:t>
      </w:r>
      <w:r w:rsidRPr="00493428">
        <w:t xml:space="preserve"> </w:t>
      </w:r>
      <w:r w:rsidR="00FA2A6E">
        <w:t>wa</w:t>
      </w:r>
      <w:r w:rsidRPr="00493428">
        <w:t>s uncertain.</w:t>
      </w:r>
      <w:bookmarkEnd w:id="27"/>
    </w:p>
    <w:p w14:paraId="660062BA" w14:textId="4BF2D4EE" w:rsidR="002C1266" w:rsidRPr="004D35E7" w:rsidRDefault="002C1266" w:rsidP="2BCE08C6">
      <w:pPr>
        <w:pStyle w:val="3-BodyText"/>
      </w:pPr>
      <w:bookmarkStart w:id="28" w:name="_Ref190252365"/>
      <w:r w:rsidRPr="00493428">
        <w:t xml:space="preserve">Overall, the trial setting (POLYP 1/2) </w:t>
      </w:r>
      <w:r w:rsidR="00534B53" w:rsidRPr="00493428">
        <w:t>wa</w:t>
      </w:r>
      <w:r w:rsidRPr="00493428">
        <w:t>s reasonably consistent with the proposed Australian setting</w:t>
      </w:r>
      <w:r w:rsidR="00E9609E" w:rsidRPr="00493428">
        <w:t>;</w:t>
      </w:r>
      <w:r w:rsidRPr="00493428">
        <w:t xml:space="preserve"> however</w:t>
      </w:r>
      <w:r w:rsidR="00E9609E" w:rsidRPr="00493428">
        <w:t>, similar to mepolizumab,</w:t>
      </w:r>
      <w:r w:rsidRPr="00493428">
        <w:t xml:space="preserve"> there </w:t>
      </w:r>
      <w:r w:rsidR="00723C50" w:rsidRPr="00493428">
        <w:t>we</w:t>
      </w:r>
      <w:r w:rsidRPr="00493428">
        <w:t>re applicability issues as the requested restriction allow</w:t>
      </w:r>
      <w:r w:rsidR="00596A60" w:rsidRPr="00493428">
        <w:t>ed</w:t>
      </w:r>
      <w:r w:rsidRPr="00493428">
        <w:t xml:space="preserve"> patients to access omalizumab if they </w:t>
      </w:r>
      <w:r w:rsidR="004C13A0" w:rsidRPr="00493428">
        <w:t>we</w:t>
      </w:r>
      <w:r w:rsidRPr="00493428">
        <w:t xml:space="preserve">re unsuitable for </w:t>
      </w:r>
      <w:r w:rsidR="003E1A17" w:rsidRPr="00493428">
        <w:t>surgery or</w:t>
      </w:r>
      <w:r w:rsidRPr="00493428">
        <w:t xml:space="preserve"> contraindicated or intolerant to INCS</w:t>
      </w:r>
      <w:r w:rsidR="003E1A17" w:rsidRPr="00493428">
        <w:t>,</w:t>
      </w:r>
      <w:r w:rsidRPr="00493428">
        <w:t xml:space="preserve"> </w:t>
      </w:r>
      <w:r w:rsidR="00E475AC" w:rsidRPr="00493428">
        <w:t>but</w:t>
      </w:r>
      <w:r w:rsidRPr="00493428">
        <w:t xml:space="preserve"> there </w:t>
      </w:r>
      <w:r w:rsidR="008C57A0" w:rsidRPr="00493428">
        <w:t>wa</w:t>
      </w:r>
      <w:r w:rsidRPr="00493428">
        <w:t xml:space="preserve">s no evidence to support the use of omalizumab in these populations. The PBAC previously considered that if patients unsuitable for surgery were to be included in the proposed PBS population, then </w:t>
      </w:r>
      <w:r w:rsidR="00287362" w:rsidRPr="00493428">
        <w:t>an</w:t>
      </w:r>
      <w:r w:rsidRPr="00493428">
        <w:t xml:space="preserve"> RSA would be required to manage uncertainty associated with the uptake </w:t>
      </w:r>
      <w:r w:rsidRPr="004D35E7">
        <w:t>in this population (paragraph 7.8, mepolizumab PSD, November</w:t>
      </w:r>
      <w:r w:rsidR="007F200E">
        <w:t> </w:t>
      </w:r>
      <w:r w:rsidRPr="004D35E7">
        <w:t xml:space="preserve">2021 PBAC meeting). An RSA is in place for mepolizumab for </w:t>
      </w:r>
      <w:proofErr w:type="spellStart"/>
      <w:r w:rsidRPr="004D35E7">
        <w:t>CRSwNP</w:t>
      </w:r>
      <w:proofErr w:type="spellEnd"/>
      <w:r w:rsidRPr="004D35E7">
        <w:t xml:space="preserve"> and</w:t>
      </w:r>
      <w:r w:rsidRPr="004D35E7">
        <w:rPr>
          <w:b/>
          <w:bCs/>
        </w:rPr>
        <w:t xml:space="preserve"> </w:t>
      </w:r>
      <w:r w:rsidRPr="004D35E7">
        <w:t xml:space="preserve">is discussed in </w:t>
      </w:r>
      <w:r w:rsidR="004D35E7" w:rsidRPr="004D35E7">
        <w:t>Financial Management – Risk Sharing Arrangements below</w:t>
      </w:r>
      <w:r w:rsidRPr="004D35E7">
        <w:t>.</w:t>
      </w:r>
    </w:p>
    <w:p w14:paraId="37D86FF5" w14:textId="52769166" w:rsidR="002C1266" w:rsidRPr="00C14FF7" w:rsidRDefault="002C1266" w:rsidP="002C1266">
      <w:pPr>
        <w:pStyle w:val="3-BodyText"/>
      </w:pPr>
      <w:r w:rsidRPr="00C14FF7">
        <w:t>The submission proposed the following MCID for NPS and SNOT-22 based on the proposed MCID for mepolizumab in the November 2022 submission:</w:t>
      </w:r>
      <w:bookmarkEnd w:id="28"/>
    </w:p>
    <w:p w14:paraId="054BE38C" w14:textId="37CBB84C" w:rsidR="002C1266" w:rsidRPr="00C14FF7" w:rsidRDefault="002C1266" w:rsidP="006B5191">
      <w:pPr>
        <w:pStyle w:val="ListParagraph"/>
        <w:ind w:left="1134"/>
        <w:jc w:val="both"/>
      </w:pPr>
      <w:r w:rsidRPr="00C14FF7">
        <w:t>Change from baseline in total NPS: An NPS score responder was defined as a participant who had an improvement (decrease) of ≥1.0 point (based on Bachert 2021).</w:t>
      </w:r>
      <w:r w:rsidR="007E02F2">
        <w:t xml:space="preserve"> T</w:t>
      </w:r>
      <w:r w:rsidR="007E02F2" w:rsidRPr="007E02F2">
        <w:t>he submission proposed a non-inferiority margin</w:t>
      </w:r>
      <w:r w:rsidR="008609C9">
        <w:t xml:space="preserve"> based on this </w:t>
      </w:r>
      <w:r w:rsidR="00AE7C39">
        <w:t>MCID for NPS</w:t>
      </w:r>
      <w:r w:rsidR="007E02F2" w:rsidRPr="007E02F2">
        <w:t xml:space="preserve">, claiming consistency with the published literature on </w:t>
      </w:r>
      <w:proofErr w:type="spellStart"/>
      <w:r w:rsidR="007E02F2" w:rsidRPr="007E02F2">
        <w:t>CRSwNP</w:t>
      </w:r>
      <w:proofErr w:type="spellEnd"/>
      <w:r w:rsidR="007E02F2" w:rsidRPr="007E02F2">
        <w:t xml:space="preserve"> (Sedaghat et al., 2024). </w:t>
      </w:r>
      <w:r w:rsidR="007E02F2" w:rsidRPr="00442A9A">
        <w:t>This MCID is not validated.</w:t>
      </w:r>
    </w:p>
    <w:p w14:paraId="4B6527A8" w14:textId="50DC9090" w:rsidR="002C1266" w:rsidRPr="00C14FF7" w:rsidRDefault="002C1266" w:rsidP="006B5191">
      <w:pPr>
        <w:pStyle w:val="ListParagraph"/>
        <w:ind w:left="1134"/>
        <w:jc w:val="both"/>
      </w:pPr>
      <w:r w:rsidRPr="00C14FF7">
        <w:t xml:space="preserve">Change from baseline in SNOT-22 total score: The MCID for was </w:t>
      </w:r>
      <w:r w:rsidR="00B34EAF">
        <w:t xml:space="preserve">defined as </w:t>
      </w:r>
      <w:r w:rsidRPr="00C14FF7">
        <w:t>a ≥8.9 change in SNOT-22 score (Hopkins 2009).</w:t>
      </w:r>
    </w:p>
    <w:p w14:paraId="18802E03" w14:textId="280714B2" w:rsidR="002C1266" w:rsidRPr="00442A9A" w:rsidRDefault="002C1266" w:rsidP="002C1266">
      <w:pPr>
        <w:pStyle w:val="3-BodyText"/>
      </w:pPr>
      <w:bookmarkStart w:id="29" w:name="_Ref192513915"/>
      <w:r w:rsidRPr="00442A9A">
        <w:t xml:space="preserve">As documented in the mepolizumab PSD, the proposed MCIDs for NPS were not explicitly stated in Bachert 2021 (the proportion of patients who achieved a reduction of the endoscopic nasal polyp (ENP) score by at least 1 point was reported but it was not stated whether this was clinically meaningful) (para 6.10, mepolizumab, PSD, November 2022 PBAC meeting). However, the PBAC considered </w:t>
      </w:r>
      <w:r w:rsidR="0057138E" w:rsidRPr="00442A9A">
        <w:t xml:space="preserve">that </w:t>
      </w:r>
      <w:r w:rsidRPr="00442A9A">
        <w:t xml:space="preserve">mepolizumab treatment </w:t>
      </w:r>
      <w:r w:rsidR="0011479E" w:rsidRPr="00442A9A">
        <w:t>wa</w:t>
      </w:r>
      <w:r w:rsidRPr="00442A9A">
        <w:t xml:space="preserve">s expected to provide a substantial and clinically relevant improvement in efficacy, over alternative therapies, </w:t>
      </w:r>
      <w:r w:rsidRPr="00C740CC">
        <w:t>on the basis of change from baseline in endoscopic NPS and nasal obstruction VAS (NO-VAS) score along with the impact seen on time to first nasal surgery and improvements in QoL (para 7.13, mepolizumab, PSD, November 2022 PBAC meeting).</w:t>
      </w:r>
      <w:bookmarkEnd w:id="29"/>
    </w:p>
    <w:p w14:paraId="6A72F7C3" w14:textId="7A12916B" w:rsidR="00C035D9" w:rsidRPr="005F34FE" w:rsidRDefault="002C1266" w:rsidP="2BCE08C6">
      <w:pPr>
        <w:pStyle w:val="3-BodyText"/>
        <w:rPr>
          <w:i/>
          <w:iCs/>
        </w:rPr>
      </w:pPr>
      <w:bookmarkStart w:id="30" w:name="_Ref190336757"/>
      <w:r w:rsidRPr="2BCE08C6">
        <w:lastRenderedPageBreak/>
        <w:t xml:space="preserve">The submission included post hoc analyses </w:t>
      </w:r>
      <w:r w:rsidR="00D33D76">
        <w:t>for</w:t>
      </w:r>
      <w:r w:rsidR="00D33D76" w:rsidRPr="2BCE08C6">
        <w:t xml:space="preserve"> </w:t>
      </w:r>
      <w:r w:rsidRPr="2BCE08C6">
        <w:t>NPS ≥ 1-point improvement from baseline, NPS ≥ 2-point improvement from baseline, SNOT-22 ≥</w:t>
      </w:r>
      <w:r w:rsidR="005A1136">
        <w:t xml:space="preserve"> </w:t>
      </w:r>
      <w:r w:rsidRPr="2BCE08C6">
        <w:t xml:space="preserve">8.9-point improvement from baseline and change from baseline in </w:t>
      </w:r>
      <w:proofErr w:type="spellStart"/>
      <w:r w:rsidRPr="2BCE08C6">
        <w:t>EuroQol</w:t>
      </w:r>
      <w:proofErr w:type="spellEnd"/>
      <w:r w:rsidRPr="2BCE08C6">
        <w:t xml:space="preserve"> 5-Dimension 5-level Questionnaire (EQ-5D-5L).</w:t>
      </w:r>
      <w:r w:rsidRPr="2BCE08C6">
        <w:rPr>
          <w:i/>
          <w:iCs/>
        </w:rPr>
        <w:t xml:space="preserve"> </w:t>
      </w:r>
      <w:r w:rsidRPr="00442A9A">
        <w:t>Post hoc analyses are less rigorous and have additional potential for bias than analyses pre-specified in trial protocols.</w:t>
      </w:r>
      <w:bookmarkEnd w:id="30"/>
    </w:p>
    <w:p w14:paraId="634A7B08" w14:textId="108EAE52" w:rsidR="001822F5" w:rsidRPr="00442A9A" w:rsidRDefault="002C1266" w:rsidP="005A0AA0">
      <w:pPr>
        <w:pStyle w:val="3-BodyText"/>
      </w:pPr>
      <w:r w:rsidRPr="00442A9A">
        <w:t>A systematic review (Papacharalampous et al. 2024)</w:t>
      </w:r>
      <w:r w:rsidRPr="00442A9A">
        <w:rPr>
          <w:rStyle w:val="FootnoteReference"/>
        </w:rPr>
        <w:footnoteReference w:id="11"/>
      </w:r>
      <w:r w:rsidRPr="00442A9A">
        <w:t xml:space="preserve"> comparing (indirectly) the efficacy of omalizumab, </w:t>
      </w:r>
      <w:r w:rsidR="00AC37F1" w:rsidRPr="00442A9A">
        <w:t xml:space="preserve">mepolizumab, and </w:t>
      </w:r>
      <w:r w:rsidRPr="00442A9A">
        <w:t>dupilumab in CRS treatment was identified during the evaluation. This</w:t>
      </w:r>
      <w:r w:rsidRPr="00442A9A" w:rsidDel="00CE3226">
        <w:t xml:space="preserve"> </w:t>
      </w:r>
      <w:r w:rsidRPr="00442A9A">
        <w:t xml:space="preserve">review </w:t>
      </w:r>
      <w:r w:rsidR="001A6EF1" w:rsidRPr="00442A9A">
        <w:t>considered results</w:t>
      </w:r>
      <w:r w:rsidRPr="00442A9A">
        <w:t xml:space="preserve"> from the POLYP 1, POLYP 2, SYNAPSE (included in the citation list of this submission), and dupilumab trials (SINUS-24 and SINUS 52) as well as published systematic reviews, meta-analyses and ITCs of omalizumab, dupilumab, and mepolizumab. The study comparisons were based on the literature for their impact on selected endpoints of interest including change from baseline in NPS, NCS, sense of smell/loss of smell (</w:t>
      </w:r>
      <w:proofErr w:type="spellStart"/>
      <w:r w:rsidRPr="00442A9A">
        <w:t>LoS</w:t>
      </w:r>
      <w:proofErr w:type="spellEnd"/>
      <w:r w:rsidRPr="00442A9A">
        <w:t>), SNOT-22, radiologic severity and the need for rescue sinonasal surgery in CRS patients.</w:t>
      </w:r>
      <w:r w:rsidR="00A235B5">
        <w:t xml:space="preserve"> </w:t>
      </w:r>
      <w:r w:rsidR="00D704E5" w:rsidRPr="00A43A74">
        <w:t>The ESC noted a</w:t>
      </w:r>
      <w:r w:rsidR="00D704E5" w:rsidRPr="00A43A74">
        <w:rPr>
          <w:rFonts w:eastAsia="Calibri"/>
        </w:rPr>
        <w:t xml:space="preserve"> head-to-head trial by Sanofi of dupilumab versus omalizumab was underway (NCT04998604)</w:t>
      </w:r>
      <w:r w:rsidR="00D704E5" w:rsidRPr="00A43A74">
        <w:rPr>
          <w:rFonts w:eastAsia="Calibri"/>
          <w:snapToGrid w:val="0"/>
        </w:rPr>
        <w:t>.</w:t>
      </w:r>
    </w:p>
    <w:p w14:paraId="6FB34004" w14:textId="77777777" w:rsidR="002C1266" w:rsidRPr="0098262F" w:rsidRDefault="002C1266" w:rsidP="002C1266">
      <w:pPr>
        <w:pStyle w:val="4-SubsectionHeading"/>
      </w:pPr>
      <w:bookmarkStart w:id="31" w:name="_Toc22897641"/>
      <w:bookmarkStart w:id="32" w:name="_Toc193290743"/>
      <w:r w:rsidRPr="0098262F">
        <w:t>Comparative effectiveness</w:t>
      </w:r>
      <w:bookmarkEnd w:id="31"/>
      <w:bookmarkEnd w:id="32"/>
    </w:p>
    <w:p w14:paraId="4AABCEDE" w14:textId="77777777" w:rsidR="002C1266" w:rsidRPr="001B05A3" w:rsidRDefault="002C1266" w:rsidP="002C1266">
      <w:pPr>
        <w:pStyle w:val="5-SubsectionSubheading"/>
      </w:pPr>
      <w:bookmarkStart w:id="33" w:name="_Toc193290744"/>
      <w:r>
        <w:t>Direct comparison of omalizumab versus SoC (placebo)</w:t>
      </w:r>
      <w:bookmarkEnd w:id="33"/>
      <w:r w:rsidRPr="00456281">
        <w:t xml:space="preserve"> </w:t>
      </w:r>
    </w:p>
    <w:p w14:paraId="3C2BE667" w14:textId="60D20379" w:rsidR="002C1266" w:rsidRDefault="002C1266" w:rsidP="002C1266">
      <w:pPr>
        <w:pStyle w:val="3-BodyText"/>
      </w:pPr>
      <w:r>
        <w:fldChar w:fldCharType="begin"/>
      </w:r>
      <w:r>
        <w:instrText xml:space="preserve"> REF _Ref190209879 \h </w:instrText>
      </w:r>
      <w:r>
        <w:fldChar w:fldCharType="separate"/>
      </w:r>
      <w:r w:rsidR="00CE52BF">
        <w:t xml:space="preserve">Table </w:t>
      </w:r>
      <w:r w:rsidR="00CE52BF">
        <w:rPr>
          <w:noProof/>
        </w:rPr>
        <w:t>4</w:t>
      </w:r>
      <w:r>
        <w:fldChar w:fldCharType="end"/>
      </w:r>
      <w:r w:rsidRPr="001B248C">
        <w:t xml:space="preserve"> presents </w:t>
      </w:r>
      <w:r>
        <w:t xml:space="preserve">a summary of </w:t>
      </w:r>
      <w:r w:rsidRPr="001B248C">
        <w:t>the results of the primary efficacy outcome</w:t>
      </w:r>
      <w:r>
        <w:t>s</w:t>
      </w:r>
      <w:r w:rsidRPr="001B248C">
        <w:t xml:space="preserve"> (</w:t>
      </w:r>
      <w:r w:rsidR="001B13E4">
        <w:t xml:space="preserve">mean </w:t>
      </w:r>
      <w:r w:rsidRPr="001B248C">
        <w:t xml:space="preserve">change from </w:t>
      </w:r>
      <w:r>
        <w:t xml:space="preserve">NPS and NCS </w:t>
      </w:r>
      <w:r w:rsidRPr="001B248C">
        <w:t>at Week 24) and key secondary outcome (</w:t>
      </w:r>
      <w:r w:rsidR="001E2BD9">
        <w:t xml:space="preserve">mean </w:t>
      </w:r>
      <w:r w:rsidRPr="001B248C">
        <w:t>change from baseline in SNOT-22</w:t>
      </w:r>
      <w:r>
        <w:t xml:space="preserve"> </w:t>
      </w:r>
      <w:r w:rsidRPr="001B248C">
        <w:t>at Week 24</w:t>
      </w:r>
      <w:r>
        <w:t>)</w:t>
      </w:r>
      <w:r w:rsidRPr="001B248C">
        <w:t xml:space="preserve"> </w:t>
      </w:r>
      <w:r>
        <w:t xml:space="preserve">along with the meta-analyses results </w:t>
      </w:r>
      <w:r w:rsidRPr="001B248C">
        <w:t>for the POLYP 1/2 trials.</w:t>
      </w:r>
    </w:p>
    <w:p w14:paraId="7B32C964" w14:textId="22B48E7D" w:rsidR="002C1266" w:rsidRDefault="002C1266" w:rsidP="002C1266">
      <w:pPr>
        <w:pStyle w:val="Caption"/>
      </w:pPr>
      <w:bookmarkStart w:id="34" w:name="_Ref190209879"/>
      <w:r>
        <w:t xml:space="preserve">Table </w:t>
      </w:r>
      <w:r>
        <w:fldChar w:fldCharType="begin"/>
      </w:r>
      <w:r>
        <w:instrText>SEQ Table \* ARABIC</w:instrText>
      </w:r>
      <w:r>
        <w:fldChar w:fldCharType="separate"/>
      </w:r>
      <w:r w:rsidR="00CE52BF">
        <w:rPr>
          <w:noProof/>
        </w:rPr>
        <w:t>4</w:t>
      </w:r>
      <w:r>
        <w:fldChar w:fldCharType="end"/>
      </w:r>
      <w:bookmarkEnd w:id="34"/>
      <w:r>
        <w:t xml:space="preserve">: </w:t>
      </w:r>
      <w:r w:rsidRPr="00965DC9">
        <w:t>Results of change from baseline in NPS, NCS and SNOT-22 across the POLYP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831"/>
        <w:gridCol w:w="765"/>
        <w:gridCol w:w="487"/>
        <w:gridCol w:w="775"/>
        <w:gridCol w:w="765"/>
        <w:gridCol w:w="487"/>
        <w:gridCol w:w="3344"/>
      </w:tblGrid>
      <w:tr w:rsidR="002C1266" w:rsidRPr="00B07D60" w14:paraId="03C3AB9F" w14:textId="77777777">
        <w:trPr>
          <w:trHeight w:val="138"/>
          <w:tblHeader/>
        </w:trPr>
        <w:tc>
          <w:tcPr>
            <w:tcW w:w="867" w:type="pct"/>
            <w:vMerge w:val="restart"/>
            <w:shd w:val="clear" w:color="auto" w:fill="auto"/>
            <w:vAlign w:val="center"/>
          </w:tcPr>
          <w:p w14:paraId="66650892" w14:textId="77777777" w:rsidR="002C1266" w:rsidRPr="00B07D60" w:rsidRDefault="002C1266">
            <w:pPr>
              <w:pStyle w:val="In-tableHeading"/>
            </w:pPr>
            <w:r w:rsidRPr="00B07D60">
              <w:t>Trial ID</w:t>
            </w:r>
          </w:p>
        </w:tc>
        <w:tc>
          <w:tcPr>
            <w:tcW w:w="1154" w:type="pct"/>
            <w:gridSpan w:val="3"/>
            <w:shd w:val="clear" w:color="auto" w:fill="auto"/>
            <w:vAlign w:val="center"/>
          </w:tcPr>
          <w:p w14:paraId="4D06C3FF" w14:textId="77777777" w:rsidR="002C1266" w:rsidRPr="00B07D60" w:rsidRDefault="002C1266" w:rsidP="005D39DD">
            <w:pPr>
              <w:pStyle w:val="Tabletext"/>
              <w:jc w:val="center"/>
              <w:rPr>
                <w:b/>
                <w:bCs/>
              </w:rPr>
            </w:pPr>
            <w:r w:rsidRPr="00B07D60">
              <w:rPr>
                <w:b/>
                <w:bCs/>
              </w:rPr>
              <w:t>Omalizumab</w:t>
            </w:r>
          </w:p>
        </w:tc>
        <w:tc>
          <w:tcPr>
            <w:tcW w:w="1123" w:type="pct"/>
            <w:gridSpan w:val="3"/>
            <w:shd w:val="clear" w:color="auto" w:fill="auto"/>
            <w:vAlign w:val="center"/>
          </w:tcPr>
          <w:p w14:paraId="1799EA40" w14:textId="71F6F73A" w:rsidR="002C1266" w:rsidRPr="00B07D60" w:rsidRDefault="00187768" w:rsidP="005D39DD">
            <w:pPr>
              <w:pStyle w:val="Tabletext"/>
              <w:jc w:val="center"/>
              <w:rPr>
                <w:b/>
                <w:bCs/>
              </w:rPr>
            </w:pPr>
            <w:r>
              <w:rPr>
                <w:b/>
                <w:bCs/>
              </w:rPr>
              <w:t>SoC (</w:t>
            </w:r>
            <w:r w:rsidR="002C1266" w:rsidRPr="00B07D60">
              <w:rPr>
                <w:b/>
                <w:bCs/>
              </w:rPr>
              <w:t>Placebo</w:t>
            </w:r>
            <w:r>
              <w:rPr>
                <w:b/>
                <w:bCs/>
              </w:rPr>
              <w:t>)</w:t>
            </w:r>
          </w:p>
        </w:tc>
        <w:tc>
          <w:tcPr>
            <w:tcW w:w="1856" w:type="pct"/>
            <w:vMerge w:val="restart"/>
            <w:shd w:val="clear" w:color="auto" w:fill="auto"/>
            <w:vAlign w:val="center"/>
          </w:tcPr>
          <w:p w14:paraId="06BC6036" w14:textId="77777777" w:rsidR="002C1266" w:rsidRPr="00B07D60" w:rsidRDefault="002C1266" w:rsidP="00EF3588">
            <w:pPr>
              <w:pStyle w:val="Tabletext"/>
              <w:jc w:val="center"/>
              <w:rPr>
                <w:b/>
                <w:bCs/>
              </w:rPr>
            </w:pPr>
            <w:r w:rsidRPr="00B07D60">
              <w:rPr>
                <w:b/>
                <w:bCs/>
              </w:rPr>
              <w:t>MD [95% CI]; p-value</w:t>
            </w:r>
          </w:p>
        </w:tc>
      </w:tr>
      <w:tr w:rsidR="002C1266" w:rsidRPr="00B07D60" w14:paraId="25CDE50C" w14:textId="77777777">
        <w:tc>
          <w:tcPr>
            <w:tcW w:w="867" w:type="pct"/>
            <w:vMerge/>
            <w:shd w:val="clear" w:color="auto" w:fill="auto"/>
            <w:vAlign w:val="center"/>
          </w:tcPr>
          <w:p w14:paraId="049BA87D" w14:textId="77777777" w:rsidR="002C1266" w:rsidRPr="00B07D60" w:rsidRDefault="002C1266">
            <w:pPr>
              <w:pStyle w:val="Tabletext"/>
              <w:rPr>
                <w:b/>
                <w:bCs/>
              </w:rPr>
            </w:pPr>
          </w:p>
        </w:tc>
        <w:tc>
          <w:tcPr>
            <w:tcW w:w="461" w:type="pct"/>
            <w:shd w:val="clear" w:color="auto" w:fill="auto"/>
            <w:vAlign w:val="center"/>
          </w:tcPr>
          <w:p w14:paraId="629B7FF3" w14:textId="77777777" w:rsidR="002C1266" w:rsidRPr="00B07D60" w:rsidRDefault="002C1266" w:rsidP="005D39DD">
            <w:pPr>
              <w:pStyle w:val="Tabletext"/>
              <w:jc w:val="center"/>
              <w:rPr>
                <w:b/>
                <w:bCs/>
              </w:rPr>
            </w:pPr>
            <w:r w:rsidRPr="00B07D60">
              <w:rPr>
                <w:b/>
                <w:bCs/>
              </w:rPr>
              <w:t>Mean</w:t>
            </w:r>
          </w:p>
        </w:tc>
        <w:tc>
          <w:tcPr>
            <w:tcW w:w="424" w:type="pct"/>
            <w:shd w:val="clear" w:color="auto" w:fill="auto"/>
            <w:vAlign w:val="center"/>
          </w:tcPr>
          <w:p w14:paraId="0288847E" w14:textId="77777777" w:rsidR="002C1266" w:rsidRPr="00B07D60" w:rsidRDefault="002C1266" w:rsidP="005D39DD">
            <w:pPr>
              <w:pStyle w:val="Tabletext"/>
              <w:jc w:val="center"/>
              <w:rPr>
                <w:b/>
                <w:bCs/>
              </w:rPr>
            </w:pPr>
            <w:r w:rsidRPr="00B07D60">
              <w:rPr>
                <w:b/>
                <w:bCs/>
              </w:rPr>
              <w:t>SD</w:t>
            </w:r>
          </w:p>
        </w:tc>
        <w:tc>
          <w:tcPr>
            <w:tcW w:w="270" w:type="pct"/>
            <w:shd w:val="clear" w:color="auto" w:fill="auto"/>
            <w:vAlign w:val="center"/>
          </w:tcPr>
          <w:p w14:paraId="4A4F88E0" w14:textId="77777777" w:rsidR="002C1266" w:rsidRPr="00B07D60" w:rsidRDefault="002C1266" w:rsidP="005D39DD">
            <w:pPr>
              <w:pStyle w:val="Tabletext"/>
              <w:jc w:val="center"/>
              <w:rPr>
                <w:b/>
                <w:bCs/>
              </w:rPr>
            </w:pPr>
            <w:r w:rsidRPr="00B07D60">
              <w:rPr>
                <w:b/>
                <w:bCs/>
              </w:rPr>
              <w:t>N</w:t>
            </w:r>
          </w:p>
        </w:tc>
        <w:tc>
          <w:tcPr>
            <w:tcW w:w="430" w:type="pct"/>
            <w:shd w:val="clear" w:color="auto" w:fill="auto"/>
            <w:vAlign w:val="center"/>
          </w:tcPr>
          <w:p w14:paraId="6842CE92" w14:textId="77777777" w:rsidR="002C1266" w:rsidRPr="00B07D60" w:rsidRDefault="002C1266" w:rsidP="005D39DD">
            <w:pPr>
              <w:pStyle w:val="Tabletext"/>
              <w:jc w:val="center"/>
              <w:rPr>
                <w:b/>
                <w:bCs/>
              </w:rPr>
            </w:pPr>
            <w:r w:rsidRPr="00B07D60">
              <w:rPr>
                <w:b/>
                <w:bCs/>
              </w:rPr>
              <w:t>Mean</w:t>
            </w:r>
          </w:p>
        </w:tc>
        <w:tc>
          <w:tcPr>
            <w:tcW w:w="424" w:type="pct"/>
            <w:shd w:val="clear" w:color="auto" w:fill="auto"/>
            <w:vAlign w:val="center"/>
          </w:tcPr>
          <w:p w14:paraId="65FB95AC" w14:textId="77777777" w:rsidR="002C1266" w:rsidRPr="00B07D60" w:rsidRDefault="002C1266" w:rsidP="005D39DD">
            <w:pPr>
              <w:pStyle w:val="Tabletext"/>
              <w:jc w:val="center"/>
              <w:rPr>
                <w:b/>
                <w:bCs/>
              </w:rPr>
            </w:pPr>
            <w:r w:rsidRPr="00B07D60">
              <w:rPr>
                <w:b/>
                <w:bCs/>
              </w:rPr>
              <w:t>SD</w:t>
            </w:r>
          </w:p>
        </w:tc>
        <w:tc>
          <w:tcPr>
            <w:tcW w:w="270" w:type="pct"/>
            <w:shd w:val="clear" w:color="auto" w:fill="auto"/>
            <w:vAlign w:val="center"/>
          </w:tcPr>
          <w:p w14:paraId="7FA9D121" w14:textId="77777777" w:rsidR="002C1266" w:rsidRPr="00B07D60" w:rsidRDefault="002C1266" w:rsidP="005D39DD">
            <w:pPr>
              <w:pStyle w:val="Tabletext"/>
              <w:jc w:val="center"/>
              <w:rPr>
                <w:b/>
                <w:bCs/>
              </w:rPr>
            </w:pPr>
            <w:r w:rsidRPr="00B07D60">
              <w:rPr>
                <w:b/>
                <w:bCs/>
              </w:rPr>
              <w:t>N</w:t>
            </w:r>
          </w:p>
        </w:tc>
        <w:tc>
          <w:tcPr>
            <w:tcW w:w="1856" w:type="pct"/>
            <w:vMerge/>
            <w:shd w:val="clear" w:color="auto" w:fill="auto"/>
            <w:vAlign w:val="center"/>
          </w:tcPr>
          <w:p w14:paraId="30C8E38A" w14:textId="77777777" w:rsidR="002C1266" w:rsidRPr="00B07D60" w:rsidRDefault="002C1266">
            <w:pPr>
              <w:pStyle w:val="Tabletext"/>
              <w:rPr>
                <w:b/>
                <w:bCs/>
              </w:rPr>
            </w:pPr>
          </w:p>
        </w:tc>
      </w:tr>
      <w:tr w:rsidR="002C1266" w:rsidRPr="00B07D60" w14:paraId="276B7536" w14:textId="77777777">
        <w:tc>
          <w:tcPr>
            <w:tcW w:w="5000" w:type="pct"/>
            <w:gridSpan w:val="8"/>
            <w:shd w:val="clear" w:color="auto" w:fill="auto"/>
            <w:vAlign w:val="center"/>
          </w:tcPr>
          <w:p w14:paraId="66D8D4E0" w14:textId="77777777" w:rsidR="002C1266" w:rsidRPr="00B07D60" w:rsidRDefault="002C1266">
            <w:pPr>
              <w:pStyle w:val="Tabletext"/>
              <w:rPr>
                <w:b/>
                <w:bCs/>
              </w:rPr>
            </w:pPr>
            <w:r w:rsidRPr="00605D9D">
              <w:rPr>
                <w:b/>
                <w:bCs/>
              </w:rPr>
              <w:t>Change from baseline in NPS</w:t>
            </w:r>
            <w:r>
              <w:rPr>
                <w:b/>
                <w:bCs/>
              </w:rPr>
              <w:t xml:space="preserve"> at </w:t>
            </w:r>
            <w:r w:rsidRPr="00B07D60">
              <w:rPr>
                <w:b/>
                <w:bCs/>
              </w:rPr>
              <w:t>Week 24</w:t>
            </w:r>
          </w:p>
        </w:tc>
      </w:tr>
      <w:tr w:rsidR="002C1266" w:rsidRPr="00B07D60" w14:paraId="4A2F9A74" w14:textId="77777777">
        <w:tc>
          <w:tcPr>
            <w:tcW w:w="867" w:type="pct"/>
            <w:shd w:val="clear" w:color="auto" w:fill="auto"/>
            <w:vAlign w:val="center"/>
          </w:tcPr>
          <w:p w14:paraId="607C584E" w14:textId="77777777" w:rsidR="002C1266" w:rsidRPr="00B07D60" w:rsidRDefault="002C1266">
            <w:pPr>
              <w:pStyle w:val="Tabletext"/>
            </w:pPr>
            <w:r w:rsidRPr="00B07D60">
              <w:t>POLYP 1</w:t>
            </w:r>
          </w:p>
        </w:tc>
        <w:tc>
          <w:tcPr>
            <w:tcW w:w="461" w:type="pct"/>
            <w:shd w:val="clear" w:color="auto" w:fill="auto"/>
            <w:vAlign w:val="center"/>
          </w:tcPr>
          <w:p w14:paraId="1D549150" w14:textId="77777777" w:rsidR="002C1266" w:rsidRPr="00B07D60" w:rsidRDefault="002C1266">
            <w:pPr>
              <w:pStyle w:val="Tabletext"/>
              <w:jc w:val="center"/>
            </w:pPr>
            <w:r w:rsidRPr="00B07D60">
              <w:t>-1.08</w:t>
            </w:r>
          </w:p>
        </w:tc>
        <w:tc>
          <w:tcPr>
            <w:tcW w:w="424" w:type="pct"/>
            <w:shd w:val="clear" w:color="auto" w:fill="auto"/>
            <w:vAlign w:val="center"/>
          </w:tcPr>
          <w:p w14:paraId="50576FE5" w14:textId="77777777" w:rsidR="002C1266" w:rsidRPr="00B07D60" w:rsidRDefault="002C1266">
            <w:pPr>
              <w:pStyle w:val="Tabletext"/>
              <w:jc w:val="center"/>
            </w:pPr>
            <w:r w:rsidRPr="00B07D60">
              <w:t>1.36</w:t>
            </w:r>
          </w:p>
        </w:tc>
        <w:tc>
          <w:tcPr>
            <w:tcW w:w="270" w:type="pct"/>
            <w:shd w:val="clear" w:color="auto" w:fill="auto"/>
            <w:vAlign w:val="center"/>
          </w:tcPr>
          <w:p w14:paraId="456C891F" w14:textId="77777777" w:rsidR="002C1266" w:rsidRPr="00B07D60" w:rsidRDefault="002C1266">
            <w:pPr>
              <w:pStyle w:val="Tabletext"/>
              <w:jc w:val="center"/>
            </w:pPr>
            <w:r w:rsidRPr="00B07D60">
              <w:t>72</w:t>
            </w:r>
          </w:p>
        </w:tc>
        <w:tc>
          <w:tcPr>
            <w:tcW w:w="430" w:type="pct"/>
            <w:shd w:val="clear" w:color="auto" w:fill="auto"/>
            <w:vAlign w:val="center"/>
          </w:tcPr>
          <w:p w14:paraId="6FD5376F" w14:textId="77777777" w:rsidR="002C1266" w:rsidRPr="00B07D60" w:rsidRDefault="002C1266">
            <w:pPr>
              <w:pStyle w:val="Tabletext"/>
              <w:jc w:val="center"/>
            </w:pPr>
            <w:r w:rsidRPr="00B07D60">
              <w:t>0.06</w:t>
            </w:r>
          </w:p>
        </w:tc>
        <w:tc>
          <w:tcPr>
            <w:tcW w:w="424" w:type="pct"/>
            <w:shd w:val="clear" w:color="auto" w:fill="auto"/>
            <w:vAlign w:val="center"/>
          </w:tcPr>
          <w:p w14:paraId="61BCA0F9" w14:textId="77777777" w:rsidR="002C1266" w:rsidRPr="00B07D60" w:rsidRDefault="002C1266">
            <w:pPr>
              <w:pStyle w:val="Tabletext"/>
              <w:jc w:val="center"/>
            </w:pPr>
            <w:r w:rsidRPr="00B07D60">
              <w:t>1.30</w:t>
            </w:r>
          </w:p>
        </w:tc>
        <w:tc>
          <w:tcPr>
            <w:tcW w:w="270" w:type="pct"/>
            <w:shd w:val="clear" w:color="auto" w:fill="auto"/>
            <w:vAlign w:val="center"/>
          </w:tcPr>
          <w:p w14:paraId="1C784FD8" w14:textId="77777777" w:rsidR="002C1266" w:rsidRPr="00B07D60" w:rsidRDefault="002C1266">
            <w:pPr>
              <w:pStyle w:val="Tabletext"/>
              <w:jc w:val="center"/>
            </w:pPr>
            <w:r w:rsidRPr="00B07D60">
              <w:t>66</w:t>
            </w:r>
          </w:p>
        </w:tc>
        <w:tc>
          <w:tcPr>
            <w:tcW w:w="1856" w:type="pct"/>
            <w:shd w:val="clear" w:color="auto" w:fill="auto"/>
            <w:vAlign w:val="center"/>
          </w:tcPr>
          <w:p w14:paraId="4E9BCDB6" w14:textId="77777777" w:rsidR="002C1266" w:rsidRPr="00272213" w:rsidRDefault="002C1266">
            <w:pPr>
              <w:pStyle w:val="Tabletext"/>
              <w:jc w:val="center"/>
              <w:rPr>
                <w:b/>
                <w:bCs/>
              </w:rPr>
            </w:pPr>
            <w:r w:rsidRPr="00272213">
              <w:rPr>
                <w:b/>
                <w:bCs/>
              </w:rPr>
              <w:t>-1.14 [-1.58, -0.70]; p&lt;0.00001</w:t>
            </w:r>
          </w:p>
        </w:tc>
      </w:tr>
      <w:tr w:rsidR="002C1266" w:rsidRPr="00B07D60" w14:paraId="55391638" w14:textId="77777777">
        <w:tc>
          <w:tcPr>
            <w:tcW w:w="867" w:type="pct"/>
            <w:shd w:val="clear" w:color="auto" w:fill="auto"/>
            <w:vAlign w:val="center"/>
          </w:tcPr>
          <w:p w14:paraId="1F453E17" w14:textId="77777777" w:rsidR="002C1266" w:rsidRPr="00B07D60" w:rsidRDefault="002C1266">
            <w:pPr>
              <w:pStyle w:val="Tabletext"/>
            </w:pPr>
            <w:r w:rsidRPr="00B07D60">
              <w:t>POLYP 2</w:t>
            </w:r>
          </w:p>
        </w:tc>
        <w:tc>
          <w:tcPr>
            <w:tcW w:w="461" w:type="pct"/>
            <w:shd w:val="clear" w:color="auto" w:fill="auto"/>
            <w:vAlign w:val="center"/>
          </w:tcPr>
          <w:p w14:paraId="3E6BCC0D" w14:textId="77777777" w:rsidR="002C1266" w:rsidRPr="00B07D60" w:rsidRDefault="002C1266">
            <w:pPr>
              <w:pStyle w:val="Tabletext"/>
              <w:jc w:val="center"/>
            </w:pPr>
            <w:r w:rsidRPr="00B07D60">
              <w:t>-0.9</w:t>
            </w:r>
          </w:p>
        </w:tc>
        <w:tc>
          <w:tcPr>
            <w:tcW w:w="424" w:type="pct"/>
            <w:shd w:val="clear" w:color="auto" w:fill="auto"/>
            <w:vAlign w:val="center"/>
          </w:tcPr>
          <w:p w14:paraId="487FE471" w14:textId="77777777" w:rsidR="002C1266" w:rsidRPr="00B07D60" w:rsidRDefault="002C1266">
            <w:pPr>
              <w:pStyle w:val="Tabletext"/>
              <w:jc w:val="center"/>
            </w:pPr>
            <w:r w:rsidRPr="00B07D60">
              <w:t>1.34</w:t>
            </w:r>
          </w:p>
        </w:tc>
        <w:tc>
          <w:tcPr>
            <w:tcW w:w="270" w:type="pct"/>
            <w:shd w:val="clear" w:color="auto" w:fill="auto"/>
            <w:vAlign w:val="center"/>
          </w:tcPr>
          <w:p w14:paraId="6D6B9518" w14:textId="77777777" w:rsidR="002C1266" w:rsidRPr="00B07D60" w:rsidRDefault="002C1266">
            <w:pPr>
              <w:pStyle w:val="Tabletext"/>
              <w:jc w:val="center"/>
            </w:pPr>
            <w:r w:rsidRPr="00B07D60">
              <w:t>62</w:t>
            </w:r>
          </w:p>
        </w:tc>
        <w:tc>
          <w:tcPr>
            <w:tcW w:w="430" w:type="pct"/>
            <w:shd w:val="clear" w:color="auto" w:fill="auto"/>
            <w:vAlign w:val="center"/>
          </w:tcPr>
          <w:p w14:paraId="5343B5F3" w14:textId="77777777" w:rsidR="002C1266" w:rsidRPr="00B07D60" w:rsidRDefault="002C1266">
            <w:pPr>
              <w:pStyle w:val="Tabletext"/>
              <w:jc w:val="center"/>
            </w:pPr>
            <w:r w:rsidRPr="00B07D60">
              <w:t>-0.31</w:t>
            </w:r>
          </w:p>
        </w:tc>
        <w:tc>
          <w:tcPr>
            <w:tcW w:w="424" w:type="pct"/>
            <w:shd w:val="clear" w:color="auto" w:fill="auto"/>
            <w:vAlign w:val="center"/>
          </w:tcPr>
          <w:p w14:paraId="67A80B69" w14:textId="77777777" w:rsidR="002C1266" w:rsidRPr="00B07D60" w:rsidRDefault="002C1266">
            <w:pPr>
              <w:pStyle w:val="Tabletext"/>
              <w:jc w:val="center"/>
            </w:pPr>
            <w:r w:rsidRPr="00B07D60">
              <w:t>1.29</w:t>
            </w:r>
          </w:p>
        </w:tc>
        <w:tc>
          <w:tcPr>
            <w:tcW w:w="270" w:type="pct"/>
            <w:shd w:val="clear" w:color="auto" w:fill="auto"/>
            <w:vAlign w:val="center"/>
          </w:tcPr>
          <w:p w14:paraId="34CA96B5" w14:textId="77777777" w:rsidR="002C1266" w:rsidRPr="00B07D60" w:rsidRDefault="002C1266">
            <w:pPr>
              <w:pStyle w:val="Tabletext"/>
              <w:jc w:val="center"/>
            </w:pPr>
            <w:r w:rsidRPr="00B07D60">
              <w:t>65</w:t>
            </w:r>
          </w:p>
        </w:tc>
        <w:tc>
          <w:tcPr>
            <w:tcW w:w="1856" w:type="pct"/>
            <w:shd w:val="clear" w:color="auto" w:fill="auto"/>
            <w:vAlign w:val="center"/>
          </w:tcPr>
          <w:p w14:paraId="5B04763E" w14:textId="77777777" w:rsidR="002C1266" w:rsidRPr="00272213" w:rsidRDefault="002C1266">
            <w:pPr>
              <w:pStyle w:val="Tabletext"/>
              <w:jc w:val="center"/>
              <w:rPr>
                <w:b/>
                <w:bCs/>
              </w:rPr>
            </w:pPr>
            <w:r w:rsidRPr="00272213">
              <w:rPr>
                <w:b/>
                <w:bCs/>
              </w:rPr>
              <w:t>-0.59 [-1.05, -0.13]; p=0.01</w:t>
            </w:r>
          </w:p>
        </w:tc>
      </w:tr>
      <w:tr w:rsidR="002C1266" w:rsidRPr="00B07D60" w14:paraId="42C8F526" w14:textId="77777777">
        <w:tc>
          <w:tcPr>
            <w:tcW w:w="3144" w:type="pct"/>
            <w:gridSpan w:val="7"/>
            <w:shd w:val="clear" w:color="auto" w:fill="auto"/>
            <w:vAlign w:val="center"/>
          </w:tcPr>
          <w:p w14:paraId="0A163930" w14:textId="77777777" w:rsidR="002C1266" w:rsidRPr="00B07D60" w:rsidRDefault="002C1266">
            <w:pPr>
              <w:pStyle w:val="Tabletext"/>
            </w:pPr>
            <w:r w:rsidRPr="00B07D60">
              <w:t>Meta-analysis:</w:t>
            </w:r>
          </w:p>
        </w:tc>
        <w:tc>
          <w:tcPr>
            <w:tcW w:w="1856" w:type="pct"/>
            <w:shd w:val="clear" w:color="auto" w:fill="auto"/>
            <w:vAlign w:val="center"/>
          </w:tcPr>
          <w:p w14:paraId="119CADEC" w14:textId="77777777" w:rsidR="002C1266" w:rsidRPr="00272213" w:rsidRDefault="002C1266">
            <w:pPr>
              <w:pStyle w:val="Tabletext"/>
              <w:jc w:val="center"/>
              <w:rPr>
                <w:b/>
                <w:bCs/>
              </w:rPr>
            </w:pPr>
            <w:r w:rsidRPr="00272213">
              <w:rPr>
                <w:b/>
                <w:bCs/>
              </w:rPr>
              <w:t>-0.87 [-1.41, -0.33]; p=0.002</w:t>
            </w:r>
          </w:p>
        </w:tc>
      </w:tr>
      <w:tr w:rsidR="002C1266" w:rsidRPr="00B07D60" w14:paraId="0F1BBC43" w14:textId="77777777">
        <w:tc>
          <w:tcPr>
            <w:tcW w:w="3144" w:type="pct"/>
            <w:gridSpan w:val="7"/>
            <w:shd w:val="clear" w:color="auto" w:fill="auto"/>
            <w:vAlign w:val="center"/>
          </w:tcPr>
          <w:p w14:paraId="32719869" w14:textId="77777777" w:rsidR="002C1266" w:rsidRPr="00B07D60" w:rsidRDefault="002C1266">
            <w:pPr>
              <w:pStyle w:val="Tabletext"/>
            </w:pPr>
            <w:r w:rsidRPr="00B07D60">
              <w:t>Heterogeneity of meta-analysed studies</w:t>
            </w:r>
          </w:p>
        </w:tc>
        <w:tc>
          <w:tcPr>
            <w:tcW w:w="1856" w:type="pct"/>
            <w:shd w:val="clear" w:color="auto" w:fill="auto"/>
            <w:vAlign w:val="center"/>
          </w:tcPr>
          <w:p w14:paraId="4AF0B34F" w14:textId="77777777" w:rsidR="002C1266" w:rsidRPr="00B07D60" w:rsidRDefault="002C1266">
            <w:pPr>
              <w:pStyle w:val="Tabletext"/>
              <w:jc w:val="center"/>
            </w:pPr>
            <w:r w:rsidRPr="00B07D60">
              <w:t>I</w:t>
            </w:r>
            <w:r w:rsidRPr="00B07D60">
              <w:rPr>
                <w:vertAlign w:val="superscript"/>
              </w:rPr>
              <w:t>2</w:t>
            </w:r>
            <w:r w:rsidRPr="00B07D60">
              <w:t>=65%; p=0.09</w:t>
            </w:r>
          </w:p>
        </w:tc>
      </w:tr>
      <w:tr w:rsidR="002C1266" w:rsidRPr="00B07D60" w14:paraId="6E629956" w14:textId="77777777">
        <w:tc>
          <w:tcPr>
            <w:tcW w:w="5000" w:type="pct"/>
            <w:gridSpan w:val="8"/>
            <w:shd w:val="clear" w:color="auto" w:fill="auto"/>
            <w:vAlign w:val="center"/>
          </w:tcPr>
          <w:p w14:paraId="361212A8" w14:textId="77777777" w:rsidR="002C1266" w:rsidRPr="0039188E" w:rsidRDefault="002C1266">
            <w:pPr>
              <w:pStyle w:val="Tabletext"/>
            </w:pPr>
            <w:r w:rsidRPr="00605D9D">
              <w:rPr>
                <w:b/>
                <w:bCs/>
              </w:rPr>
              <w:t xml:space="preserve">Change from baseline in </w:t>
            </w:r>
            <w:r>
              <w:rPr>
                <w:b/>
                <w:bCs/>
              </w:rPr>
              <w:t xml:space="preserve">NCS at </w:t>
            </w:r>
            <w:r w:rsidRPr="00B07D60">
              <w:rPr>
                <w:b/>
                <w:bCs/>
              </w:rPr>
              <w:t>Week 24</w:t>
            </w:r>
          </w:p>
        </w:tc>
      </w:tr>
      <w:tr w:rsidR="002C1266" w:rsidRPr="00B07D60" w14:paraId="43413048" w14:textId="77777777">
        <w:tc>
          <w:tcPr>
            <w:tcW w:w="867" w:type="pct"/>
            <w:shd w:val="clear" w:color="auto" w:fill="auto"/>
            <w:vAlign w:val="center"/>
          </w:tcPr>
          <w:p w14:paraId="57A15E12" w14:textId="77777777" w:rsidR="002C1266" w:rsidRPr="0039188E" w:rsidRDefault="002C1266">
            <w:pPr>
              <w:pStyle w:val="Tabletext"/>
            </w:pPr>
            <w:r w:rsidRPr="004D3F15">
              <w:t>POLYP 1</w:t>
            </w:r>
          </w:p>
        </w:tc>
        <w:tc>
          <w:tcPr>
            <w:tcW w:w="461" w:type="pct"/>
            <w:shd w:val="clear" w:color="auto" w:fill="auto"/>
            <w:vAlign w:val="center"/>
          </w:tcPr>
          <w:p w14:paraId="64A2ACAE" w14:textId="77777777" w:rsidR="002C1266" w:rsidRPr="0039188E" w:rsidRDefault="002C1266">
            <w:pPr>
              <w:pStyle w:val="Tabletext"/>
              <w:jc w:val="center"/>
            </w:pPr>
            <w:r w:rsidRPr="004D3F15">
              <w:t>-0.89</w:t>
            </w:r>
          </w:p>
        </w:tc>
        <w:tc>
          <w:tcPr>
            <w:tcW w:w="424" w:type="pct"/>
            <w:shd w:val="clear" w:color="auto" w:fill="auto"/>
            <w:vAlign w:val="center"/>
          </w:tcPr>
          <w:p w14:paraId="4FC78EBD" w14:textId="77777777" w:rsidR="002C1266" w:rsidRPr="0039188E" w:rsidRDefault="002C1266">
            <w:pPr>
              <w:pStyle w:val="Tabletext"/>
              <w:jc w:val="center"/>
            </w:pPr>
            <w:r w:rsidRPr="004D3F15">
              <w:t>0.85</w:t>
            </w:r>
          </w:p>
        </w:tc>
        <w:tc>
          <w:tcPr>
            <w:tcW w:w="270" w:type="pct"/>
            <w:shd w:val="clear" w:color="auto" w:fill="auto"/>
            <w:vAlign w:val="center"/>
          </w:tcPr>
          <w:p w14:paraId="35BBC858" w14:textId="77777777" w:rsidR="002C1266" w:rsidRPr="0039188E" w:rsidRDefault="002C1266">
            <w:pPr>
              <w:pStyle w:val="Tabletext"/>
              <w:jc w:val="center"/>
            </w:pPr>
            <w:r w:rsidRPr="004D3F15">
              <w:t>72</w:t>
            </w:r>
          </w:p>
        </w:tc>
        <w:tc>
          <w:tcPr>
            <w:tcW w:w="430" w:type="pct"/>
            <w:shd w:val="clear" w:color="auto" w:fill="auto"/>
            <w:vAlign w:val="center"/>
          </w:tcPr>
          <w:p w14:paraId="0001B017" w14:textId="77777777" w:rsidR="002C1266" w:rsidRPr="0039188E" w:rsidRDefault="002C1266">
            <w:pPr>
              <w:pStyle w:val="Tabletext"/>
              <w:jc w:val="center"/>
            </w:pPr>
            <w:r w:rsidRPr="004D3F15">
              <w:t>-0.35</w:t>
            </w:r>
          </w:p>
        </w:tc>
        <w:tc>
          <w:tcPr>
            <w:tcW w:w="424" w:type="pct"/>
            <w:shd w:val="clear" w:color="auto" w:fill="auto"/>
            <w:vAlign w:val="center"/>
          </w:tcPr>
          <w:p w14:paraId="5BCD06D8" w14:textId="77777777" w:rsidR="002C1266" w:rsidRPr="0039188E" w:rsidRDefault="002C1266">
            <w:pPr>
              <w:pStyle w:val="Tabletext"/>
              <w:jc w:val="center"/>
            </w:pPr>
            <w:r w:rsidRPr="004D3F15">
              <w:t>0.89</w:t>
            </w:r>
          </w:p>
        </w:tc>
        <w:tc>
          <w:tcPr>
            <w:tcW w:w="270" w:type="pct"/>
            <w:shd w:val="clear" w:color="auto" w:fill="auto"/>
            <w:vAlign w:val="center"/>
          </w:tcPr>
          <w:p w14:paraId="638C77EA" w14:textId="77777777" w:rsidR="002C1266" w:rsidRPr="0039188E" w:rsidRDefault="002C1266">
            <w:pPr>
              <w:pStyle w:val="Tabletext"/>
              <w:jc w:val="center"/>
            </w:pPr>
            <w:r w:rsidRPr="004D3F15">
              <w:t>66</w:t>
            </w:r>
          </w:p>
        </w:tc>
        <w:tc>
          <w:tcPr>
            <w:tcW w:w="1856" w:type="pct"/>
            <w:shd w:val="clear" w:color="auto" w:fill="auto"/>
            <w:vAlign w:val="center"/>
          </w:tcPr>
          <w:p w14:paraId="1EE145D8" w14:textId="77777777" w:rsidR="002C1266" w:rsidRPr="00272213" w:rsidRDefault="002C1266">
            <w:pPr>
              <w:pStyle w:val="Tabletext"/>
              <w:jc w:val="center"/>
              <w:rPr>
                <w:b/>
                <w:bCs/>
              </w:rPr>
            </w:pPr>
            <w:r w:rsidRPr="00272213">
              <w:rPr>
                <w:b/>
                <w:bCs/>
              </w:rPr>
              <w:t>-0.54 [-0.83, -0.25]; p=0.0003</w:t>
            </w:r>
          </w:p>
        </w:tc>
      </w:tr>
      <w:tr w:rsidR="002C1266" w:rsidRPr="00B07D60" w14:paraId="3F0718D5" w14:textId="77777777">
        <w:tc>
          <w:tcPr>
            <w:tcW w:w="867" w:type="pct"/>
            <w:shd w:val="clear" w:color="auto" w:fill="auto"/>
            <w:vAlign w:val="center"/>
          </w:tcPr>
          <w:p w14:paraId="36E61891" w14:textId="77777777" w:rsidR="002C1266" w:rsidRPr="0039188E" w:rsidRDefault="002C1266">
            <w:pPr>
              <w:pStyle w:val="Tabletext"/>
            </w:pPr>
            <w:r w:rsidRPr="004D3F15">
              <w:t>POLYP 2</w:t>
            </w:r>
          </w:p>
        </w:tc>
        <w:tc>
          <w:tcPr>
            <w:tcW w:w="461" w:type="pct"/>
            <w:shd w:val="clear" w:color="auto" w:fill="auto"/>
            <w:vAlign w:val="center"/>
          </w:tcPr>
          <w:p w14:paraId="3449476C" w14:textId="77777777" w:rsidR="002C1266" w:rsidRPr="0039188E" w:rsidRDefault="002C1266">
            <w:pPr>
              <w:pStyle w:val="Tabletext"/>
              <w:jc w:val="center"/>
            </w:pPr>
            <w:r w:rsidRPr="004D3F15">
              <w:t>-0.70</w:t>
            </w:r>
          </w:p>
        </w:tc>
        <w:tc>
          <w:tcPr>
            <w:tcW w:w="424" w:type="pct"/>
            <w:shd w:val="clear" w:color="auto" w:fill="auto"/>
            <w:vAlign w:val="center"/>
          </w:tcPr>
          <w:p w14:paraId="7A45BE6A" w14:textId="77777777" w:rsidR="002C1266" w:rsidRPr="0039188E" w:rsidRDefault="002C1266">
            <w:pPr>
              <w:pStyle w:val="Tabletext"/>
              <w:jc w:val="center"/>
            </w:pPr>
            <w:r w:rsidRPr="004D3F15">
              <w:t>0.87</w:t>
            </w:r>
          </w:p>
        </w:tc>
        <w:tc>
          <w:tcPr>
            <w:tcW w:w="270" w:type="pct"/>
            <w:shd w:val="clear" w:color="auto" w:fill="auto"/>
            <w:vAlign w:val="center"/>
          </w:tcPr>
          <w:p w14:paraId="60A6F3F3" w14:textId="77777777" w:rsidR="002C1266" w:rsidRPr="0039188E" w:rsidRDefault="002C1266">
            <w:pPr>
              <w:pStyle w:val="Tabletext"/>
              <w:jc w:val="center"/>
            </w:pPr>
            <w:r w:rsidRPr="004D3F15">
              <w:t>62</w:t>
            </w:r>
          </w:p>
        </w:tc>
        <w:tc>
          <w:tcPr>
            <w:tcW w:w="430" w:type="pct"/>
            <w:shd w:val="clear" w:color="auto" w:fill="auto"/>
            <w:vAlign w:val="center"/>
          </w:tcPr>
          <w:p w14:paraId="7FE98C76" w14:textId="77777777" w:rsidR="002C1266" w:rsidRPr="0039188E" w:rsidRDefault="002C1266">
            <w:pPr>
              <w:pStyle w:val="Tabletext"/>
              <w:jc w:val="center"/>
            </w:pPr>
            <w:r w:rsidRPr="004D3F15">
              <w:t>-0.20</w:t>
            </w:r>
          </w:p>
        </w:tc>
        <w:tc>
          <w:tcPr>
            <w:tcW w:w="424" w:type="pct"/>
            <w:shd w:val="clear" w:color="auto" w:fill="auto"/>
            <w:vAlign w:val="center"/>
          </w:tcPr>
          <w:p w14:paraId="3DBE8D3E" w14:textId="77777777" w:rsidR="002C1266" w:rsidRPr="0039188E" w:rsidRDefault="002C1266">
            <w:pPr>
              <w:pStyle w:val="Tabletext"/>
              <w:jc w:val="center"/>
            </w:pPr>
            <w:r w:rsidRPr="004D3F15">
              <w:t>0.89</w:t>
            </w:r>
          </w:p>
        </w:tc>
        <w:tc>
          <w:tcPr>
            <w:tcW w:w="270" w:type="pct"/>
            <w:shd w:val="clear" w:color="auto" w:fill="auto"/>
            <w:vAlign w:val="center"/>
          </w:tcPr>
          <w:p w14:paraId="523D5F76" w14:textId="77777777" w:rsidR="002C1266" w:rsidRPr="0039188E" w:rsidRDefault="002C1266">
            <w:pPr>
              <w:pStyle w:val="Tabletext"/>
              <w:jc w:val="center"/>
            </w:pPr>
            <w:r w:rsidRPr="004D3F15">
              <w:t>65</w:t>
            </w:r>
          </w:p>
        </w:tc>
        <w:tc>
          <w:tcPr>
            <w:tcW w:w="1856" w:type="pct"/>
            <w:shd w:val="clear" w:color="auto" w:fill="auto"/>
            <w:vAlign w:val="center"/>
          </w:tcPr>
          <w:p w14:paraId="178406D7" w14:textId="77777777" w:rsidR="002C1266" w:rsidRPr="00272213" w:rsidRDefault="002C1266">
            <w:pPr>
              <w:pStyle w:val="Tabletext"/>
              <w:jc w:val="center"/>
              <w:rPr>
                <w:b/>
                <w:bCs/>
              </w:rPr>
            </w:pPr>
            <w:r w:rsidRPr="00272213">
              <w:rPr>
                <w:b/>
                <w:bCs/>
              </w:rPr>
              <w:t>-0.50 [-0.80, -0.20]; p=0.001</w:t>
            </w:r>
          </w:p>
        </w:tc>
      </w:tr>
      <w:tr w:rsidR="002C1266" w:rsidRPr="00B07D60" w14:paraId="0E21017C" w14:textId="77777777">
        <w:tc>
          <w:tcPr>
            <w:tcW w:w="3144" w:type="pct"/>
            <w:gridSpan w:val="7"/>
            <w:shd w:val="clear" w:color="auto" w:fill="auto"/>
            <w:vAlign w:val="center"/>
          </w:tcPr>
          <w:p w14:paraId="0E507C19" w14:textId="77777777" w:rsidR="002C1266" w:rsidRPr="0039188E" w:rsidRDefault="002C1266">
            <w:pPr>
              <w:pStyle w:val="Tabletext"/>
            </w:pPr>
            <w:r w:rsidRPr="004D3F15">
              <w:t>Meta-analysis:</w:t>
            </w:r>
          </w:p>
        </w:tc>
        <w:tc>
          <w:tcPr>
            <w:tcW w:w="1856" w:type="pct"/>
            <w:shd w:val="clear" w:color="auto" w:fill="auto"/>
            <w:vAlign w:val="center"/>
          </w:tcPr>
          <w:p w14:paraId="40B580F5" w14:textId="77777777" w:rsidR="002C1266" w:rsidRPr="00272213" w:rsidRDefault="002C1266">
            <w:pPr>
              <w:pStyle w:val="Tabletext"/>
              <w:jc w:val="center"/>
              <w:rPr>
                <w:b/>
                <w:bCs/>
              </w:rPr>
            </w:pPr>
            <w:r w:rsidRPr="00272213">
              <w:rPr>
                <w:b/>
                <w:bCs/>
              </w:rPr>
              <w:t>-0.52 [-0.73, -0.31]; p&lt;0.00001</w:t>
            </w:r>
          </w:p>
        </w:tc>
      </w:tr>
      <w:tr w:rsidR="002C1266" w:rsidRPr="00B07D60" w14:paraId="4FE71640" w14:textId="77777777">
        <w:tc>
          <w:tcPr>
            <w:tcW w:w="3144" w:type="pct"/>
            <w:gridSpan w:val="7"/>
            <w:shd w:val="clear" w:color="auto" w:fill="auto"/>
            <w:vAlign w:val="center"/>
          </w:tcPr>
          <w:p w14:paraId="2342BAA8" w14:textId="77777777" w:rsidR="002C1266" w:rsidRPr="0039188E" w:rsidRDefault="002C1266">
            <w:pPr>
              <w:pStyle w:val="Tabletext"/>
            </w:pPr>
            <w:r w:rsidRPr="004D3F15">
              <w:t>Heterogeneity of meta-analysed studies</w:t>
            </w:r>
          </w:p>
        </w:tc>
        <w:tc>
          <w:tcPr>
            <w:tcW w:w="1856" w:type="pct"/>
            <w:shd w:val="clear" w:color="auto" w:fill="auto"/>
            <w:vAlign w:val="center"/>
          </w:tcPr>
          <w:p w14:paraId="51FF72E2" w14:textId="77777777" w:rsidR="002C1266" w:rsidRPr="0039188E" w:rsidRDefault="002C1266">
            <w:pPr>
              <w:pStyle w:val="Tabletext"/>
              <w:jc w:val="center"/>
            </w:pPr>
            <w:r w:rsidRPr="004D3F15">
              <w:t>I2=0%; p=0.85</w:t>
            </w:r>
          </w:p>
        </w:tc>
      </w:tr>
      <w:tr w:rsidR="002C1266" w:rsidRPr="00B07D60" w14:paraId="0B439928" w14:textId="77777777">
        <w:tc>
          <w:tcPr>
            <w:tcW w:w="5000" w:type="pct"/>
            <w:gridSpan w:val="8"/>
            <w:shd w:val="clear" w:color="auto" w:fill="auto"/>
            <w:vAlign w:val="center"/>
          </w:tcPr>
          <w:p w14:paraId="6F4D8065" w14:textId="77777777" w:rsidR="002C1266" w:rsidRPr="0039188E" w:rsidRDefault="002C1266">
            <w:pPr>
              <w:pStyle w:val="Tabletext"/>
            </w:pPr>
            <w:r w:rsidRPr="00605D9D">
              <w:rPr>
                <w:b/>
                <w:bCs/>
              </w:rPr>
              <w:t xml:space="preserve">Change from baseline in </w:t>
            </w:r>
            <w:r>
              <w:rPr>
                <w:b/>
                <w:bCs/>
              </w:rPr>
              <w:t xml:space="preserve">SNOT-22 at </w:t>
            </w:r>
            <w:r w:rsidRPr="00B07D60">
              <w:rPr>
                <w:b/>
                <w:bCs/>
              </w:rPr>
              <w:t xml:space="preserve">Week </w:t>
            </w:r>
            <w:r>
              <w:rPr>
                <w:b/>
                <w:bCs/>
              </w:rPr>
              <w:t>24</w:t>
            </w:r>
          </w:p>
        </w:tc>
      </w:tr>
      <w:tr w:rsidR="002C1266" w:rsidRPr="00B07D60" w14:paraId="657F36B0" w14:textId="77777777">
        <w:tc>
          <w:tcPr>
            <w:tcW w:w="867" w:type="pct"/>
            <w:shd w:val="clear" w:color="auto" w:fill="auto"/>
          </w:tcPr>
          <w:p w14:paraId="3B574DC0" w14:textId="77777777" w:rsidR="002C1266" w:rsidRPr="00B020D6" w:rsidRDefault="002C1266">
            <w:pPr>
              <w:pStyle w:val="Tabletext"/>
            </w:pPr>
            <w:r>
              <w:t>POLYP 1</w:t>
            </w:r>
          </w:p>
        </w:tc>
        <w:tc>
          <w:tcPr>
            <w:tcW w:w="461" w:type="pct"/>
            <w:shd w:val="clear" w:color="auto" w:fill="auto"/>
            <w:vAlign w:val="center"/>
          </w:tcPr>
          <w:p w14:paraId="1F4E9DC3" w14:textId="77777777" w:rsidR="002C1266" w:rsidRPr="00B020D6" w:rsidRDefault="002C1266">
            <w:pPr>
              <w:pStyle w:val="Tabletext"/>
              <w:jc w:val="center"/>
            </w:pPr>
            <w:r>
              <w:t>-24.70</w:t>
            </w:r>
          </w:p>
        </w:tc>
        <w:tc>
          <w:tcPr>
            <w:tcW w:w="424" w:type="pct"/>
            <w:shd w:val="clear" w:color="auto" w:fill="auto"/>
            <w:vAlign w:val="center"/>
          </w:tcPr>
          <w:p w14:paraId="2607019B" w14:textId="77777777" w:rsidR="002C1266" w:rsidRPr="00B020D6" w:rsidRDefault="002C1266">
            <w:pPr>
              <w:pStyle w:val="Tabletext"/>
              <w:jc w:val="center"/>
            </w:pPr>
            <w:r>
              <w:t>17.06</w:t>
            </w:r>
          </w:p>
        </w:tc>
        <w:tc>
          <w:tcPr>
            <w:tcW w:w="270" w:type="pct"/>
            <w:shd w:val="clear" w:color="auto" w:fill="auto"/>
            <w:vAlign w:val="center"/>
          </w:tcPr>
          <w:p w14:paraId="75D560E3" w14:textId="77777777" w:rsidR="002C1266" w:rsidRPr="00B020D6" w:rsidRDefault="002C1266">
            <w:pPr>
              <w:pStyle w:val="Tabletext"/>
              <w:jc w:val="center"/>
            </w:pPr>
            <w:r>
              <w:t>72</w:t>
            </w:r>
          </w:p>
        </w:tc>
        <w:tc>
          <w:tcPr>
            <w:tcW w:w="430" w:type="pct"/>
            <w:shd w:val="clear" w:color="auto" w:fill="auto"/>
            <w:vAlign w:val="center"/>
          </w:tcPr>
          <w:p w14:paraId="15F2CC8B" w14:textId="77777777" w:rsidR="002C1266" w:rsidRPr="00B020D6" w:rsidRDefault="002C1266">
            <w:pPr>
              <w:pStyle w:val="Tabletext"/>
              <w:jc w:val="center"/>
            </w:pPr>
            <w:r>
              <w:t>-8.58</w:t>
            </w:r>
          </w:p>
        </w:tc>
        <w:tc>
          <w:tcPr>
            <w:tcW w:w="424" w:type="pct"/>
            <w:shd w:val="clear" w:color="auto" w:fill="auto"/>
            <w:vAlign w:val="center"/>
          </w:tcPr>
          <w:p w14:paraId="1E9DAF83" w14:textId="77777777" w:rsidR="002C1266" w:rsidRPr="00B020D6" w:rsidRDefault="002C1266">
            <w:pPr>
              <w:pStyle w:val="Tabletext"/>
              <w:jc w:val="center"/>
            </w:pPr>
            <w:r w:rsidRPr="00902FC3">
              <w:t>16.</w:t>
            </w:r>
            <w:r>
              <w:t>90</w:t>
            </w:r>
          </w:p>
        </w:tc>
        <w:tc>
          <w:tcPr>
            <w:tcW w:w="270" w:type="pct"/>
            <w:shd w:val="clear" w:color="auto" w:fill="auto"/>
            <w:vAlign w:val="center"/>
          </w:tcPr>
          <w:p w14:paraId="22630537" w14:textId="77777777" w:rsidR="002C1266" w:rsidRPr="00B020D6" w:rsidRDefault="002C1266">
            <w:pPr>
              <w:pStyle w:val="Tabletext"/>
              <w:jc w:val="center"/>
            </w:pPr>
            <w:r>
              <w:t>66</w:t>
            </w:r>
          </w:p>
        </w:tc>
        <w:tc>
          <w:tcPr>
            <w:tcW w:w="1856" w:type="pct"/>
            <w:shd w:val="clear" w:color="auto" w:fill="auto"/>
          </w:tcPr>
          <w:p w14:paraId="4BCBD38A" w14:textId="77777777" w:rsidR="002C1266" w:rsidRPr="00EB5238" w:rsidRDefault="002C1266">
            <w:pPr>
              <w:pStyle w:val="Tabletext"/>
              <w:jc w:val="center"/>
              <w:rPr>
                <w:b/>
                <w:bCs/>
              </w:rPr>
            </w:pPr>
            <w:r w:rsidRPr="00EB5238">
              <w:rPr>
                <w:b/>
                <w:bCs/>
              </w:rPr>
              <w:t>-16.12 [-21.79, -10.45]; p&lt;0.00001</w:t>
            </w:r>
          </w:p>
        </w:tc>
      </w:tr>
      <w:tr w:rsidR="002C1266" w:rsidRPr="00B07D60" w14:paraId="6270D998" w14:textId="77777777">
        <w:tc>
          <w:tcPr>
            <w:tcW w:w="867" w:type="pct"/>
            <w:shd w:val="clear" w:color="auto" w:fill="auto"/>
          </w:tcPr>
          <w:p w14:paraId="5C61EACF" w14:textId="77777777" w:rsidR="002C1266" w:rsidRPr="004D3F15" w:rsidRDefault="002C1266">
            <w:pPr>
              <w:pStyle w:val="Tabletext"/>
              <w:rPr>
                <w:rFonts w:eastAsiaTheme="majorEastAsia" w:cstheme="majorBidi"/>
              </w:rPr>
            </w:pPr>
            <w:r>
              <w:t>POLYP 2</w:t>
            </w:r>
          </w:p>
        </w:tc>
        <w:tc>
          <w:tcPr>
            <w:tcW w:w="461" w:type="pct"/>
            <w:shd w:val="clear" w:color="auto" w:fill="auto"/>
            <w:vAlign w:val="center"/>
          </w:tcPr>
          <w:p w14:paraId="3379DE1E" w14:textId="77777777" w:rsidR="002C1266" w:rsidRPr="004D3F15" w:rsidRDefault="002C1266">
            <w:pPr>
              <w:pStyle w:val="Tabletext"/>
              <w:jc w:val="center"/>
              <w:rPr>
                <w:rFonts w:eastAsiaTheme="majorEastAsia" w:cstheme="majorBidi"/>
              </w:rPr>
            </w:pPr>
            <w:r>
              <w:t>-21.59</w:t>
            </w:r>
          </w:p>
        </w:tc>
        <w:tc>
          <w:tcPr>
            <w:tcW w:w="424" w:type="pct"/>
            <w:shd w:val="clear" w:color="auto" w:fill="auto"/>
            <w:vAlign w:val="center"/>
          </w:tcPr>
          <w:p w14:paraId="654AF359" w14:textId="77777777" w:rsidR="002C1266" w:rsidRPr="004D3F15" w:rsidRDefault="002C1266">
            <w:pPr>
              <w:pStyle w:val="Tabletext"/>
              <w:jc w:val="center"/>
              <w:rPr>
                <w:rFonts w:eastAsiaTheme="majorEastAsia" w:cstheme="majorBidi"/>
              </w:rPr>
            </w:pPr>
            <w:r w:rsidRPr="009E6196">
              <w:t>17.</w:t>
            </w:r>
            <w:r>
              <w:t>72</w:t>
            </w:r>
          </w:p>
        </w:tc>
        <w:tc>
          <w:tcPr>
            <w:tcW w:w="270" w:type="pct"/>
            <w:shd w:val="clear" w:color="auto" w:fill="auto"/>
            <w:vAlign w:val="center"/>
          </w:tcPr>
          <w:p w14:paraId="07667DFE" w14:textId="77777777" w:rsidR="002C1266" w:rsidRPr="004D3F15" w:rsidRDefault="002C1266">
            <w:pPr>
              <w:pStyle w:val="Tabletext"/>
              <w:jc w:val="center"/>
              <w:rPr>
                <w:rFonts w:eastAsiaTheme="majorEastAsia" w:cstheme="majorBidi"/>
              </w:rPr>
            </w:pPr>
            <w:r>
              <w:t>62</w:t>
            </w:r>
          </w:p>
        </w:tc>
        <w:tc>
          <w:tcPr>
            <w:tcW w:w="430" w:type="pct"/>
            <w:shd w:val="clear" w:color="auto" w:fill="auto"/>
            <w:vAlign w:val="center"/>
          </w:tcPr>
          <w:p w14:paraId="01FC38E4" w14:textId="77777777" w:rsidR="002C1266" w:rsidRPr="004D3F15" w:rsidRDefault="002C1266">
            <w:pPr>
              <w:pStyle w:val="Tabletext"/>
              <w:jc w:val="center"/>
              <w:rPr>
                <w:rFonts w:eastAsiaTheme="majorEastAsia" w:cstheme="majorBidi"/>
              </w:rPr>
            </w:pPr>
            <w:r>
              <w:t>-6.55</w:t>
            </w:r>
          </w:p>
        </w:tc>
        <w:tc>
          <w:tcPr>
            <w:tcW w:w="424" w:type="pct"/>
            <w:shd w:val="clear" w:color="auto" w:fill="auto"/>
            <w:vAlign w:val="center"/>
          </w:tcPr>
          <w:p w14:paraId="441F3E79" w14:textId="77777777" w:rsidR="002C1266" w:rsidRPr="004D3F15" w:rsidRDefault="002C1266">
            <w:pPr>
              <w:pStyle w:val="Tabletext"/>
              <w:jc w:val="center"/>
              <w:rPr>
                <w:rFonts w:eastAsiaTheme="majorEastAsia" w:cstheme="majorBidi"/>
              </w:rPr>
            </w:pPr>
            <w:r w:rsidRPr="001954F4">
              <w:t>17.</w:t>
            </w:r>
            <w:r>
              <w:t>66</w:t>
            </w:r>
          </w:p>
        </w:tc>
        <w:tc>
          <w:tcPr>
            <w:tcW w:w="270" w:type="pct"/>
            <w:shd w:val="clear" w:color="auto" w:fill="auto"/>
            <w:vAlign w:val="center"/>
          </w:tcPr>
          <w:p w14:paraId="7DAC71E9" w14:textId="77777777" w:rsidR="002C1266" w:rsidRPr="004D3F15" w:rsidRDefault="002C1266">
            <w:pPr>
              <w:pStyle w:val="Tabletext"/>
              <w:jc w:val="center"/>
              <w:rPr>
                <w:rFonts w:eastAsiaTheme="majorEastAsia" w:cstheme="majorBidi"/>
              </w:rPr>
            </w:pPr>
            <w:r>
              <w:t>65</w:t>
            </w:r>
          </w:p>
        </w:tc>
        <w:tc>
          <w:tcPr>
            <w:tcW w:w="1856" w:type="pct"/>
            <w:shd w:val="clear" w:color="auto" w:fill="auto"/>
          </w:tcPr>
          <w:p w14:paraId="5B9AF333" w14:textId="77777777" w:rsidR="002C1266" w:rsidRPr="00EB5238" w:rsidRDefault="002C1266">
            <w:pPr>
              <w:pStyle w:val="Tabletext"/>
              <w:jc w:val="center"/>
              <w:rPr>
                <w:rFonts w:eastAsiaTheme="majorEastAsia" w:cstheme="majorBidi"/>
                <w:b/>
                <w:bCs/>
              </w:rPr>
            </w:pPr>
            <w:r w:rsidRPr="00EB5238">
              <w:rPr>
                <w:b/>
                <w:bCs/>
              </w:rPr>
              <w:t>-15.04 [-21.19, -8.89]; p&lt;0.00001</w:t>
            </w:r>
          </w:p>
        </w:tc>
      </w:tr>
      <w:tr w:rsidR="002C1266" w:rsidRPr="00B07D60" w14:paraId="6B891D2E" w14:textId="77777777">
        <w:tc>
          <w:tcPr>
            <w:tcW w:w="3144" w:type="pct"/>
            <w:gridSpan w:val="7"/>
            <w:shd w:val="clear" w:color="auto" w:fill="auto"/>
          </w:tcPr>
          <w:p w14:paraId="1E5895E8" w14:textId="77777777" w:rsidR="002C1266" w:rsidRPr="004D3F15" w:rsidRDefault="002C1266">
            <w:pPr>
              <w:pStyle w:val="Tabletext"/>
              <w:rPr>
                <w:rFonts w:eastAsiaTheme="majorEastAsia" w:cstheme="majorBidi"/>
              </w:rPr>
            </w:pPr>
            <w:r w:rsidRPr="00B67E25">
              <w:t>Meta-analysis:</w:t>
            </w:r>
          </w:p>
        </w:tc>
        <w:tc>
          <w:tcPr>
            <w:tcW w:w="1856" w:type="pct"/>
            <w:shd w:val="clear" w:color="auto" w:fill="auto"/>
          </w:tcPr>
          <w:p w14:paraId="477B9828" w14:textId="77777777" w:rsidR="002C1266" w:rsidRPr="00EB5238" w:rsidRDefault="002C1266">
            <w:pPr>
              <w:pStyle w:val="Tabletext"/>
              <w:jc w:val="center"/>
              <w:rPr>
                <w:rFonts w:eastAsiaTheme="majorEastAsia" w:cstheme="majorBidi"/>
                <w:b/>
                <w:bCs/>
              </w:rPr>
            </w:pPr>
            <w:r w:rsidRPr="00EB5238">
              <w:rPr>
                <w:b/>
                <w:bCs/>
              </w:rPr>
              <w:t>-15.62 [-19.79, -11.45]; p&lt;0.00001</w:t>
            </w:r>
          </w:p>
        </w:tc>
      </w:tr>
      <w:tr w:rsidR="002C1266" w:rsidRPr="00B07D60" w14:paraId="2AEE3800" w14:textId="77777777">
        <w:tc>
          <w:tcPr>
            <w:tcW w:w="3144" w:type="pct"/>
            <w:gridSpan w:val="7"/>
            <w:shd w:val="clear" w:color="auto" w:fill="auto"/>
          </w:tcPr>
          <w:p w14:paraId="06316813" w14:textId="77777777" w:rsidR="002C1266" w:rsidRPr="004D3F15" w:rsidRDefault="002C1266">
            <w:pPr>
              <w:pStyle w:val="Tabletext"/>
              <w:rPr>
                <w:rFonts w:eastAsiaTheme="majorEastAsia" w:cstheme="majorBidi"/>
              </w:rPr>
            </w:pPr>
            <w:r w:rsidRPr="00B67E25">
              <w:t>Heterogeneity of meta-analysed studies</w:t>
            </w:r>
          </w:p>
        </w:tc>
        <w:tc>
          <w:tcPr>
            <w:tcW w:w="1856" w:type="pct"/>
            <w:shd w:val="clear" w:color="auto" w:fill="auto"/>
          </w:tcPr>
          <w:p w14:paraId="307245D8" w14:textId="77777777" w:rsidR="002C1266" w:rsidRPr="004D3F15" w:rsidRDefault="002C1266">
            <w:pPr>
              <w:pStyle w:val="Tabletext"/>
              <w:jc w:val="center"/>
              <w:rPr>
                <w:rFonts w:eastAsiaTheme="majorEastAsia" w:cstheme="majorBidi"/>
              </w:rPr>
            </w:pPr>
            <w:r w:rsidRPr="005F3BAF">
              <w:t>I</w:t>
            </w:r>
            <w:r w:rsidRPr="005F3BAF">
              <w:rPr>
                <w:vertAlign w:val="superscript"/>
              </w:rPr>
              <w:t>2</w:t>
            </w:r>
            <w:r w:rsidRPr="005F3BAF">
              <w:t>=0%; p=0.</w:t>
            </w:r>
            <w:r>
              <w:t>80</w:t>
            </w:r>
          </w:p>
        </w:tc>
      </w:tr>
    </w:tbl>
    <w:p w14:paraId="0FE72B40" w14:textId="77777777" w:rsidR="002C1266" w:rsidRDefault="002C1266" w:rsidP="002C1266">
      <w:pPr>
        <w:pStyle w:val="FooterTableFigure"/>
      </w:pPr>
      <w:r w:rsidRPr="0098262F">
        <w:lastRenderedPageBreak/>
        <w:t>Source: Table</w:t>
      </w:r>
      <w:r>
        <w:t xml:space="preserve"> 2.17, Table 2.18 and Table 2.19, pp-79-83</w:t>
      </w:r>
      <w:r w:rsidRPr="0098262F">
        <w:t xml:space="preserve"> of the submission</w:t>
      </w:r>
      <w:r>
        <w:t xml:space="preserve">. </w:t>
      </w:r>
    </w:p>
    <w:p w14:paraId="3272E229" w14:textId="0F9C675A" w:rsidR="002C1266" w:rsidRDefault="002C1266" w:rsidP="002C1266">
      <w:pPr>
        <w:pStyle w:val="FooterTableFigure"/>
      </w:pPr>
      <w:r w:rsidRPr="008C710F">
        <w:t>CI, confidence interval; MD, mean difference;</w:t>
      </w:r>
      <w:r w:rsidRPr="008C710F" w:rsidDel="009E395B">
        <w:t xml:space="preserve"> </w:t>
      </w:r>
      <w:r w:rsidRPr="008C710F">
        <w:t xml:space="preserve">N, total participants in group; </w:t>
      </w:r>
      <w:r>
        <w:t xml:space="preserve">NCS, nasal congestion score; </w:t>
      </w:r>
      <w:r w:rsidRPr="008C710F">
        <w:t>NPS, nasal polyp score; SD, standard deviation</w:t>
      </w:r>
      <w:r>
        <w:t xml:space="preserve">; </w:t>
      </w:r>
      <w:r w:rsidR="00A526AA">
        <w:t xml:space="preserve">SoC, standard of care; </w:t>
      </w:r>
      <w:r>
        <w:t xml:space="preserve">SNOT-22, </w:t>
      </w:r>
      <w:r w:rsidRPr="00937BF3">
        <w:t>Sino-Nasal Outcome Test-22</w:t>
      </w:r>
      <w:r>
        <w:t>.</w:t>
      </w:r>
    </w:p>
    <w:p w14:paraId="7C5B034D" w14:textId="22CDC974" w:rsidR="002C1266" w:rsidRPr="003031B4" w:rsidRDefault="002C1266" w:rsidP="2BCE08C6">
      <w:pPr>
        <w:pStyle w:val="FooterTableFigure"/>
        <w:rPr>
          <w:sz w:val="20"/>
          <w:szCs w:val="20"/>
        </w:rPr>
      </w:pPr>
      <w:r w:rsidRPr="2BCE08C6">
        <w:t>Note: Results in</w:t>
      </w:r>
      <w:r w:rsidRPr="2BCE08C6">
        <w:rPr>
          <w:b/>
          <w:bCs/>
        </w:rPr>
        <w:t xml:space="preserve"> bold</w:t>
      </w:r>
      <w:r w:rsidRPr="2BCE08C6">
        <w:t xml:space="preserve"> indicate statistically significant difference (p&lt;0.05)</w:t>
      </w:r>
    </w:p>
    <w:p w14:paraId="4A9A9AF5" w14:textId="27A5F706" w:rsidR="002C1266" w:rsidRDefault="002C1266" w:rsidP="002C1266">
      <w:pPr>
        <w:pStyle w:val="3-BodyText"/>
      </w:pPr>
      <w:r>
        <w:t>Based on the meta-analysis results</w:t>
      </w:r>
      <w:r w:rsidR="002B281F">
        <w:t xml:space="preserve"> of POLYP</w:t>
      </w:r>
      <w:r w:rsidR="007B03E4">
        <w:t xml:space="preserve"> </w:t>
      </w:r>
      <w:r w:rsidR="002B281F">
        <w:t>1/2</w:t>
      </w:r>
      <w:r>
        <w:t>, o</w:t>
      </w:r>
      <w:r w:rsidRPr="00A56140">
        <w:t>malizumab showed statistically significant reduction in NPS (mean difference (MD)=-0.87 [95% CI: -1.41, -0.33]</w:t>
      </w:r>
      <w:r>
        <w:t>;</w:t>
      </w:r>
      <w:r w:rsidRPr="00A56140">
        <w:t xml:space="preserve"> p=0.002), in NCS (MD=-0.52 [-0.73, -0.31]; p&lt;0.00001) and SNOT-22 (MD=-15.62 </w:t>
      </w:r>
      <w:r w:rsidR="005C3C09" w:rsidRPr="00A56140">
        <w:t>[</w:t>
      </w:r>
      <w:r w:rsidR="005C3C09">
        <w:noBreakHyphen/>
      </w:r>
      <w:r w:rsidRPr="00A56140">
        <w:t xml:space="preserve">19.79, -11.45]; p&lt;0.00001) at Week 24 compared to </w:t>
      </w:r>
      <w:r w:rsidR="00A044C5">
        <w:t>So</w:t>
      </w:r>
      <w:r w:rsidR="007B6EBD">
        <w:t>C (</w:t>
      </w:r>
      <w:r w:rsidRPr="00A56140">
        <w:t>placebo</w:t>
      </w:r>
      <w:r w:rsidR="007B6EBD">
        <w:t>)</w:t>
      </w:r>
      <w:r w:rsidR="00AF5097">
        <w:t>.</w:t>
      </w:r>
      <w:r w:rsidRPr="00A56140">
        <w:t xml:space="preserve"> </w:t>
      </w:r>
      <w:r w:rsidR="001272AF" w:rsidRPr="00442A9A">
        <w:t xml:space="preserve">For NPS, </w:t>
      </w:r>
      <w:r w:rsidR="00906815" w:rsidRPr="00442A9A">
        <w:t>t</w:t>
      </w:r>
      <w:r w:rsidR="00D445FB" w:rsidRPr="00442A9A">
        <w:t xml:space="preserve">here was </w:t>
      </w:r>
      <w:r w:rsidR="00C5604B" w:rsidRPr="00442A9A">
        <w:t xml:space="preserve">substantial </w:t>
      </w:r>
      <w:r w:rsidRPr="00442A9A">
        <w:t xml:space="preserve">heterogeneity </w:t>
      </w:r>
      <w:r w:rsidR="001272AF" w:rsidRPr="00442A9A">
        <w:t>across</w:t>
      </w:r>
      <w:r w:rsidR="00AB54C1" w:rsidRPr="00442A9A">
        <w:t xml:space="preserve"> the two </w:t>
      </w:r>
      <w:r w:rsidR="00EA5EF6" w:rsidRPr="00442A9A">
        <w:t xml:space="preserve">POLYP </w:t>
      </w:r>
      <w:r w:rsidR="00AB54C1" w:rsidRPr="00442A9A">
        <w:t xml:space="preserve">studies </w:t>
      </w:r>
      <w:r w:rsidRPr="00442A9A">
        <w:t>(I2=65%; p=0.09)</w:t>
      </w:r>
      <w:r w:rsidR="00906815" w:rsidRPr="00442A9A">
        <w:t>,</w:t>
      </w:r>
      <w:r w:rsidRPr="00442A9A">
        <w:t xml:space="preserve"> </w:t>
      </w:r>
      <w:r w:rsidR="005542BB" w:rsidRPr="00442A9A">
        <w:t xml:space="preserve">with </w:t>
      </w:r>
      <w:r w:rsidRPr="00442A9A">
        <w:t xml:space="preserve">a greater reduction in NPS in POLYP 1 (MD -1.14 [95% CI: -1.58, -0.70]) </w:t>
      </w:r>
      <w:r w:rsidR="005F1C5D" w:rsidRPr="00442A9A">
        <w:t>than in</w:t>
      </w:r>
      <w:r w:rsidRPr="00442A9A">
        <w:t xml:space="preserve"> POLYP 2 (MD -0.59 [95% CI: -1.05, -0.13])</w:t>
      </w:r>
      <w:r w:rsidR="00906815" w:rsidRPr="00442A9A">
        <w:t xml:space="preserve"> and the </w:t>
      </w:r>
      <w:r w:rsidR="00ED4F5B" w:rsidRPr="00442A9A">
        <w:t>meta-analysis results did not meet the specified MCID</w:t>
      </w:r>
      <w:r w:rsidRPr="00442A9A">
        <w:t xml:space="preserve">. </w:t>
      </w:r>
      <w:r w:rsidR="0036239C" w:rsidRPr="00704AC1">
        <w:t>Ho</w:t>
      </w:r>
      <w:r w:rsidR="005E22AB" w:rsidRPr="00704AC1">
        <w:t xml:space="preserve">wever, </w:t>
      </w:r>
      <w:r w:rsidR="009800D4" w:rsidRPr="00704AC1">
        <w:t xml:space="preserve">ESC was </w:t>
      </w:r>
      <w:r w:rsidR="00D25987" w:rsidRPr="00704AC1">
        <w:t xml:space="preserve">reassured </w:t>
      </w:r>
      <w:r w:rsidR="00707E1B" w:rsidRPr="00704AC1">
        <w:t xml:space="preserve">that </w:t>
      </w:r>
      <w:proofErr w:type="spellStart"/>
      <w:r w:rsidR="00707E1B" w:rsidRPr="00704AC1">
        <w:t>CRSwNP</w:t>
      </w:r>
      <w:proofErr w:type="spellEnd"/>
      <w:r w:rsidR="00707E1B" w:rsidRPr="00704AC1">
        <w:t xml:space="preserve"> patients treated with omalizumab were significantly more likely to experience ≥1 point improvement in NPS compared with those who received placebo </w:t>
      </w:r>
      <w:r w:rsidR="00097086" w:rsidRPr="00704AC1">
        <w:t xml:space="preserve">(see </w:t>
      </w:r>
      <w:r w:rsidR="00097086" w:rsidRPr="00704AC1">
        <w:fldChar w:fldCharType="begin"/>
      </w:r>
      <w:r w:rsidR="00097086" w:rsidRPr="00704AC1">
        <w:instrText xml:space="preserve"> REF _Ref190210402 \h  \* MERGEFORMAT </w:instrText>
      </w:r>
      <w:r w:rsidR="00097086" w:rsidRPr="00704AC1">
        <w:fldChar w:fldCharType="separate"/>
      </w:r>
      <w:r w:rsidR="00CE52BF">
        <w:t xml:space="preserve">Table </w:t>
      </w:r>
      <w:r w:rsidR="00CE52BF">
        <w:rPr>
          <w:noProof/>
        </w:rPr>
        <w:t>5</w:t>
      </w:r>
      <w:r w:rsidR="00097086" w:rsidRPr="00704AC1">
        <w:fldChar w:fldCharType="end"/>
      </w:r>
      <w:r w:rsidR="00097086" w:rsidRPr="00704AC1">
        <w:t xml:space="preserve">) </w:t>
      </w:r>
      <w:r w:rsidR="00707E1B" w:rsidRPr="00704AC1">
        <w:t xml:space="preserve">and this was similar to the results for mepolizumab (see </w:t>
      </w:r>
      <w:r w:rsidR="00707E1B" w:rsidRPr="00704AC1">
        <w:fldChar w:fldCharType="begin"/>
      </w:r>
      <w:r w:rsidR="00707E1B" w:rsidRPr="00704AC1">
        <w:instrText xml:space="preserve"> REF _Ref190206180 \h  \* MERGEFORMAT </w:instrText>
      </w:r>
      <w:r w:rsidR="00707E1B" w:rsidRPr="00704AC1">
        <w:fldChar w:fldCharType="separate"/>
      </w:r>
      <w:r w:rsidR="00CE52BF">
        <w:t xml:space="preserve">Table </w:t>
      </w:r>
      <w:r w:rsidR="00CE52BF">
        <w:rPr>
          <w:noProof/>
        </w:rPr>
        <w:t>7</w:t>
      </w:r>
      <w:r w:rsidR="00707E1B" w:rsidRPr="00704AC1">
        <w:fldChar w:fldCharType="end"/>
      </w:r>
      <w:r w:rsidR="00707E1B" w:rsidRPr="00704AC1">
        <w:t xml:space="preserve"> and </w:t>
      </w:r>
      <w:r w:rsidR="00707E1B" w:rsidRPr="00704AC1">
        <w:fldChar w:fldCharType="begin"/>
      </w:r>
      <w:r w:rsidR="00707E1B" w:rsidRPr="00704AC1">
        <w:instrText xml:space="preserve"> REF _Ref193093636 \h  \* MERGEFORMAT </w:instrText>
      </w:r>
      <w:r w:rsidR="00707E1B" w:rsidRPr="00704AC1">
        <w:fldChar w:fldCharType="separate"/>
      </w:r>
      <w:r w:rsidR="00CE52BF" w:rsidRPr="2BCE08C6">
        <w:t xml:space="preserve">Table </w:t>
      </w:r>
      <w:r w:rsidR="00CE52BF">
        <w:rPr>
          <w:noProof/>
        </w:rPr>
        <w:t>8</w:t>
      </w:r>
      <w:r w:rsidR="00707E1B" w:rsidRPr="00704AC1">
        <w:fldChar w:fldCharType="end"/>
      </w:r>
      <w:r w:rsidR="00707E1B" w:rsidRPr="00704AC1">
        <w:t>).</w:t>
      </w:r>
      <w:r w:rsidR="0036239C" w:rsidRPr="0036239C">
        <w:t xml:space="preserve"> </w:t>
      </w:r>
      <w:r w:rsidR="0036239C" w:rsidRPr="00442A9A">
        <w:t>The meta-analysis results for SNOT-22 met the specified MCID.</w:t>
      </w:r>
    </w:p>
    <w:p w14:paraId="283777C1" w14:textId="20552673" w:rsidR="002C1266" w:rsidRPr="00C92023" w:rsidRDefault="002C1266" w:rsidP="002C1266">
      <w:pPr>
        <w:pStyle w:val="3-BodyText"/>
      </w:pPr>
      <w:r w:rsidRPr="00C92023">
        <w:t xml:space="preserve">The open label extension results </w:t>
      </w:r>
      <w:r w:rsidR="7788E7DB" w:rsidRPr="00C92023">
        <w:t>reflecting omalizumab use from week 24 to</w:t>
      </w:r>
      <w:r w:rsidRPr="00C92023">
        <w:t xml:space="preserve"> 52 showed </w:t>
      </w:r>
      <w:r w:rsidR="00966C50" w:rsidRPr="00C92023">
        <w:t xml:space="preserve">greater </w:t>
      </w:r>
      <w:r w:rsidRPr="00C92023">
        <w:t>reduction</w:t>
      </w:r>
      <w:r w:rsidR="00982B30" w:rsidRPr="00C92023">
        <w:t>s</w:t>
      </w:r>
      <w:r w:rsidRPr="00C92023">
        <w:t xml:space="preserve"> from baseline in NPS and NCS in both omalizumab (Mean=-1.31 and mean=-1.12, respectively) and </w:t>
      </w:r>
      <w:r w:rsidR="007B6EBD">
        <w:t>SoC</w:t>
      </w:r>
      <w:r w:rsidR="00B56C1D">
        <w:t xml:space="preserve"> </w:t>
      </w:r>
      <w:r w:rsidR="007B6EBD">
        <w:t>(</w:t>
      </w:r>
      <w:r w:rsidRPr="00C92023">
        <w:t>placebo</w:t>
      </w:r>
      <w:r w:rsidR="007B6EBD">
        <w:t>)</w:t>
      </w:r>
      <w:r w:rsidRPr="00C92023">
        <w:t xml:space="preserve"> (Mean=-0.97 and mean=-0.99, respectively) arms.</w:t>
      </w:r>
    </w:p>
    <w:p w14:paraId="7B7688A5" w14:textId="58ADCADA" w:rsidR="002C1266" w:rsidRDefault="002C1266" w:rsidP="002C1266">
      <w:pPr>
        <w:pStyle w:val="3-BodyText"/>
      </w:pPr>
      <w:r>
        <w:fldChar w:fldCharType="begin"/>
      </w:r>
      <w:r>
        <w:instrText xml:space="preserve"> REF _Ref190210402 \h </w:instrText>
      </w:r>
      <w:r>
        <w:fldChar w:fldCharType="separate"/>
      </w:r>
      <w:r w:rsidR="00CE52BF">
        <w:t xml:space="preserve">Table </w:t>
      </w:r>
      <w:r w:rsidR="00CE52BF">
        <w:rPr>
          <w:noProof/>
        </w:rPr>
        <w:t>5</w:t>
      </w:r>
      <w:r>
        <w:fldChar w:fldCharType="end"/>
      </w:r>
      <w:r>
        <w:t xml:space="preserve"> </w:t>
      </w:r>
      <w:r w:rsidRPr="005A3DFC">
        <w:t xml:space="preserve">summarises the </w:t>
      </w:r>
      <w:r>
        <w:t xml:space="preserve">responder outcomes based on </w:t>
      </w:r>
      <w:r w:rsidRPr="005A3DFC">
        <w:t>a ≥ 1-point improvement in NPS, ≥ 2-point improvement in NPS, and ≥ 8.9-point improvement in SNOT-22 from baseline to Week 24 in the POLYP trials.</w:t>
      </w:r>
    </w:p>
    <w:p w14:paraId="0D652BE3" w14:textId="332F5A95" w:rsidR="002C1266" w:rsidRDefault="002C1266" w:rsidP="0049734B">
      <w:pPr>
        <w:pStyle w:val="Caption"/>
      </w:pPr>
      <w:bookmarkStart w:id="35" w:name="_Ref190210402"/>
      <w:bookmarkStart w:id="36" w:name="_Ref190354321"/>
      <w:r>
        <w:t xml:space="preserve">Table </w:t>
      </w:r>
      <w:r>
        <w:fldChar w:fldCharType="begin"/>
      </w:r>
      <w:r>
        <w:instrText>SEQ Table \* ARABIC</w:instrText>
      </w:r>
      <w:r>
        <w:fldChar w:fldCharType="separate"/>
      </w:r>
      <w:r w:rsidR="00CE52BF">
        <w:rPr>
          <w:noProof/>
        </w:rPr>
        <w:t>5</w:t>
      </w:r>
      <w:r>
        <w:fldChar w:fldCharType="end"/>
      </w:r>
      <w:bookmarkEnd w:id="35"/>
      <w:bookmarkEnd w:id="36"/>
      <w:r>
        <w:t xml:space="preserve">: </w:t>
      </w:r>
      <w:r w:rsidRPr="001876FB">
        <w:t xml:space="preserve">Results of the </w:t>
      </w:r>
      <w:r>
        <w:t>responder</w:t>
      </w:r>
      <w:r w:rsidRPr="001876FB">
        <w:t xml:space="preserve"> outcomes in the POLYP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2408"/>
        <w:gridCol w:w="1565"/>
        <w:gridCol w:w="3068"/>
      </w:tblGrid>
      <w:tr w:rsidR="002C1266" w14:paraId="4152D58B" w14:textId="77777777" w:rsidTr="2BCE08C6">
        <w:tc>
          <w:tcPr>
            <w:tcW w:w="1096" w:type="pct"/>
            <w:shd w:val="clear" w:color="auto" w:fill="auto"/>
          </w:tcPr>
          <w:p w14:paraId="7D51665F" w14:textId="77777777" w:rsidR="002C1266" w:rsidRPr="00AC54C1" w:rsidRDefault="002C1266" w:rsidP="0049734B">
            <w:pPr>
              <w:pStyle w:val="Tabletext"/>
              <w:keepNext/>
              <w:rPr>
                <w:b/>
                <w:bCs/>
              </w:rPr>
            </w:pPr>
            <w:r w:rsidRPr="00AC54C1">
              <w:rPr>
                <w:b/>
                <w:bCs/>
              </w:rPr>
              <w:t>Trial ID</w:t>
            </w:r>
          </w:p>
        </w:tc>
        <w:tc>
          <w:tcPr>
            <w:tcW w:w="1335" w:type="pct"/>
            <w:shd w:val="clear" w:color="auto" w:fill="auto"/>
          </w:tcPr>
          <w:p w14:paraId="36D15295" w14:textId="77777777" w:rsidR="002C1266" w:rsidRPr="00AC54C1" w:rsidRDefault="002C1266" w:rsidP="0049734B">
            <w:pPr>
              <w:pStyle w:val="Tabletext"/>
              <w:keepNext/>
              <w:jc w:val="center"/>
              <w:rPr>
                <w:b/>
                <w:bCs/>
              </w:rPr>
            </w:pPr>
            <w:r w:rsidRPr="00AC54C1">
              <w:rPr>
                <w:b/>
                <w:bCs/>
              </w:rPr>
              <w:t>Omalizumab</w:t>
            </w:r>
          </w:p>
          <w:p w14:paraId="1759F293" w14:textId="77777777" w:rsidR="002C1266" w:rsidRPr="00AC54C1" w:rsidRDefault="002C1266" w:rsidP="0049734B">
            <w:pPr>
              <w:pStyle w:val="Tabletext"/>
              <w:keepNext/>
              <w:jc w:val="center"/>
              <w:rPr>
                <w:b/>
                <w:bCs/>
              </w:rPr>
            </w:pPr>
            <w:r w:rsidRPr="00AC54C1">
              <w:rPr>
                <w:b/>
                <w:bCs/>
              </w:rPr>
              <w:t>n/N (%)</w:t>
            </w:r>
          </w:p>
        </w:tc>
        <w:tc>
          <w:tcPr>
            <w:tcW w:w="868" w:type="pct"/>
            <w:shd w:val="clear" w:color="auto" w:fill="auto"/>
          </w:tcPr>
          <w:p w14:paraId="70BBC013" w14:textId="2886119C" w:rsidR="002C1266" w:rsidRPr="00AC54C1" w:rsidRDefault="00B56C1D" w:rsidP="0049734B">
            <w:pPr>
              <w:pStyle w:val="Tabletext"/>
              <w:keepNext/>
              <w:jc w:val="center"/>
              <w:rPr>
                <w:b/>
                <w:bCs/>
              </w:rPr>
            </w:pPr>
            <w:r>
              <w:rPr>
                <w:b/>
                <w:bCs/>
              </w:rPr>
              <w:t>SoC (p</w:t>
            </w:r>
            <w:r w:rsidR="002C1266" w:rsidRPr="00AC54C1">
              <w:rPr>
                <w:b/>
                <w:bCs/>
              </w:rPr>
              <w:t>lacebo</w:t>
            </w:r>
            <w:r>
              <w:rPr>
                <w:b/>
                <w:bCs/>
              </w:rPr>
              <w:t>)</w:t>
            </w:r>
          </w:p>
          <w:p w14:paraId="6DC48E76" w14:textId="77777777" w:rsidR="002C1266" w:rsidRPr="00AC54C1" w:rsidRDefault="002C1266" w:rsidP="0049734B">
            <w:pPr>
              <w:pStyle w:val="Tabletext"/>
              <w:keepNext/>
              <w:jc w:val="center"/>
              <w:rPr>
                <w:b/>
                <w:bCs/>
              </w:rPr>
            </w:pPr>
            <w:r w:rsidRPr="00AC54C1">
              <w:rPr>
                <w:b/>
                <w:bCs/>
              </w:rPr>
              <w:t>n/N (%)</w:t>
            </w:r>
          </w:p>
        </w:tc>
        <w:tc>
          <w:tcPr>
            <w:tcW w:w="1701" w:type="pct"/>
            <w:shd w:val="clear" w:color="auto" w:fill="auto"/>
          </w:tcPr>
          <w:p w14:paraId="289A44EC" w14:textId="77777777" w:rsidR="002C1266" w:rsidRPr="00AC54C1" w:rsidRDefault="002C1266" w:rsidP="0049734B">
            <w:pPr>
              <w:pStyle w:val="Tabletext"/>
              <w:keepNext/>
              <w:jc w:val="center"/>
              <w:rPr>
                <w:b/>
                <w:bCs/>
              </w:rPr>
            </w:pPr>
            <w:r w:rsidRPr="00AC54C1">
              <w:rPr>
                <w:b/>
                <w:bCs/>
              </w:rPr>
              <w:t>OR [95% CI]; p-value</w:t>
            </w:r>
          </w:p>
        </w:tc>
      </w:tr>
      <w:tr w:rsidR="002C1266" w14:paraId="54AA6E70" w14:textId="77777777" w:rsidTr="2BCE08C6">
        <w:tc>
          <w:tcPr>
            <w:tcW w:w="5000" w:type="pct"/>
            <w:gridSpan w:val="4"/>
            <w:shd w:val="clear" w:color="auto" w:fill="auto"/>
          </w:tcPr>
          <w:p w14:paraId="21D71E19" w14:textId="77777777" w:rsidR="002C1266" w:rsidRPr="00E03BA9" w:rsidRDefault="002C1266" w:rsidP="0049734B">
            <w:pPr>
              <w:pStyle w:val="Tabletext"/>
              <w:keepNext/>
              <w:rPr>
                <w:b/>
                <w:bCs/>
                <w:vertAlign w:val="superscript"/>
              </w:rPr>
            </w:pPr>
            <w:r w:rsidRPr="2BCE08C6">
              <w:rPr>
                <w:b/>
                <w:bCs/>
              </w:rPr>
              <w:t xml:space="preserve">≥1 point improvement in </w:t>
            </w:r>
            <w:proofErr w:type="spellStart"/>
            <w:r w:rsidRPr="2BCE08C6">
              <w:rPr>
                <w:b/>
                <w:bCs/>
              </w:rPr>
              <w:t>NPS</w:t>
            </w:r>
            <w:r w:rsidRPr="2BCE08C6">
              <w:rPr>
                <w:b/>
                <w:bCs/>
                <w:vertAlign w:val="superscript"/>
              </w:rPr>
              <w:t>a</w:t>
            </w:r>
            <w:proofErr w:type="spellEnd"/>
          </w:p>
        </w:tc>
      </w:tr>
      <w:tr w:rsidR="002C1266" w14:paraId="6CEF4612" w14:textId="77777777" w:rsidTr="2BCE08C6">
        <w:tc>
          <w:tcPr>
            <w:tcW w:w="1096" w:type="pct"/>
            <w:shd w:val="clear" w:color="auto" w:fill="auto"/>
          </w:tcPr>
          <w:p w14:paraId="295B91DC" w14:textId="77777777" w:rsidR="002C1266" w:rsidRDefault="002C1266" w:rsidP="0049734B">
            <w:pPr>
              <w:pStyle w:val="Tabletext"/>
              <w:keepNext/>
            </w:pPr>
            <w:r>
              <w:t>POLYP 1</w:t>
            </w:r>
          </w:p>
        </w:tc>
        <w:tc>
          <w:tcPr>
            <w:tcW w:w="1335" w:type="pct"/>
            <w:shd w:val="clear" w:color="auto" w:fill="auto"/>
          </w:tcPr>
          <w:p w14:paraId="38F7703A" w14:textId="77777777" w:rsidR="002C1266" w:rsidRDefault="002C1266" w:rsidP="0049734B">
            <w:pPr>
              <w:pStyle w:val="Tabletext"/>
              <w:keepNext/>
              <w:jc w:val="center"/>
            </w:pPr>
            <w:r>
              <w:t>39/60 (56.5)</w:t>
            </w:r>
          </w:p>
        </w:tc>
        <w:tc>
          <w:tcPr>
            <w:tcW w:w="868" w:type="pct"/>
            <w:shd w:val="clear" w:color="auto" w:fill="auto"/>
          </w:tcPr>
          <w:p w14:paraId="0799299B" w14:textId="77777777" w:rsidR="002C1266" w:rsidRDefault="002C1266" w:rsidP="0049734B">
            <w:pPr>
              <w:pStyle w:val="Tabletext"/>
              <w:keepNext/>
              <w:jc w:val="center"/>
            </w:pPr>
            <w:r>
              <w:t>17/65 (26.2)</w:t>
            </w:r>
          </w:p>
        </w:tc>
        <w:tc>
          <w:tcPr>
            <w:tcW w:w="1701" w:type="pct"/>
            <w:shd w:val="clear" w:color="auto" w:fill="auto"/>
          </w:tcPr>
          <w:p w14:paraId="19DDCC31" w14:textId="77777777" w:rsidR="002C1266" w:rsidRPr="00E03BA9" w:rsidRDefault="002C1266" w:rsidP="0049734B">
            <w:pPr>
              <w:pStyle w:val="Tabletext"/>
              <w:keepNext/>
              <w:jc w:val="center"/>
              <w:rPr>
                <w:b/>
                <w:bCs/>
              </w:rPr>
            </w:pPr>
            <w:r w:rsidRPr="00E03BA9">
              <w:rPr>
                <w:b/>
                <w:bCs/>
              </w:rPr>
              <w:t>4.0 [1.91, 8.66]; p=0.0003</w:t>
            </w:r>
          </w:p>
        </w:tc>
      </w:tr>
      <w:tr w:rsidR="002C1266" w14:paraId="5057307C" w14:textId="77777777" w:rsidTr="2BCE08C6">
        <w:tc>
          <w:tcPr>
            <w:tcW w:w="1096" w:type="pct"/>
            <w:shd w:val="clear" w:color="auto" w:fill="auto"/>
          </w:tcPr>
          <w:p w14:paraId="32600B50" w14:textId="77777777" w:rsidR="002C1266" w:rsidRDefault="002C1266" w:rsidP="0049734B">
            <w:pPr>
              <w:pStyle w:val="Tabletext"/>
              <w:keepNext/>
            </w:pPr>
            <w:r>
              <w:t>POLYP 2</w:t>
            </w:r>
          </w:p>
        </w:tc>
        <w:tc>
          <w:tcPr>
            <w:tcW w:w="1335" w:type="pct"/>
            <w:shd w:val="clear" w:color="auto" w:fill="auto"/>
          </w:tcPr>
          <w:p w14:paraId="299ECFC2" w14:textId="77777777" w:rsidR="002C1266" w:rsidRDefault="002C1266" w:rsidP="0049734B">
            <w:pPr>
              <w:pStyle w:val="Tabletext"/>
              <w:keepNext/>
              <w:jc w:val="center"/>
            </w:pPr>
            <w:r>
              <w:t>33/59 (55.9)</w:t>
            </w:r>
          </w:p>
        </w:tc>
        <w:tc>
          <w:tcPr>
            <w:tcW w:w="868" w:type="pct"/>
            <w:shd w:val="clear" w:color="auto" w:fill="auto"/>
          </w:tcPr>
          <w:p w14:paraId="4C951B32" w14:textId="77777777" w:rsidR="002C1266" w:rsidRDefault="002C1266" w:rsidP="0049734B">
            <w:pPr>
              <w:pStyle w:val="Tabletext"/>
              <w:keepNext/>
              <w:jc w:val="center"/>
            </w:pPr>
            <w:r>
              <w:t>20/64 (31.3)</w:t>
            </w:r>
          </w:p>
        </w:tc>
        <w:tc>
          <w:tcPr>
            <w:tcW w:w="1701" w:type="pct"/>
            <w:shd w:val="clear" w:color="auto" w:fill="auto"/>
          </w:tcPr>
          <w:p w14:paraId="0F411F37" w14:textId="77777777" w:rsidR="002C1266" w:rsidRPr="00E03BA9" w:rsidRDefault="002C1266" w:rsidP="0049734B">
            <w:pPr>
              <w:pStyle w:val="Tabletext"/>
              <w:keepNext/>
              <w:jc w:val="center"/>
              <w:rPr>
                <w:b/>
                <w:bCs/>
              </w:rPr>
            </w:pPr>
            <w:r w:rsidRPr="00E03BA9">
              <w:rPr>
                <w:b/>
                <w:bCs/>
              </w:rPr>
              <w:t>2.84 [1.32, 6.14]; p=0.0077</w:t>
            </w:r>
          </w:p>
        </w:tc>
      </w:tr>
      <w:tr w:rsidR="002C1266" w14:paraId="127F0F24" w14:textId="77777777" w:rsidTr="2BCE08C6">
        <w:tc>
          <w:tcPr>
            <w:tcW w:w="3299" w:type="pct"/>
            <w:gridSpan w:val="3"/>
            <w:shd w:val="clear" w:color="auto" w:fill="auto"/>
          </w:tcPr>
          <w:p w14:paraId="3BEBE508" w14:textId="77777777" w:rsidR="002C1266" w:rsidRDefault="002C1266" w:rsidP="0049734B">
            <w:pPr>
              <w:pStyle w:val="Tabletext"/>
              <w:keepNext/>
            </w:pPr>
            <w:r w:rsidRPr="00B67E25">
              <w:t>Meta-analysis:</w:t>
            </w:r>
          </w:p>
        </w:tc>
        <w:tc>
          <w:tcPr>
            <w:tcW w:w="1701" w:type="pct"/>
            <w:shd w:val="clear" w:color="auto" w:fill="auto"/>
          </w:tcPr>
          <w:p w14:paraId="63BE3188" w14:textId="77777777" w:rsidR="002C1266" w:rsidRPr="00E03BA9" w:rsidRDefault="002C1266" w:rsidP="0049734B">
            <w:pPr>
              <w:pStyle w:val="Tabletext"/>
              <w:keepNext/>
              <w:jc w:val="center"/>
              <w:rPr>
                <w:b/>
                <w:bCs/>
              </w:rPr>
            </w:pPr>
            <w:r w:rsidRPr="00E03BA9">
              <w:rPr>
                <w:b/>
                <w:bCs/>
              </w:rPr>
              <w:t>3.79 [95% CI: 2.05, 7.03]; p&lt;0.0001</w:t>
            </w:r>
          </w:p>
        </w:tc>
      </w:tr>
      <w:tr w:rsidR="002C1266" w14:paraId="60736F7C" w14:textId="77777777" w:rsidTr="2BCE08C6">
        <w:tc>
          <w:tcPr>
            <w:tcW w:w="3299" w:type="pct"/>
            <w:gridSpan w:val="3"/>
            <w:shd w:val="clear" w:color="auto" w:fill="auto"/>
          </w:tcPr>
          <w:p w14:paraId="2F749EA9" w14:textId="77777777" w:rsidR="002C1266" w:rsidRPr="00B67E25" w:rsidRDefault="002C1266" w:rsidP="0049734B">
            <w:pPr>
              <w:pStyle w:val="Tabletext"/>
              <w:keepNext/>
            </w:pPr>
            <w:r w:rsidRPr="00B67E25">
              <w:t>Heterogeneity of meta-analysed studies</w:t>
            </w:r>
          </w:p>
        </w:tc>
        <w:tc>
          <w:tcPr>
            <w:tcW w:w="1701" w:type="pct"/>
            <w:shd w:val="clear" w:color="auto" w:fill="auto"/>
          </w:tcPr>
          <w:p w14:paraId="27F79748" w14:textId="77777777" w:rsidR="002C1266" w:rsidRPr="002D132E" w:rsidRDefault="002C1266" w:rsidP="0049734B">
            <w:pPr>
              <w:pStyle w:val="Tabletext"/>
              <w:keepNext/>
              <w:jc w:val="center"/>
            </w:pPr>
            <w:r>
              <w:t>I</w:t>
            </w:r>
            <w:r>
              <w:rPr>
                <w:vertAlign w:val="superscript"/>
              </w:rPr>
              <w:t>2</w:t>
            </w:r>
            <w:r>
              <w:t>=26%; p=0.25</w:t>
            </w:r>
          </w:p>
        </w:tc>
      </w:tr>
      <w:tr w:rsidR="002C1266" w14:paraId="6596E6B8" w14:textId="77777777" w:rsidTr="2BCE08C6">
        <w:tc>
          <w:tcPr>
            <w:tcW w:w="5000" w:type="pct"/>
            <w:gridSpan w:val="4"/>
            <w:shd w:val="clear" w:color="auto" w:fill="auto"/>
          </w:tcPr>
          <w:p w14:paraId="4788C914" w14:textId="7C085E21" w:rsidR="002C1266" w:rsidRPr="00E03BA9" w:rsidRDefault="002C1266" w:rsidP="0049734B">
            <w:pPr>
              <w:pStyle w:val="Tabletext"/>
              <w:keepNext/>
              <w:rPr>
                <w:b/>
                <w:bCs/>
                <w:vertAlign w:val="superscript"/>
              </w:rPr>
            </w:pPr>
            <w:r w:rsidRPr="2BCE08C6">
              <w:rPr>
                <w:b/>
                <w:bCs/>
              </w:rPr>
              <w:t xml:space="preserve">≥2 point improvement in </w:t>
            </w:r>
            <w:proofErr w:type="spellStart"/>
            <w:r w:rsidRPr="2BCE08C6">
              <w:rPr>
                <w:b/>
                <w:bCs/>
              </w:rPr>
              <w:t>NPS</w:t>
            </w:r>
            <w:r w:rsidRPr="2BCE08C6">
              <w:rPr>
                <w:b/>
                <w:bCs/>
                <w:vertAlign w:val="superscript"/>
              </w:rPr>
              <w:t>a</w:t>
            </w:r>
            <w:proofErr w:type="spellEnd"/>
          </w:p>
        </w:tc>
      </w:tr>
      <w:tr w:rsidR="002C1266" w14:paraId="0C6D7665" w14:textId="77777777" w:rsidTr="2BCE08C6">
        <w:tc>
          <w:tcPr>
            <w:tcW w:w="1096" w:type="pct"/>
            <w:shd w:val="clear" w:color="auto" w:fill="auto"/>
          </w:tcPr>
          <w:p w14:paraId="691E149B" w14:textId="77777777" w:rsidR="002C1266" w:rsidRDefault="002C1266" w:rsidP="0049734B">
            <w:pPr>
              <w:pStyle w:val="Tabletext"/>
              <w:keepNext/>
            </w:pPr>
            <w:r>
              <w:t>POLYP 1</w:t>
            </w:r>
          </w:p>
        </w:tc>
        <w:tc>
          <w:tcPr>
            <w:tcW w:w="1335" w:type="pct"/>
            <w:shd w:val="clear" w:color="auto" w:fill="auto"/>
          </w:tcPr>
          <w:p w14:paraId="42097080" w14:textId="77777777" w:rsidR="002C1266" w:rsidRDefault="002C1266" w:rsidP="0049734B">
            <w:pPr>
              <w:pStyle w:val="Tabletext"/>
              <w:keepNext/>
              <w:jc w:val="center"/>
            </w:pPr>
            <w:r>
              <w:t>22/69 (31.9)</w:t>
            </w:r>
          </w:p>
        </w:tc>
        <w:tc>
          <w:tcPr>
            <w:tcW w:w="868" w:type="pct"/>
            <w:shd w:val="clear" w:color="auto" w:fill="auto"/>
          </w:tcPr>
          <w:p w14:paraId="7F2DB171" w14:textId="77777777" w:rsidR="002C1266" w:rsidRDefault="002C1266" w:rsidP="0049734B">
            <w:pPr>
              <w:pStyle w:val="Tabletext"/>
              <w:keepNext/>
              <w:jc w:val="center"/>
            </w:pPr>
            <w:r>
              <w:t>6/65 (9.2)</w:t>
            </w:r>
          </w:p>
        </w:tc>
        <w:tc>
          <w:tcPr>
            <w:tcW w:w="1701" w:type="pct"/>
            <w:shd w:val="clear" w:color="auto" w:fill="auto"/>
          </w:tcPr>
          <w:p w14:paraId="16FD3F2E" w14:textId="77777777" w:rsidR="002C1266" w:rsidRPr="00E03BA9" w:rsidRDefault="002C1266" w:rsidP="0049734B">
            <w:pPr>
              <w:pStyle w:val="Tabletext"/>
              <w:keepNext/>
              <w:jc w:val="center"/>
              <w:rPr>
                <w:b/>
                <w:bCs/>
              </w:rPr>
            </w:pPr>
            <w:r w:rsidRPr="00E03BA9">
              <w:rPr>
                <w:b/>
                <w:bCs/>
              </w:rPr>
              <w:t>5.44 [1.97, 15.03]; p=0.0011</w:t>
            </w:r>
          </w:p>
        </w:tc>
      </w:tr>
      <w:tr w:rsidR="002C1266" w14:paraId="163D866F" w14:textId="77777777" w:rsidTr="2BCE08C6">
        <w:tc>
          <w:tcPr>
            <w:tcW w:w="1096" w:type="pct"/>
            <w:shd w:val="clear" w:color="auto" w:fill="auto"/>
          </w:tcPr>
          <w:p w14:paraId="5E63BA62" w14:textId="77777777" w:rsidR="002C1266" w:rsidRDefault="002C1266" w:rsidP="0049734B">
            <w:pPr>
              <w:pStyle w:val="Tabletext"/>
              <w:keepNext/>
            </w:pPr>
            <w:r>
              <w:t>POLYP 2</w:t>
            </w:r>
          </w:p>
        </w:tc>
        <w:tc>
          <w:tcPr>
            <w:tcW w:w="1335" w:type="pct"/>
            <w:shd w:val="clear" w:color="auto" w:fill="auto"/>
          </w:tcPr>
          <w:p w14:paraId="32F23C8F" w14:textId="77777777" w:rsidR="002C1266" w:rsidRDefault="002C1266" w:rsidP="0049734B">
            <w:pPr>
              <w:pStyle w:val="Tabletext"/>
              <w:keepNext/>
              <w:jc w:val="center"/>
            </w:pPr>
            <w:r>
              <w:t>18/59 (30.5)</w:t>
            </w:r>
          </w:p>
        </w:tc>
        <w:tc>
          <w:tcPr>
            <w:tcW w:w="868" w:type="pct"/>
            <w:shd w:val="clear" w:color="auto" w:fill="auto"/>
          </w:tcPr>
          <w:p w14:paraId="120A1690" w14:textId="77777777" w:rsidR="002C1266" w:rsidRDefault="002C1266" w:rsidP="0049734B">
            <w:pPr>
              <w:pStyle w:val="Tabletext"/>
              <w:keepNext/>
              <w:jc w:val="center"/>
            </w:pPr>
            <w:r>
              <w:t>9/64 (14.1)</w:t>
            </w:r>
          </w:p>
        </w:tc>
        <w:tc>
          <w:tcPr>
            <w:tcW w:w="1701" w:type="pct"/>
            <w:shd w:val="clear" w:color="auto" w:fill="auto"/>
          </w:tcPr>
          <w:p w14:paraId="28105945" w14:textId="77777777" w:rsidR="002C1266" w:rsidRDefault="002C1266" w:rsidP="0049734B">
            <w:pPr>
              <w:pStyle w:val="Tabletext"/>
              <w:keepNext/>
              <w:jc w:val="center"/>
            </w:pPr>
            <w:r>
              <w:t>2.39 [0.95, 6.05]; p=0.0649</w:t>
            </w:r>
          </w:p>
        </w:tc>
      </w:tr>
      <w:tr w:rsidR="002C1266" w14:paraId="2B4C4A8D" w14:textId="77777777" w:rsidTr="2BCE08C6">
        <w:tc>
          <w:tcPr>
            <w:tcW w:w="3299" w:type="pct"/>
            <w:gridSpan w:val="3"/>
            <w:shd w:val="clear" w:color="auto" w:fill="auto"/>
          </w:tcPr>
          <w:p w14:paraId="515B060C" w14:textId="77777777" w:rsidR="002C1266" w:rsidRDefault="002C1266" w:rsidP="0049734B">
            <w:pPr>
              <w:pStyle w:val="Tabletext"/>
              <w:keepNext/>
            </w:pPr>
            <w:r w:rsidRPr="00B67E25">
              <w:t>Meta-analysis:</w:t>
            </w:r>
          </w:p>
        </w:tc>
        <w:tc>
          <w:tcPr>
            <w:tcW w:w="1701" w:type="pct"/>
            <w:shd w:val="clear" w:color="auto" w:fill="auto"/>
          </w:tcPr>
          <w:p w14:paraId="2C03DD44" w14:textId="77777777" w:rsidR="002C1266" w:rsidRPr="00E03BA9" w:rsidRDefault="002C1266" w:rsidP="0049734B">
            <w:pPr>
              <w:pStyle w:val="Tabletext"/>
              <w:keepNext/>
              <w:jc w:val="center"/>
              <w:rPr>
                <w:b/>
                <w:bCs/>
              </w:rPr>
            </w:pPr>
            <w:r w:rsidRPr="00E03BA9">
              <w:rPr>
                <w:b/>
                <w:bCs/>
              </w:rPr>
              <w:t>3.43 [95% CI: 1.77, 6.65]; p=0.0003</w:t>
            </w:r>
          </w:p>
        </w:tc>
      </w:tr>
      <w:tr w:rsidR="002C1266" w14:paraId="23BADCFC" w14:textId="77777777" w:rsidTr="2BCE08C6">
        <w:tc>
          <w:tcPr>
            <w:tcW w:w="3299" w:type="pct"/>
            <w:gridSpan w:val="3"/>
            <w:shd w:val="clear" w:color="auto" w:fill="auto"/>
          </w:tcPr>
          <w:p w14:paraId="28D4DCB0" w14:textId="77777777" w:rsidR="002C1266" w:rsidRDefault="002C1266" w:rsidP="0049734B">
            <w:pPr>
              <w:pStyle w:val="Tabletext"/>
              <w:keepNext/>
            </w:pPr>
            <w:r w:rsidRPr="00B67E25">
              <w:t>Heterogeneity of meta-analysed studies</w:t>
            </w:r>
          </w:p>
        </w:tc>
        <w:tc>
          <w:tcPr>
            <w:tcW w:w="1701" w:type="pct"/>
            <w:shd w:val="clear" w:color="auto" w:fill="auto"/>
          </w:tcPr>
          <w:p w14:paraId="09232122" w14:textId="77777777" w:rsidR="002C1266" w:rsidRDefault="002C1266" w:rsidP="0049734B">
            <w:pPr>
              <w:pStyle w:val="Tabletext"/>
              <w:keepNext/>
              <w:jc w:val="center"/>
            </w:pPr>
            <w:r w:rsidRPr="002C7D44">
              <w:t>I</w:t>
            </w:r>
            <w:r w:rsidRPr="00B97856">
              <w:rPr>
                <w:vertAlign w:val="superscript"/>
              </w:rPr>
              <w:t>2</w:t>
            </w:r>
            <w:r w:rsidRPr="002C7D44">
              <w:t>=</w:t>
            </w:r>
            <w:r>
              <w:t>0</w:t>
            </w:r>
            <w:r w:rsidRPr="002C7D44">
              <w:t>%</w:t>
            </w:r>
            <w:r>
              <w:t>; p=0.43</w:t>
            </w:r>
          </w:p>
        </w:tc>
      </w:tr>
      <w:tr w:rsidR="002C1266" w14:paraId="23EA03EB" w14:textId="77777777" w:rsidTr="2BCE08C6">
        <w:tc>
          <w:tcPr>
            <w:tcW w:w="5000" w:type="pct"/>
            <w:gridSpan w:val="4"/>
            <w:shd w:val="clear" w:color="auto" w:fill="auto"/>
          </w:tcPr>
          <w:p w14:paraId="52BC7BE6" w14:textId="77777777" w:rsidR="002C1266" w:rsidRPr="00E03BA9" w:rsidRDefault="002C1266" w:rsidP="0049734B">
            <w:pPr>
              <w:pStyle w:val="Tabletext"/>
              <w:keepNext/>
              <w:rPr>
                <w:b/>
                <w:bCs/>
                <w:vertAlign w:val="superscript"/>
              </w:rPr>
            </w:pPr>
            <w:r w:rsidRPr="00E03BA9">
              <w:rPr>
                <w:b/>
                <w:bCs/>
              </w:rPr>
              <w:t>≥ 8.9-point improvement in SNOT-22</w:t>
            </w:r>
            <w:r w:rsidRPr="00E03BA9">
              <w:rPr>
                <w:b/>
                <w:bCs/>
                <w:vertAlign w:val="superscript"/>
              </w:rPr>
              <w:t>b</w:t>
            </w:r>
          </w:p>
        </w:tc>
      </w:tr>
      <w:tr w:rsidR="002C1266" w14:paraId="29B4C71D" w14:textId="77777777" w:rsidTr="2BCE08C6">
        <w:tc>
          <w:tcPr>
            <w:tcW w:w="1096" w:type="pct"/>
            <w:shd w:val="clear" w:color="auto" w:fill="auto"/>
          </w:tcPr>
          <w:p w14:paraId="63A50E48" w14:textId="77777777" w:rsidR="002C1266" w:rsidRDefault="002C1266" w:rsidP="0049734B">
            <w:pPr>
              <w:pStyle w:val="Tabletext"/>
              <w:keepNext/>
            </w:pPr>
            <w:r>
              <w:t>POLYP 1</w:t>
            </w:r>
          </w:p>
        </w:tc>
        <w:tc>
          <w:tcPr>
            <w:tcW w:w="1335" w:type="pct"/>
            <w:shd w:val="clear" w:color="auto" w:fill="auto"/>
          </w:tcPr>
          <w:p w14:paraId="4E21DE09" w14:textId="77777777" w:rsidR="002C1266" w:rsidRDefault="002C1266" w:rsidP="0049734B">
            <w:pPr>
              <w:pStyle w:val="Tabletext"/>
              <w:keepNext/>
              <w:jc w:val="center"/>
            </w:pPr>
            <w:r>
              <w:t>53/69 (76.8)</w:t>
            </w:r>
          </w:p>
        </w:tc>
        <w:tc>
          <w:tcPr>
            <w:tcW w:w="868" w:type="pct"/>
            <w:shd w:val="clear" w:color="auto" w:fill="auto"/>
          </w:tcPr>
          <w:p w14:paraId="044FDF1B" w14:textId="77777777" w:rsidR="002C1266" w:rsidRDefault="002C1266" w:rsidP="0049734B">
            <w:pPr>
              <w:pStyle w:val="Tabletext"/>
              <w:keepNext/>
              <w:jc w:val="center"/>
            </w:pPr>
            <w:r>
              <w:t>30/65 (46.2)</w:t>
            </w:r>
          </w:p>
        </w:tc>
        <w:tc>
          <w:tcPr>
            <w:tcW w:w="1701" w:type="pct"/>
            <w:shd w:val="clear" w:color="auto" w:fill="auto"/>
          </w:tcPr>
          <w:p w14:paraId="072ECE80" w14:textId="77777777" w:rsidR="002C1266" w:rsidRPr="00E03BA9" w:rsidRDefault="002C1266" w:rsidP="0049734B">
            <w:pPr>
              <w:pStyle w:val="Tabletext"/>
              <w:keepNext/>
              <w:jc w:val="center"/>
              <w:rPr>
                <w:b/>
                <w:bCs/>
              </w:rPr>
            </w:pPr>
            <w:r w:rsidRPr="00E03BA9">
              <w:rPr>
                <w:b/>
                <w:bCs/>
              </w:rPr>
              <w:t>4.55 [2.07, 9.97]; p=0.0002</w:t>
            </w:r>
          </w:p>
        </w:tc>
      </w:tr>
      <w:tr w:rsidR="002C1266" w14:paraId="5762AA8D" w14:textId="77777777" w:rsidTr="2BCE08C6">
        <w:tc>
          <w:tcPr>
            <w:tcW w:w="1096" w:type="pct"/>
            <w:shd w:val="clear" w:color="auto" w:fill="auto"/>
          </w:tcPr>
          <w:p w14:paraId="1747695F" w14:textId="77777777" w:rsidR="002C1266" w:rsidRDefault="002C1266" w:rsidP="0049734B">
            <w:pPr>
              <w:pStyle w:val="Tabletext"/>
              <w:keepNext/>
            </w:pPr>
            <w:r>
              <w:t>POLYP 2</w:t>
            </w:r>
          </w:p>
        </w:tc>
        <w:tc>
          <w:tcPr>
            <w:tcW w:w="1335" w:type="pct"/>
            <w:shd w:val="clear" w:color="auto" w:fill="auto"/>
          </w:tcPr>
          <w:p w14:paraId="29A22014" w14:textId="77777777" w:rsidR="002C1266" w:rsidRDefault="002C1266" w:rsidP="0049734B">
            <w:pPr>
              <w:pStyle w:val="Tabletext"/>
              <w:keepNext/>
              <w:jc w:val="center"/>
            </w:pPr>
            <w:r>
              <w:t>39/59 (66.1)</w:t>
            </w:r>
          </w:p>
        </w:tc>
        <w:tc>
          <w:tcPr>
            <w:tcW w:w="868" w:type="pct"/>
            <w:shd w:val="clear" w:color="auto" w:fill="auto"/>
          </w:tcPr>
          <w:p w14:paraId="4BB56C71" w14:textId="77777777" w:rsidR="002C1266" w:rsidRDefault="002C1266" w:rsidP="0049734B">
            <w:pPr>
              <w:pStyle w:val="Tabletext"/>
              <w:keepNext/>
              <w:jc w:val="center"/>
            </w:pPr>
            <w:r>
              <w:t>23/63 (36.5)</w:t>
            </w:r>
          </w:p>
        </w:tc>
        <w:tc>
          <w:tcPr>
            <w:tcW w:w="1701" w:type="pct"/>
            <w:shd w:val="clear" w:color="auto" w:fill="auto"/>
          </w:tcPr>
          <w:p w14:paraId="0A0E0857" w14:textId="77777777" w:rsidR="002C1266" w:rsidRPr="00E03BA9" w:rsidRDefault="002C1266" w:rsidP="0049734B">
            <w:pPr>
              <w:pStyle w:val="Tabletext"/>
              <w:keepNext/>
              <w:jc w:val="center"/>
              <w:rPr>
                <w:b/>
                <w:bCs/>
              </w:rPr>
            </w:pPr>
            <w:r w:rsidRPr="00E03BA9">
              <w:rPr>
                <w:b/>
                <w:bCs/>
              </w:rPr>
              <w:t>3.71 [1.72, 8.04]; p=0.0009</w:t>
            </w:r>
          </w:p>
        </w:tc>
      </w:tr>
      <w:tr w:rsidR="002C1266" w14:paraId="1924BBF7" w14:textId="77777777" w:rsidTr="2BCE08C6">
        <w:tc>
          <w:tcPr>
            <w:tcW w:w="3299" w:type="pct"/>
            <w:gridSpan w:val="3"/>
            <w:shd w:val="clear" w:color="auto" w:fill="auto"/>
          </w:tcPr>
          <w:p w14:paraId="7F35BEDB" w14:textId="77777777" w:rsidR="002C1266" w:rsidRDefault="002C1266" w:rsidP="0049734B">
            <w:pPr>
              <w:pStyle w:val="Tabletext"/>
              <w:keepNext/>
            </w:pPr>
            <w:r w:rsidRPr="00B67E25">
              <w:t>Meta-analysis:</w:t>
            </w:r>
          </w:p>
        </w:tc>
        <w:tc>
          <w:tcPr>
            <w:tcW w:w="1701" w:type="pct"/>
            <w:shd w:val="clear" w:color="auto" w:fill="auto"/>
          </w:tcPr>
          <w:p w14:paraId="4BE7DD61" w14:textId="77777777" w:rsidR="002C1266" w:rsidRPr="00E03BA9" w:rsidRDefault="002C1266" w:rsidP="0049734B">
            <w:pPr>
              <w:pStyle w:val="Tabletext"/>
              <w:keepNext/>
              <w:jc w:val="center"/>
              <w:rPr>
                <w:b/>
                <w:bCs/>
              </w:rPr>
            </w:pPr>
            <w:r w:rsidRPr="00E03BA9">
              <w:rPr>
                <w:b/>
                <w:bCs/>
              </w:rPr>
              <w:t>3.62 [95% CI: 2.14, 6.12]; p&lt;0.00001</w:t>
            </w:r>
          </w:p>
        </w:tc>
      </w:tr>
      <w:tr w:rsidR="002C1266" w14:paraId="7A02A2F9" w14:textId="77777777" w:rsidTr="2BCE08C6">
        <w:tc>
          <w:tcPr>
            <w:tcW w:w="3299" w:type="pct"/>
            <w:gridSpan w:val="3"/>
            <w:shd w:val="clear" w:color="auto" w:fill="auto"/>
          </w:tcPr>
          <w:p w14:paraId="314BB186" w14:textId="77777777" w:rsidR="002C1266" w:rsidRDefault="002C1266" w:rsidP="0049734B">
            <w:pPr>
              <w:pStyle w:val="Tabletext"/>
              <w:keepNext/>
            </w:pPr>
            <w:r w:rsidRPr="00B67E25">
              <w:t>Heterogeneity of meta-analysed studies</w:t>
            </w:r>
          </w:p>
        </w:tc>
        <w:tc>
          <w:tcPr>
            <w:tcW w:w="1701" w:type="pct"/>
            <w:shd w:val="clear" w:color="auto" w:fill="auto"/>
          </w:tcPr>
          <w:p w14:paraId="3FE61D66" w14:textId="77777777" w:rsidR="002C1266" w:rsidRPr="00E03BA9" w:rsidRDefault="002C1266" w:rsidP="0049734B">
            <w:pPr>
              <w:pStyle w:val="Tabletext"/>
              <w:keepNext/>
              <w:jc w:val="center"/>
              <w:rPr>
                <w:b/>
                <w:bCs/>
              </w:rPr>
            </w:pPr>
            <w:r w:rsidRPr="002C7D44">
              <w:t>I</w:t>
            </w:r>
            <w:r w:rsidRPr="00B97856">
              <w:rPr>
                <w:vertAlign w:val="superscript"/>
              </w:rPr>
              <w:t>2</w:t>
            </w:r>
            <w:r w:rsidRPr="002C7D44">
              <w:t>=</w:t>
            </w:r>
            <w:r>
              <w:t>0</w:t>
            </w:r>
            <w:r w:rsidRPr="002C7D44">
              <w:t>%</w:t>
            </w:r>
            <w:r>
              <w:t>; p=0.81</w:t>
            </w:r>
          </w:p>
        </w:tc>
      </w:tr>
    </w:tbl>
    <w:p w14:paraId="52333141" w14:textId="77777777" w:rsidR="002C1266" w:rsidRPr="00264868" w:rsidRDefault="002C1266" w:rsidP="00022C1B">
      <w:pPr>
        <w:pStyle w:val="TableFigureFooter"/>
      </w:pPr>
      <w:r w:rsidRPr="00264868">
        <w:t>Source: Table 2.22, Figure 2.12, Figure 2.13, Figure 2.14, pp85-87 of the submission</w:t>
      </w:r>
    </w:p>
    <w:p w14:paraId="10F55BC4" w14:textId="3671B448" w:rsidR="002C1266" w:rsidRPr="00264868" w:rsidRDefault="002C1266" w:rsidP="00022C1B">
      <w:pPr>
        <w:pStyle w:val="TableFigureFooter"/>
      </w:pPr>
      <w:r w:rsidRPr="2BCE08C6">
        <w:t xml:space="preserve">CI, confidence interval; n, number of participants; N, total participants in group; NPS, nasal polyp score; </w:t>
      </w:r>
      <w:proofErr w:type="gramStart"/>
      <w:r w:rsidRPr="2BCE08C6">
        <w:t>OR,</w:t>
      </w:r>
      <w:proofErr w:type="gramEnd"/>
      <w:r w:rsidRPr="2BCE08C6">
        <w:t xml:space="preserve"> odds ratio; </w:t>
      </w:r>
      <w:r w:rsidR="009724C9">
        <w:t>SoC, standard of care</w:t>
      </w:r>
      <w:r w:rsidR="005A0B10">
        <w:t xml:space="preserve">; </w:t>
      </w:r>
      <w:r w:rsidRPr="2BCE08C6">
        <w:t>SNOT-22, Sino-Nasal Outcome Test-22.</w:t>
      </w:r>
    </w:p>
    <w:p w14:paraId="2FCE16D1" w14:textId="6FF990D3" w:rsidR="002C1266" w:rsidRPr="00264868" w:rsidRDefault="002C1266" w:rsidP="00022C1B">
      <w:pPr>
        <w:pStyle w:val="TableFigureFooter"/>
      </w:pPr>
      <w:r w:rsidRPr="2BCE08C6">
        <w:t xml:space="preserve">Note: Results in </w:t>
      </w:r>
      <w:r w:rsidRPr="2BCE08C6">
        <w:rPr>
          <w:b/>
          <w:bCs/>
        </w:rPr>
        <w:t>bold</w:t>
      </w:r>
      <w:r w:rsidRPr="2BCE08C6">
        <w:t xml:space="preserve"> indicate statistically significant difference (p&lt;0.05) </w:t>
      </w:r>
    </w:p>
    <w:p w14:paraId="104E14A3" w14:textId="3DAD5C29" w:rsidR="002C1266" w:rsidRPr="00264868" w:rsidRDefault="002C1266" w:rsidP="00022C1B">
      <w:pPr>
        <w:pStyle w:val="TableFigureFooter"/>
      </w:pPr>
      <w:proofErr w:type="gramStart"/>
      <w:r w:rsidRPr="2BCE08C6">
        <w:rPr>
          <w:vertAlign w:val="superscript"/>
        </w:rPr>
        <w:lastRenderedPageBreak/>
        <w:t>a</w:t>
      </w:r>
      <w:proofErr w:type="gramEnd"/>
      <w:r w:rsidRPr="2BCE08C6">
        <w:t xml:space="preserve"> Unadjusted p values for comparison between omalizumab and </w:t>
      </w:r>
      <w:r w:rsidR="005A0B10">
        <w:t>SoC (</w:t>
      </w:r>
      <w:r w:rsidRPr="2BCE08C6">
        <w:t>placebo</w:t>
      </w:r>
      <w:r w:rsidR="005A0B10">
        <w:t>)</w:t>
      </w:r>
      <w:r w:rsidRPr="2BCE08C6">
        <w:t xml:space="preserve"> groups are presented. The worst observed post-baseline and pre-intercurrent event NPS for a given patient is used to impute values post rescue treatment or discontinuation of study drug due to PD, AE, or LOE (whichever is earlier). Response variables defined as improvement at Week 24 in NPS ≥ 1 are analysed separately and adjusted for baseline NPS, asthma/aspirin sensitivity comorbidity status and geographic region.</w:t>
      </w:r>
    </w:p>
    <w:p w14:paraId="1E7A7A59" w14:textId="77777777" w:rsidR="002C1266" w:rsidRPr="005A3DFC" w:rsidRDefault="002C1266" w:rsidP="00022C1B">
      <w:pPr>
        <w:pStyle w:val="TableFigureFooter"/>
      </w:pPr>
      <w:r w:rsidRPr="00264868">
        <w:rPr>
          <w:vertAlign w:val="superscript"/>
        </w:rPr>
        <w:t>b</w:t>
      </w:r>
      <w:r>
        <w:t xml:space="preserve"> </w:t>
      </w:r>
      <w:r w:rsidRPr="00264868">
        <w:t>Logistic regression models are adjusted for baseline SNOT-22, geographic region and asthma/aspirin sensitivity comorbidity status.</w:t>
      </w:r>
    </w:p>
    <w:p w14:paraId="5BB46699" w14:textId="32B1C3B0" w:rsidR="002C1266" w:rsidRDefault="002C1266" w:rsidP="002C1266">
      <w:pPr>
        <w:pStyle w:val="3-BodyText"/>
      </w:pPr>
      <w:r w:rsidRPr="2BCE08C6">
        <w:t xml:space="preserve">The meta-analysed results demonstrated that patients treated with omalizumab are statistically significantly more likely to experience a ≥1-point improvement in NPS (odds ratio [OR]=3.79 [95% CI: 2.05, 7.03]; p&lt;0.0001), a ≥2-point improvement in NPS (OR=3.43 [95% CI: 1.77, 6.65]; p=0.0003) and a ≥8.9-point improvement in SNOT-22 (OR=3.62 [95% CI: 2.14, 6.12]; p&lt;0.00001), </w:t>
      </w:r>
      <w:r w:rsidRPr="00442A9A">
        <w:t>noting the results in ≥2-point improvement in NPS were not statistically significant for the POLYP 2 trial. These analyses have additional potential for bias due to being post-hoc.</w:t>
      </w:r>
    </w:p>
    <w:p w14:paraId="32D0D340" w14:textId="6058147B" w:rsidR="002C1266" w:rsidRDefault="002C1266" w:rsidP="002C1266">
      <w:pPr>
        <w:pStyle w:val="3-BodyText"/>
      </w:pPr>
      <w:r>
        <w:fldChar w:fldCharType="begin"/>
      </w:r>
      <w:r>
        <w:instrText xml:space="preserve"> REF _Ref190210738 \h </w:instrText>
      </w:r>
      <w:r>
        <w:fldChar w:fldCharType="separate"/>
      </w:r>
      <w:r w:rsidR="00CE52BF">
        <w:t xml:space="preserve">Table </w:t>
      </w:r>
      <w:r w:rsidR="00CE52BF">
        <w:rPr>
          <w:noProof/>
        </w:rPr>
        <w:t>6</w:t>
      </w:r>
      <w:r>
        <w:fldChar w:fldCharType="end"/>
      </w:r>
      <w:r>
        <w:t xml:space="preserve"> </w:t>
      </w:r>
      <w:r w:rsidRPr="00A71800">
        <w:t xml:space="preserve">presents the </w:t>
      </w:r>
      <w:r>
        <w:t xml:space="preserve">QoL outcome of </w:t>
      </w:r>
      <w:r w:rsidRPr="00A71800">
        <w:t>change from baseline in EQ-5D-5L VAS score at Week 24 in the POLYP trials.</w:t>
      </w:r>
    </w:p>
    <w:p w14:paraId="42F6DBD7" w14:textId="18D4F5DC" w:rsidR="002C1266" w:rsidRDefault="002C1266" w:rsidP="005C3C09">
      <w:pPr>
        <w:pStyle w:val="Caption"/>
      </w:pPr>
      <w:bookmarkStart w:id="37" w:name="_Ref190210738"/>
      <w:r>
        <w:t xml:space="preserve">Table </w:t>
      </w:r>
      <w:r>
        <w:fldChar w:fldCharType="begin"/>
      </w:r>
      <w:r>
        <w:instrText>SEQ Table \* ARABIC</w:instrText>
      </w:r>
      <w:r>
        <w:fldChar w:fldCharType="separate"/>
      </w:r>
      <w:r w:rsidR="00CE52BF">
        <w:rPr>
          <w:noProof/>
        </w:rPr>
        <w:t>6</w:t>
      </w:r>
      <w:r>
        <w:fldChar w:fldCharType="end"/>
      </w:r>
      <w:bookmarkEnd w:id="37"/>
      <w:r>
        <w:t xml:space="preserve">: </w:t>
      </w:r>
      <w:r w:rsidRPr="00F3238E">
        <w:t>Change from baseline in EQ-5D-5L VAS score at Week 24 in the POLYP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921"/>
        <w:gridCol w:w="922"/>
        <w:gridCol w:w="990"/>
        <w:gridCol w:w="851"/>
        <w:gridCol w:w="922"/>
        <w:gridCol w:w="922"/>
        <w:gridCol w:w="2357"/>
      </w:tblGrid>
      <w:tr w:rsidR="002C1266" w:rsidRPr="004041E5" w14:paraId="78276C7E" w14:textId="77777777">
        <w:trPr>
          <w:trHeight w:val="138"/>
        </w:trPr>
        <w:tc>
          <w:tcPr>
            <w:tcW w:w="628" w:type="pct"/>
            <w:vMerge w:val="restart"/>
            <w:shd w:val="clear" w:color="auto" w:fill="auto"/>
          </w:tcPr>
          <w:p w14:paraId="135CB0D5" w14:textId="77777777" w:rsidR="002C1266" w:rsidRPr="00405ADE" w:rsidRDefault="002C1266" w:rsidP="005C3C09">
            <w:pPr>
              <w:pStyle w:val="Tabletext"/>
              <w:keepNext/>
              <w:keepLines/>
              <w:rPr>
                <w:b/>
                <w:bCs/>
              </w:rPr>
            </w:pPr>
            <w:r w:rsidRPr="00405ADE">
              <w:rPr>
                <w:b/>
                <w:bCs/>
              </w:rPr>
              <w:t>Trial ID</w:t>
            </w:r>
          </w:p>
        </w:tc>
        <w:tc>
          <w:tcPr>
            <w:tcW w:w="1571" w:type="pct"/>
            <w:gridSpan w:val="3"/>
            <w:shd w:val="clear" w:color="auto" w:fill="auto"/>
          </w:tcPr>
          <w:p w14:paraId="65F89A2B" w14:textId="1475D88A" w:rsidR="002C1266" w:rsidRPr="00405ADE" w:rsidRDefault="002C1266" w:rsidP="005C3C09">
            <w:pPr>
              <w:pStyle w:val="Tabletext"/>
              <w:keepNext/>
              <w:keepLines/>
              <w:jc w:val="center"/>
              <w:rPr>
                <w:b/>
                <w:bCs/>
              </w:rPr>
            </w:pPr>
            <w:r w:rsidRPr="00405ADE">
              <w:rPr>
                <w:b/>
                <w:bCs/>
              </w:rPr>
              <w:t>Omalizumab</w:t>
            </w:r>
          </w:p>
        </w:tc>
        <w:tc>
          <w:tcPr>
            <w:tcW w:w="1494" w:type="pct"/>
            <w:gridSpan w:val="3"/>
            <w:shd w:val="clear" w:color="auto" w:fill="auto"/>
          </w:tcPr>
          <w:p w14:paraId="0D3F45B5" w14:textId="4B0B8635" w:rsidR="002C1266" w:rsidRPr="00405ADE" w:rsidRDefault="00B56C1D" w:rsidP="005C3C09">
            <w:pPr>
              <w:pStyle w:val="Tabletext"/>
              <w:keepNext/>
              <w:keepLines/>
              <w:jc w:val="center"/>
              <w:rPr>
                <w:b/>
                <w:bCs/>
              </w:rPr>
            </w:pPr>
            <w:r>
              <w:rPr>
                <w:b/>
                <w:bCs/>
              </w:rPr>
              <w:t>SoC (p</w:t>
            </w:r>
            <w:r w:rsidR="002C1266" w:rsidRPr="00405ADE">
              <w:rPr>
                <w:b/>
                <w:bCs/>
              </w:rPr>
              <w:t>lacebo</w:t>
            </w:r>
            <w:r>
              <w:rPr>
                <w:b/>
                <w:bCs/>
              </w:rPr>
              <w:t>)</w:t>
            </w:r>
          </w:p>
        </w:tc>
        <w:tc>
          <w:tcPr>
            <w:tcW w:w="1307" w:type="pct"/>
            <w:vMerge w:val="restart"/>
            <w:shd w:val="clear" w:color="auto" w:fill="auto"/>
          </w:tcPr>
          <w:p w14:paraId="4F61DB50" w14:textId="77777777" w:rsidR="002C1266" w:rsidRPr="00405ADE" w:rsidRDefault="002C1266" w:rsidP="005C3C09">
            <w:pPr>
              <w:pStyle w:val="Tabletext"/>
              <w:keepNext/>
              <w:keepLines/>
              <w:jc w:val="center"/>
              <w:rPr>
                <w:b/>
                <w:bCs/>
              </w:rPr>
            </w:pPr>
            <w:r w:rsidRPr="00405ADE">
              <w:rPr>
                <w:b/>
                <w:bCs/>
              </w:rPr>
              <w:t>MD [95% CI]; p-value</w:t>
            </w:r>
          </w:p>
        </w:tc>
      </w:tr>
      <w:tr w:rsidR="002C1266" w:rsidRPr="004041E5" w14:paraId="64B6E226" w14:textId="77777777">
        <w:tc>
          <w:tcPr>
            <w:tcW w:w="628" w:type="pct"/>
            <w:vMerge/>
            <w:shd w:val="clear" w:color="auto" w:fill="auto"/>
          </w:tcPr>
          <w:p w14:paraId="1B7A1536" w14:textId="77777777" w:rsidR="002C1266" w:rsidRPr="004041E5" w:rsidRDefault="002C1266" w:rsidP="005C3C09">
            <w:pPr>
              <w:pStyle w:val="Tabletext"/>
              <w:keepNext/>
              <w:keepLines/>
            </w:pPr>
          </w:p>
        </w:tc>
        <w:tc>
          <w:tcPr>
            <w:tcW w:w="511" w:type="pct"/>
            <w:shd w:val="clear" w:color="auto" w:fill="auto"/>
          </w:tcPr>
          <w:p w14:paraId="358C80C6" w14:textId="77777777" w:rsidR="002C1266" w:rsidRPr="00405ADE" w:rsidRDefault="002C1266" w:rsidP="005C3C09">
            <w:pPr>
              <w:pStyle w:val="Tabletext"/>
              <w:keepNext/>
              <w:keepLines/>
              <w:jc w:val="center"/>
              <w:rPr>
                <w:b/>
                <w:bCs/>
              </w:rPr>
            </w:pPr>
            <w:r w:rsidRPr="00405ADE">
              <w:rPr>
                <w:b/>
                <w:bCs/>
              </w:rPr>
              <w:t>Mean</w:t>
            </w:r>
          </w:p>
        </w:tc>
        <w:tc>
          <w:tcPr>
            <w:tcW w:w="511" w:type="pct"/>
            <w:shd w:val="clear" w:color="auto" w:fill="auto"/>
          </w:tcPr>
          <w:p w14:paraId="6A3502B2" w14:textId="77777777" w:rsidR="002C1266" w:rsidRPr="00405ADE" w:rsidRDefault="002C1266" w:rsidP="005C3C09">
            <w:pPr>
              <w:pStyle w:val="Tabletext"/>
              <w:keepNext/>
              <w:keepLines/>
              <w:jc w:val="center"/>
              <w:rPr>
                <w:b/>
                <w:bCs/>
              </w:rPr>
            </w:pPr>
            <w:r w:rsidRPr="00405ADE">
              <w:rPr>
                <w:b/>
                <w:bCs/>
              </w:rPr>
              <w:t>SD</w:t>
            </w:r>
          </w:p>
        </w:tc>
        <w:tc>
          <w:tcPr>
            <w:tcW w:w="549" w:type="pct"/>
            <w:shd w:val="clear" w:color="auto" w:fill="auto"/>
          </w:tcPr>
          <w:p w14:paraId="0EB54D8B" w14:textId="77777777" w:rsidR="002C1266" w:rsidRPr="00405ADE" w:rsidRDefault="002C1266" w:rsidP="005C3C09">
            <w:pPr>
              <w:pStyle w:val="Tabletext"/>
              <w:keepNext/>
              <w:keepLines/>
              <w:jc w:val="center"/>
              <w:rPr>
                <w:b/>
                <w:bCs/>
              </w:rPr>
            </w:pPr>
            <w:r w:rsidRPr="00405ADE">
              <w:rPr>
                <w:b/>
                <w:bCs/>
              </w:rPr>
              <w:t>N</w:t>
            </w:r>
          </w:p>
        </w:tc>
        <w:tc>
          <w:tcPr>
            <w:tcW w:w="472" w:type="pct"/>
            <w:shd w:val="clear" w:color="auto" w:fill="auto"/>
          </w:tcPr>
          <w:p w14:paraId="5C6C9008" w14:textId="77777777" w:rsidR="002C1266" w:rsidRPr="00405ADE" w:rsidRDefault="002C1266" w:rsidP="005C3C09">
            <w:pPr>
              <w:pStyle w:val="Tabletext"/>
              <w:keepNext/>
              <w:keepLines/>
              <w:jc w:val="center"/>
              <w:rPr>
                <w:b/>
                <w:bCs/>
              </w:rPr>
            </w:pPr>
            <w:r w:rsidRPr="00405ADE">
              <w:rPr>
                <w:b/>
                <w:bCs/>
              </w:rPr>
              <w:t>Mean</w:t>
            </w:r>
          </w:p>
        </w:tc>
        <w:tc>
          <w:tcPr>
            <w:tcW w:w="511" w:type="pct"/>
            <w:shd w:val="clear" w:color="auto" w:fill="auto"/>
          </w:tcPr>
          <w:p w14:paraId="4BDE6822" w14:textId="77777777" w:rsidR="002C1266" w:rsidRPr="00405ADE" w:rsidRDefault="002C1266" w:rsidP="005C3C09">
            <w:pPr>
              <w:pStyle w:val="Tabletext"/>
              <w:keepNext/>
              <w:keepLines/>
              <w:jc w:val="center"/>
              <w:rPr>
                <w:b/>
                <w:bCs/>
              </w:rPr>
            </w:pPr>
            <w:r w:rsidRPr="00405ADE">
              <w:rPr>
                <w:b/>
                <w:bCs/>
              </w:rPr>
              <w:t>SD</w:t>
            </w:r>
          </w:p>
        </w:tc>
        <w:tc>
          <w:tcPr>
            <w:tcW w:w="511" w:type="pct"/>
            <w:shd w:val="clear" w:color="auto" w:fill="auto"/>
          </w:tcPr>
          <w:p w14:paraId="2E4DC967" w14:textId="77777777" w:rsidR="002C1266" w:rsidRPr="00405ADE" w:rsidRDefault="002C1266" w:rsidP="005C3C09">
            <w:pPr>
              <w:pStyle w:val="Tabletext"/>
              <w:keepNext/>
              <w:keepLines/>
              <w:jc w:val="center"/>
              <w:rPr>
                <w:b/>
                <w:bCs/>
              </w:rPr>
            </w:pPr>
            <w:r w:rsidRPr="00405ADE">
              <w:rPr>
                <w:b/>
                <w:bCs/>
              </w:rPr>
              <w:t>N</w:t>
            </w:r>
          </w:p>
        </w:tc>
        <w:tc>
          <w:tcPr>
            <w:tcW w:w="1307" w:type="pct"/>
            <w:vMerge/>
            <w:shd w:val="clear" w:color="auto" w:fill="auto"/>
          </w:tcPr>
          <w:p w14:paraId="79344137" w14:textId="77777777" w:rsidR="002C1266" w:rsidRPr="004041E5" w:rsidRDefault="002C1266" w:rsidP="005C3C09">
            <w:pPr>
              <w:pStyle w:val="Tabletext"/>
              <w:keepNext/>
              <w:keepLines/>
            </w:pPr>
          </w:p>
        </w:tc>
      </w:tr>
      <w:tr w:rsidR="002C1266" w14:paraId="020FCDD3" w14:textId="77777777">
        <w:tc>
          <w:tcPr>
            <w:tcW w:w="628" w:type="pct"/>
            <w:shd w:val="clear" w:color="auto" w:fill="auto"/>
          </w:tcPr>
          <w:p w14:paraId="570EBFB8" w14:textId="77777777" w:rsidR="002C1266" w:rsidRDefault="002C1266" w:rsidP="005C3C09">
            <w:pPr>
              <w:pStyle w:val="Tabletext"/>
              <w:keepNext/>
              <w:keepLines/>
            </w:pPr>
            <w:r>
              <w:t>POLYP 1</w:t>
            </w:r>
          </w:p>
        </w:tc>
        <w:tc>
          <w:tcPr>
            <w:tcW w:w="511" w:type="pct"/>
            <w:shd w:val="clear" w:color="auto" w:fill="auto"/>
            <w:vAlign w:val="center"/>
          </w:tcPr>
          <w:p w14:paraId="6BDDCF9B" w14:textId="77777777" w:rsidR="002C1266" w:rsidRDefault="002C1266" w:rsidP="005C3C09">
            <w:pPr>
              <w:pStyle w:val="Tabletext"/>
              <w:keepNext/>
              <w:keepLines/>
              <w:jc w:val="center"/>
            </w:pPr>
            <w:r>
              <w:t>9.8</w:t>
            </w:r>
          </w:p>
        </w:tc>
        <w:tc>
          <w:tcPr>
            <w:tcW w:w="511" w:type="pct"/>
            <w:shd w:val="clear" w:color="auto" w:fill="auto"/>
            <w:vAlign w:val="center"/>
          </w:tcPr>
          <w:p w14:paraId="37725E60" w14:textId="77777777" w:rsidR="002C1266" w:rsidRDefault="002C1266" w:rsidP="005C3C09">
            <w:pPr>
              <w:pStyle w:val="Tabletext"/>
              <w:keepNext/>
              <w:keepLines/>
              <w:jc w:val="center"/>
            </w:pPr>
            <w:r>
              <w:t>16.9</w:t>
            </w:r>
          </w:p>
        </w:tc>
        <w:tc>
          <w:tcPr>
            <w:tcW w:w="549" w:type="pct"/>
            <w:shd w:val="clear" w:color="auto" w:fill="auto"/>
            <w:vAlign w:val="center"/>
          </w:tcPr>
          <w:p w14:paraId="399B6676" w14:textId="77777777" w:rsidR="002C1266" w:rsidRDefault="002C1266" w:rsidP="005C3C09">
            <w:pPr>
              <w:pStyle w:val="Tabletext"/>
              <w:keepNext/>
              <w:keepLines/>
              <w:jc w:val="center"/>
            </w:pPr>
            <w:r>
              <w:t>72</w:t>
            </w:r>
          </w:p>
        </w:tc>
        <w:tc>
          <w:tcPr>
            <w:tcW w:w="472" w:type="pct"/>
            <w:shd w:val="clear" w:color="auto" w:fill="auto"/>
            <w:vAlign w:val="center"/>
          </w:tcPr>
          <w:p w14:paraId="19B691B0" w14:textId="77777777" w:rsidR="002C1266" w:rsidRDefault="002C1266" w:rsidP="005C3C09">
            <w:pPr>
              <w:pStyle w:val="Tabletext"/>
              <w:keepNext/>
              <w:keepLines/>
              <w:jc w:val="center"/>
            </w:pPr>
            <w:r>
              <w:t>4.2</w:t>
            </w:r>
          </w:p>
        </w:tc>
        <w:tc>
          <w:tcPr>
            <w:tcW w:w="511" w:type="pct"/>
            <w:shd w:val="clear" w:color="auto" w:fill="auto"/>
            <w:vAlign w:val="center"/>
          </w:tcPr>
          <w:p w14:paraId="0BFFD818" w14:textId="77777777" w:rsidR="002C1266" w:rsidRDefault="002C1266" w:rsidP="005C3C09">
            <w:pPr>
              <w:pStyle w:val="Tabletext"/>
              <w:keepNext/>
              <w:keepLines/>
              <w:jc w:val="center"/>
            </w:pPr>
            <w:r>
              <w:t>21.2</w:t>
            </w:r>
          </w:p>
        </w:tc>
        <w:tc>
          <w:tcPr>
            <w:tcW w:w="511" w:type="pct"/>
            <w:shd w:val="clear" w:color="auto" w:fill="auto"/>
            <w:vAlign w:val="center"/>
          </w:tcPr>
          <w:p w14:paraId="7111CB4F" w14:textId="77777777" w:rsidR="002C1266" w:rsidRDefault="002C1266" w:rsidP="005C3C09">
            <w:pPr>
              <w:pStyle w:val="Tabletext"/>
              <w:keepNext/>
              <w:keepLines/>
              <w:jc w:val="center"/>
            </w:pPr>
            <w:r>
              <w:t>66</w:t>
            </w:r>
          </w:p>
        </w:tc>
        <w:tc>
          <w:tcPr>
            <w:tcW w:w="1307" w:type="pct"/>
            <w:shd w:val="clear" w:color="auto" w:fill="auto"/>
          </w:tcPr>
          <w:p w14:paraId="52B1978D" w14:textId="77777777" w:rsidR="002C1266" w:rsidRPr="000425B3" w:rsidRDefault="002C1266" w:rsidP="005C3C09">
            <w:pPr>
              <w:pStyle w:val="Tabletext"/>
              <w:keepNext/>
              <w:keepLines/>
              <w:jc w:val="center"/>
            </w:pPr>
            <w:r w:rsidRPr="00311091">
              <w:t>5.60 [-0.8</w:t>
            </w:r>
            <w:r>
              <w:t>3</w:t>
            </w:r>
            <w:r w:rsidRPr="00311091">
              <w:t>, 12.</w:t>
            </w:r>
            <w:r>
              <w:t>03</w:t>
            </w:r>
            <w:r w:rsidRPr="00311091">
              <w:t>]</w:t>
            </w:r>
            <w:r>
              <w:t>; p=0.09</w:t>
            </w:r>
          </w:p>
        </w:tc>
      </w:tr>
      <w:tr w:rsidR="002C1266" w14:paraId="1713ED9D" w14:textId="77777777">
        <w:tc>
          <w:tcPr>
            <w:tcW w:w="628" w:type="pct"/>
            <w:shd w:val="clear" w:color="auto" w:fill="auto"/>
          </w:tcPr>
          <w:p w14:paraId="3357C3B6" w14:textId="77777777" w:rsidR="002C1266" w:rsidRDefault="002C1266" w:rsidP="005C3C09">
            <w:pPr>
              <w:pStyle w:val="Tabletext"/>
              <w:keepNext/>
              <w:keepLines/>
            </w:pPr>
            <w:r>
              <w:t>POLYP 2</w:t>
            </w:r>
          </w:p>
        </w:tc>
        <w:tc>
          <w:tcPr>
            <w:tcW w:w="511" w:type="pct"/>
            <w:shd w:val="clear" w:color="auto" w:fill="auto"/>
            <w:vAlign w:val="center"/>
          </w:tcPr>
          <w:p w14:paraId="48FBEF77" w14:textId="77777777" w:rsidR="002C1266" w:rsidRDefault="002C1266" w:rsidP="005C3C09">
            <w:pPr>
              <w:pStyle w:val="Tabletext"/>
              <w:keepNext/>
              <w:keepLines/>
              <w:jc w:val="center"/>
            </w:pPr>
            <w:r>
              <w:t>4.9</w:t>
            </w:r>
          </w:p>
        </w:tc>
        <w:tc>
          <w:tcPr>
            <w:tcW w:w="511" w:type="pct"/>
            <w:shd w:val="clear" w:color="auto" w:fill="auto"/>
            <w:vAlign w:val="center"/>
          </w:tcPr>
          <w:p w14:paraId="041E8A9E" w14:textId="77777777" w:rsidR="002C1266" w:rsidRDefault="002C1266" w:rsidP="005C3C09">
            <w:pPr>
              <w:pStyle w:val="Tabletext"/>
              <w:keepNext/>
              <w:keepLines/>
              <w:jc w:val="center"/>
            </w:pPr>
            <w:r>
              <w:t>16.7</w:t>
            </w:r>
          </w:p>
        </w:tc>
        <w:tc>
          <w:tcPr>
            <w:tcW w:w="549" w:type="pct"/>
            <w:shd w:val="clear" w:color="auto" w:fill="auto"/>
            <w:vAlign w:val="center"/>
          </w:tcPr>
          <w:p w14:paraId="22B86F78" w14:textId="77777777" w:rsidR="002C1266" w:rsidRDefault="002C1266" w:rsidP="005C3C09">
            <w:pPr>
              <w:pStyle w:val="Tabletext"/>
              <w:keepNext/>
              <w:keepLines/>
              <w:jc w:val="center"/>
            </w:pPr>
            <w:r>
              <w:t>62</w:t>
            </w:r>
          </w:p>
        </w:tc>
        <w:tc>
          <w:tcPr>
            <w:tcW w:w="472" w:type="pct"/>
            <w:shd w:val="clear" w:color="auto" w:fill="auto"/>
            <w:vAlign w:val="center"/>
          </w:tcPr>
          <w:p w14:paraId="18991E8C" w14:textId="77777777" w:rsidR="002C1266" w:rsidRDefault="002C1266" w:rsidP="005C3C09">
            <w:pPr>
              <w:pStyle w:val="Tabletext"/>
              <w:keepNext/>
              <w:keepLines/>
              <w:jc w:val="center"/>
            </w:pPr>
            <w:r>
              <w:t>0.4</w:t>
            </w:r>
          </w:p>
        </w:tc>
        <w:tc>
          <w:tcPr>
            <w:tcW w:w="511" w:type="pct"/>
            <w:shd w:val="clear" w:color="auto" w:fill="auto"/>
            <w:vAlign w:val="center"/>
          </w:tcPr>
          <w:p w14:paraId="45358D11" w14:textId="77777777" w:rsidR="002C1266" w:rsidRDefault="002C1266" w:rsidP="005C3C09">
            <w:pPr>
              <w:pStyle w:val="Tabletext"/>
              <w:keepNext/>
              <w:keepLines/>
              <w:jc w:val="center"/>
            </w:pPr>
            <w:r>
              <w:t>17.5</w:t>
            </w:r>
          </w:p>
        </w:tc>
        <w:tc>
          <w:tcPr>
            <w:tcW w:w="511" w:type="pct"/>
            <w:shd w:val="clear" w:color="auto" w:fill="auto"/>
            <w:vAlign w:val="center"/>
          </w:tcPr>
          <w:p w14:paraId="3271A576" w14:textId="77777777" w:rsidR="002C1266" w:rsidRDefault="002C1266" w:rsidP="005C3C09">
            <w:pPr>
              <w:pStyle w:val="Tabletext"/>
              <w:keepNext/>
              <w:keepLines/>
              <w:jc w:val="center"/>
            </w:pPr>
            <w:r>
              <w:t>65</w:t>
            </w:r>
          </w:p>
        </w:tc>
        <w:tc>
          <w:tcPr>
            <w:tcW w:w="1307" w:type="pct"/>
            <w:shd w:val="clear" w:color="auto" w:fill="auto"/>
          </w:tcPr>
          <w:p w14:paraId="4CE56301" w14:textId="77777777" w:rsidR="002C1266" w:rsidRDefault="002C1266" w:rsidP="005C3C09">
            <w:pPr>
              <w:pStyle w:val="Tabletext"/>
              <w:keepNext/>
              <w:keepLines/>
              <w:jc w:val="center"/>
            </w:pPr>
            <w:r w:rsidRPr="00311091">
              <w:t>4.50 [-1.</w:t>
            </w:r>
            <w:r>
              <w:t>4</w:t>
            </w:r>
            <w:r w:rsidRPr="00311091">
              <w:t>5, 10.</w:t>
            </w:r>
            <w:r>
              <w:t>45</w:t>
            </w:r>
            <w:r w:rsidRPr="00311091">
              <w:t>]</w:t>
            </w:r>
            <w:r>
              <w:t>; p=0.14</w:t>
            </w:r>
          </w:p>
        </w:tc>
      </w:tr>
      <w:tr w:rsidR="002C1266" w14:paraId="6C6595BC" w14:textId="77777777">
        <w:tc>
          <w:tcPr>
            <w:tcW w:w="3693" w:type="pct"/>
            <w:gridSpan w:val="7"/>
            <w:shd w:val="clear" w:color="auto" w:fill="auto"/>
          </w:tcPr>
          <w:p w14:paraId="728F681D" w14:textId="77777777" w:rsidR="002C1266" w:rsidRPr="00D75359" w:rsidRDefault="002C1266" w:rsidP="005C3C09">
            <w:pPr>
              <w:pStyle w:val="Tabletext"/>
              <w:keepNext/>
              <w:keepLines/>
            </w:pPr>
            <w:r w:rsidRPr="00D75359">
              <w:t>Meta-analysis:</w:t>
            </w:r>
          </w:p>
        </w:tc>
        <w:tc>
          <w:tcPr>
            <w:tcW w:w="1307" w:type="pct"/>
            <w:shd w:val="clear" w:color="auto" w:fill="auto"/>
          </w:tcPr>
          <w:p w14:paraId="029A16B3" w14:textId="77777777" w:rsidR="002C1266" w:rsidRPr="00E0206F" w:rsidRDefault="002C1266" w:rsidP="005C3C09">
            <w:pPr>
              <w:pStyle w:val="Tabletext"/>
              <w:keepNext/>
              <w:keepLines/>
              <w:jc w:val="center"/>
              <w:rPr>
                <w:b/>
                <w:bCs/>
              </w:rPr>
            </w:pPr>
            <w:r w:rsidRPr="00E0206F">
              <w:rPr>
                <w:b/>
                <w:bCs/>
              </w:rPr>
              <w:t>5.01 [0.64, 9.37]; p=0.02</w:t>
            </w:r>
          </w:p>
        </w:tc>
      </w:tr>
      <w:tr w:rsidR="002C1266" w14:paraId="000600EE" w14:textId="77777777">
        <w:tc>
          <w:tcPr>
            <w:tcW w:w="3693" w:type="pct"/>
            <w:gridSpan w:val="7"/>
            <w:shd w:val="clear" w:color="auto" w:fill="auto"/>
          </w:tcPr>
          <w:p w14:paraId="102E3CCC" w14:textId="77777777" w:rsidR="002C1266" w:rsidRPr="00D75359" w:rsidRDefault="002C1266" w:rsidP="005C3C09">
            <w:pPr>
              <w:pStyle w:val="Tabletext"/>
              <w:keepNext/>
              <w:keepLines/>
            </w:pPr>
            <w:r w:rsidRPr="00D75359">
              <w:t>Heterogeneity of meta-analysed studies</w:t>
            </w:r>
          </w:p>
        </w:tc>
        <w:tc>
          <w:tcPr>
            <w:tcW w:w="1307" w:type="pct"/>
            <w:shd w:val="clear" w:color="auto" w:fill="auto"/>
          </w:tcPr>
          <w:p w14:paraId="58DF0D17" w14:textId="77777777" w:rsidR="002C1266" w:rsidRPr="005F3BAF" w:rsidRDefault="002C1266" w:rsidP="005C3C09">
            <w:pPr>
              <w:pStyle w:val="Tabletext"/>
              <w:keepNext/>
              <w:keepLines/>
              <w:jc w:val="center"/>
            </w:pPr>
            <w:r w:rsidRPr="005F3BAF">
              <w:t>I</w:t>
            </w:r>
            <w:r w:rsidRPr="005F3BAF">
              <w:rPr>
                <w:vertAlign w:val="superscript"/>
              </w:rPr>
              <w:t>2</w:t>
            </w:r>
            <w:r w:rsidRPr="005F3BAF">
              <w:t>=0%; p=0.</w:t>
            </w:r>
            <w:r>
              <w:t>81</w:t>
            </w:r>
          </w:p>
        </w:tc>
      </w:tr>
    </w:tbl>
    <w:p w14:paraId="015E4836" w14:textId="77777777" w:rsidR="002C1266" w:rsidRDefault="002C1266" w:rsidP="005C3C09">
      <w:pPr>
        <w:pStyle w:val="TableFigureFooter"/>
        <w:keepNext/>
      </w:pPr>
      <w:r w:rsidRPr="0098262F">
        <w:t>Source: Table</w:t>
      </w:r>
      <w:r>
        <w:t xml:space="preserve"> 2.23, p87 </w:t>
      </w:r>
      <w:r w:rsidRPr="0098262F">
        <w:t>of the submission</w:t>
      </w:r>
    </w:p>
    <w:p w14:paraId="1904F75E" w14:textId="1DF9C3A6" w:rsidR="002C1266" w:rsidRDefault="002C1266" w:rsidP="005C3C09">
      <w:pPr>
        <w:pStyle w:val="TableFigureFooter"/>
        <w:keepNext/>
      </w:pPr>
      <w:r w:rsidRPr="2BCE08C6">
        <w:t xml:space="preserve">Abbreviations: CI, confidence interval; EQ-5D-5L, </w:t>
      </w:r>
      <w:proofErr w:type="spellStart"/>
      <w:r w:rsidRPr="2BCE08C6">
        <w:t>EuroQol</w:t>
      </w:r>
      <w:proofErr w:type="spellEnd"/>
      <w:r w:rsidRPr="2BCE08C6">
        <w:t xml:space="preserve"> 5-Dimension 5-level; MD, mean difference; N, total participants in group; SD, standard deviation; </w:t>
      </w:r>
      <w:r w:rsidR="005A0B10">
        <w:t xml:space="preserve">SoC, standard of care; </w:t>
      </w:r>
      <w:r w:rsidRPr="2BCE08C6">
        <w:t xml:space="preserve">VAS, visual analogue score. </w:t>
      </w:r>
    </w:p>
    <w:p w14:paraId="6E9297AC" w14:textId="5AD83EDC" w:rsidR="002C1266" w:rsidRPr="00A71800" w:rsidRDefault="002C1266" w:rsidP="00022C1B">
      <w:pPr>
        <w:pStyle w:val="TableFigureFooter"/>
      </w:pPr>
      <w:r w:rsidRPr="2BCE08C6">
        <w:t xml:space="preserve">Note: Results in </w:t>
      </w:r>
      <w:r w:rsidRPr="2BCE08C6">
        <w:rPr>
          <w:b/>
          <w:bCs/>
        </w:rPr>
        <w:t>bold</w:t>
      </w:r>
      <w:r w:rsidRPr="2BCE08C6">
        <w:t xml:space="preserve"> indicate statistically significant difference (p&lt;0.05) </w:t>
      </w:r>
    </w:p>
    <w:p w14:paraId="08D18B6B" w14:textId="5A385D7E" w:rsidR="002C1266" w:rsidRPr="006A19CF" w:rsidRDefault="002C1266" w:rsidP="368C2FC0">
      <w:pPr>
        <w:pStyle w:val="3-BodyText"/>
        <w:rPr>
          <w:color w:val="0066FF"/>
        </w:rPr>
      </w:pPr>
      <w:r w:rsidRPr="368C2FC0">
        <w:t xml:space="preserve">The meta-analysis of the POLYP trials showed that patients treated with omalizumab experienced a statistically significant greater improvement in EQ-5D-5L VAS score compared to patients treated with </w:t>
      </w:r>
      <w:r w:rsidR="00340590">
        <w:t>SoC (</w:t>
      </w:r>
      <w:r w:rsidRPr="368C2FC0">
        <w:t>placebo</w:t>
      </w:r>
      <w:r w:rsidR="00340590">
        <w:t>)</w:t>
      </w:r>
      <w:r w:rsidRPr="368C2FC0">
        <w:t xml:space="preserve"> (MD=5.01 [95% CI: 0.64, 9.37]; p=0.02). </w:t>
      </w:r>
      <w:r w:rsidRPr="006A19CF">
        <w:t>However,</w:t>
      </w:r>
      <w:r w:rsidR="00C73A4B" w:rsidRPr="006A19CF">
        <w:t xml:space="preserve"> </w:t>
      </w:r>
      <w:r w:rsidR="009061BD" w:rsidRPr="006A19CF">
        <w:t>the</w:t>
      </w:r>
      <w:r w:rsidR="00824344" w:rsidRPr="006A19CF">
        <w:t xml:space="preserve"> individual POLYP 1 and POLYP 2 </w:t>
      </w:r>
      <w:r w:rsidR="004B50A5" w:rsidRPr="006A19CF">
        <w:t>results</w:t>
      </w:r>
      <w:r w:rsidR="00824344" w:rsidRPr="006A19CF">
        <w:t xml:space="preserve"> </w:t>
      </w:r>
      <w:r w:rsidR="009061BD" w:rsidRPr="006A19CF">
        <w:t>showed</w:t>
      </w:r>
      <w:r w:rsidRPr="006A19CF">
        <w:t xml:space="preserve"> no significant differences in EQ-5D-5L VAS score</w:t>
      </w:r>
      <w:r w:rsidR="009A091C" w:rsidRPr="006A19CF">
        <w:t>, noting these analyses have additional potential for bias due to being post-hoc.</w:t>
      </w:r>
    </w:p>
    <w:p w14:paraId="69DE3D25" w14:textId="68ACF44D" w:rsidR="002C1266" w:rsidRPr="00D35BDE" w:rsidRDefault="002C1266" w:rsidP="002C1266">
      <w:pPr>
        <w:pStyle w:val="3-BodyText"/>
      </w:pPr>
      <w:r w:rsidRPr="2BCE08C6">
        <w:t xml:space="preserve">The submission also presented additional secondary outcomes results from POLYP trials. </w:t>
      </w:r>
      <w:r w:rsidRPr="00BD4E08">
        <w:t>These outcomes were not used to support the clinical claim, economic analysis or financial estimates.</w:t>
      </w:r>
      <w:r w:rsidRPr="2BCE08C6">
        <w:t xml:space="preserve"> </w:t>
      </w:r>
      <w:r w:rsidRPr="003E295F">
        <w:t xml:space="preserve">In summary, these results showed that omalizumab </w:t>
      </w:r>
      <w:r w:rsidR="00630F3D" w:rsidRPr="003E295F">
        <w:t xml:space="preserve">provided </w:t>
      </w:r>
      <w:r w:rsidRPr="003E295F">
        <w:t>statistically significant improvements (p&lt;0.05) in Total Nasal Symptom Score (TNSS), Sense of Smell Score (SSS), Posterior Rhinorrhoea Score (PRS), Anterior Rhinorrhoea Score (ARS), the University of Pennsylvania Smell Identification Test (UPSIT), Asthma Quality of Life Questionnaire (AQLQ) and the</w:t>
      </w:r>
      <w:r w:rsidR="006D02EE" w:rsidRPr="006D02EE">
        <w:t xml:space="preserve"> reduction in the need for nasal surgery compared to SoC (placebo) (OR=6.76 [95% CI: 2.26, 20.19]; p=0.0006</w:t>
      </w:r>
      <w:r w:rsidR="003E295F">
        <w:rPr>
          <w:i/>
          <w:iCs/>
        </w:rPr>
        <w:t>.</w:t>
      </w:r>
      <w:r w:rsidR="00D57973">
        <w:rPr>
          <w:i/>
          <w:iCs/>
        </w:rPr>
        <w:t xml:space="preserve"> </w:t>
      </w:r>
      <w:r w:rsidR="00452489" w:rsidRPr="006A19CF">
        <w:t xml:space="preserve">Time to </w:t>
      </w:r>
      <w:r w:rsidR="005B39A9" w:rsidRPr="006A19CF">
        <w:t>first nasa</w:t>
      </w:r>
      <w:r w:rsidR="005B2EA4" w:rsidRPr="006A19CF">
        <w:t>l</w:t>
      </w:r>
      <w:r w:rsidR="005B39A9" w:rsidRPr="006A19CF">
        <w:t xml:space="preserve"> surgery </w:t>
      </w:r>
      <w:r w:rsidR="005B2EA4" w:rsidRPr="006A19CF">
        <w:t xml:space="preserve">was </w:t>
      </w:r>
      <w:r w:rsidR="00E26FDD" w:rsidRPr="006A19CF">
        <w:t>an important factor</w:t>
      </w:r>
      <w:r w:rsidR="00A81441" w:rsidRPr="006A19CF">
        <w:t xml:space="preserve"> in the mepolizumab consideration</w:t>
      </w:r>
      <w:r w:rsidR="00CB5E39" w:rsidRPr="006A19CF">
        <w:t xml:space="preserve"> (para 7.13, mepolizumab, PSD, November 2022 PBAC meeting)</w:t>
      </w:r>
      <w:r w:rsidR="00EE6F79" w:rsidRPr="006A19CF">
        <w:t xml:space="preserve">, however this </w:t>
      </w:r>
      <w:r w:rsidR="007E2A7A" w:rsidRPr="006A19CF">
        <w:t xml:space="preserve">outcome was not </w:t>
      </w:r>
      <w:r w:rsidR="0037679C" w:rsidRPr="006A19CF">
        <w:t xml:space="preserve">included in the </w:t>
      </w:r>
      <w:r w:rsidR="00CE7F66" w:rsidRPr="006A19CF">
        <w:t>ITC</w:t>
      </w:r>
      <w:r w:rsidR="00DF096B" w:rsidRPr="006A19CF">
        <w:t xml:space="preserve"> presen</w:t>
      </w:r>
      <w:r w:rsidR="00665896" w:rsidRPr="006A19CF">
        <w:t>ted in the submis</w:t>
      </w:r>
      <w:r w:rsidR="00FE4C3B" w:rsidRPr="006A19CF">
        <w:t>sion.</w:t>
      </w:r>
      <w:r w:rsidR="00FE4C3B">
        <w:rPr>
          <w:i/>
          <w:iCs/>
        </w:rPr>
        <w:t xml:space="preserve"> </w:t>
      </w:r>
      <w:r w:rsidR="00607517">
        <w:rPr>
          <w:i/>
          <w:iCs/>
        </w:rPr>
        <w:t xml:space="preserve"> </w:t>
      </w:r>
    </w:p>
    <w:p w14:paraId="0DDC93E7" w14:textId="77777777" w:rsidR="002C1266" w:rsidRPr="00D318B4" w:rsidRDefault="002C1266" w:rsidP="002C1266">
      <w:pPr>
        <w:pStyle w:val="5-SubsectionSubheading"/>
      </w:pPr>
      <w:bookmarkStart w:id="38" w:name="_Toc193290745"/>
      <w:r>
        <w:lastRenderedPageBreak/>
        <w:t xml:space="preserve">Indirect </w:t>
      </w:r>
      <w:r w:rsidRPr="00975B0A">
        <w:t xml:space="preserve">comparison of omalizumab versus </w:t>
      </w:r>
      <w:r>
        <w:t>mepolizumab</w:t>
      </w:r>
      <w:bookmarkEnd w:id="38"/>
    </w:p>
    <w:p w14:paraId="2E0A9F4C" w14:textId="71808E39" w:rsidR="008E0CC9" w:rsidRPr="006A19CF" w:rsidRDefault="002C1266" w:rsidP="001366D7">
      <w:pPr>
        <w:pStyle w:val="3-BodyText"/>
      </w:pPr>
      <w:r>
        <w:fldChar w:fldCharType="begin"/>
      </w:r>
      <w:r>
        <w:instrText xml:space="preserve"> REF _Ref190206180 \h </w:instrText>
      </w:r>
      <w:r w:rsidR="00771B7E">
        <w:instrText xml:space="preserve"> \* MERGEFORMAT </w:instrText>
      </w:r>
      <w:r>
        <w:fldChar w:fldCharType="separate"/>
      </w:r>
      <w:r w:rsidR="00CE52BF">
        <w:t xml:space="preserve">Table </w:t>
      </w:r>
      <w:r w:rsidR="00CE52BF">
        <w:rPr>
          <w:noProof/>
        </w:rPr>
        <w:t>7</w:t>
      </w:r>
      <w:r>
        <w:fldChar w:fldCharType="end"/>
      </w:r>
      <w:r>
        <w:t xml:space="preserve"> presents the </w:t>
      </w:r>
      <w:r w:rsidR="004F00B2">
        <w:t xml:space="preserve">ITC </w:t>
      </w:r>
      <w:r>
        <w:t xml:space="preserve">results of the median and mean </w:t>
      </w:r>
      <w:r w:rsidRPr="005512D2">
        <w:t>change from baseline in NPS</w:t>
      </w:r>
      <w:r>
        <w:t xml:space="preserve"> for </w:t>
      </w:r>
      <w:r w:rsidR="006E2F2D">
        <w:t xml:space="preserve">the ITT </w:t>
      </w:r>
      <w:r>
        <w:t>population</w:t>
      </w:r>
      <w:r w:rsidR="004D6646">
        <w:t xml:space="preserve"> and the</w:t>
      </w:r>
      <w:r w:rsidR="006E2F2D">
        <w:t xml:space="preserve"> </w:t>
      </w:r>
      <w:r w:rsidR="004D6646">
        <w:t>post-surgical,</w:t>
      </w:r>
      <w:r>
        <w:t xml:space="preserve"> </w:t>
      </w:r>
      <w:r w:rsidR="003A63C1">
        <w:t xml:space="preserve">post-surgical with BEC </w:t>
      </w:r>
      <w:r w:rsidR="00682DF0" w:rsidRPr="00682DF0">
        <w:t xml:space="preserve">≥300 </w:t>
      </w:r>
      <w:r w:rsidR="00682DF0">
        <w:t>cells</w:t>
      </w:r>
      <w:r w:rsidR="003A63C1" w:rsidRPr="003A63C1">
        <w:t xml:space="preserve">/µL </w:t>
      </w:r>
      <w:r>
        <w:t>and</w:t>
      </w:r>
      <w:r w:rsidR="004F00B2">
        <w:t xml:space="preserve"> restriction-based</w:t>
      </w:r>
      <w:r>
        <w:t xml:space="preserve"> subgroups</w:t>
      </w:r>
      <w:r w:rsidR="00256B7F">
        <w:t>.</w:t>
      </w:r>
      <w:r w:rsidR="00F66CA1">
        <w:t xml:space="preserve"> </w:t>
      </w:r>
      <w:r w:rsidR="00B87FB4">
        <w:t xml:space="preserve">The </w:t>
      </w:r>
      <w:r w:rsidR="008B50F5" w:rsidRPr="00461493">
        <w:t>ITC</w:t>
      </w:r>
      <w:r w:rsidR="00E86EB0" w:rsidRPr="00461493">
        <w:t>s</w:t>
      </w:r>
      <w:r w:rsidR="008B50F5" w:rsidRPr="00461493">
        <w:t xml:space="preserve"> used pooled data rather than</w:t>
      </w:r>
      <w:r w:rsidRPr="00461493">
        <w:t xml:space="preserve"> meta-analysed</w:t>
      </w:r>
      <w:r>
        <w:t xml:space="preserve"> results </w:t>
      </w:r>
      <w:r w:rsidR="00AF074B">
        <w:t>f</w:t>
      </w:r>
      <w:r w:rsidR="00375DE8">
        <w:t>r</w:t>
      </w:r>
      <w:r w:rsidR="00AF074B">
        <w:t>om the P</w:t>
      </w:r>
      <w:r w:rsidR="00375DE8">
        <w:t>O</w:t>
      </w:r>
      <w:r w:rsidR="00AF074B">
        <w:t xml:space="preserve">LYP </w:t>
      </w:r>
      <w:r w:rsidR="00375DE8">
        <w:t>t</w:t>
      </w:r>
      <w:r w:rsidR="00AF074B">
        <w:t>rials</w:t>
      </w:r>
      <w:r>
        <w:t>.</w:t>
      </w:r>
      <w:r w:rsidR="00F53533">
        <w:t xml:space="preserve"> </w:t>
      </w:r>
      <w:r w:rsidR="00051811">
        <w:t xml:space="preserve">The submission </w:t>
      </w:r>
      <w:r w:rsidR="00BB0E8B">
        <w:t xml:space="preserve">stated </w:t>
      </w:r>
      <w:r w:rsidR="000B3F96">
        <w:t xml:space="preserve">that given </w:t>
      </w:r>
      <w:r w:rsidR="00395AB0">
        <w:t>that POLYP 1/2</w:t>
      </w:r>
      <w:r w:rsidR="007067CF">
        <w:t xml:space="preserve"> </w:t>
      </w:r>
      <w:r w:rsidR="00850E59">
        <w:t>were replica</w:t>
      </w:r>
      <w:r w:rsidR="00C14A41">
        <w:t>te trials</w:t>
      </w:r>
      <w:r w:rsidR="00395AB0">
        <w:t>, pool</w:t>
      </w:r>
      <w:r w:rsidR="00FE4289">
        <w:t>ed</w:t>
      </w:r>
      <w:r w:rsidR="00395AB0">
        <w:t xml:space="preserve"> data was considered appropriate</w:t>
      </w:r>
      <w:r w:rsidR="0025764D">
        <w:t xml:space="preserve">. </w:t>
      </w:r>
      <w:r w:rsidR="00124E51" w:rsidRPr="00461493">
        <w:t xml:space="preserve">The approach applied </w:t>
      </w:r>
      <w:r w:rsidR="003525F7" w:rsidRPr="00461493">
        <w:t>wa</w:t>
      </w:r>
      <w:r w:rsidR="00124E51" w:rsidRPr="00461493">
        <w:t>s inconsistent with ITC presented for safety which included meta-analysis results from the POLYP trials and mepolizumab trials</w:t>
      </w:r>
      <w:r w:rsidR="00124E51" w:rsidRPr="006A19CF">
        <w:t xml:space="preserve">. </w:t>
      </w:r>
    </w:p>
    <w:p w14:paraId="224FF390" w14:textId="494FD379" w:rsidR="001366D7" w:rsidRPr="006A19CF" w:rsidRDefault="006C340F" w:rsidP="001366D7">
      <w:pPr>
        <w:pStyle w:val="3-BodyText"/>
      </w:pPr>
      <w:r>
        <w:t xml:space="preserve">The pooled results </w:t>
      </w:r>
      <w:r w:rsidR="00345351">
        <w:t>for NPS</w:t>
      </w:r>
      <w:r w:rsidR="00114E0E">
        <w:t xml:space="preserve"> </w:t>
      </w:r>
      <w:r w:rsidR="0049192D">
        <w:t>(MD</w:t>
      </w:r>
      <w:r w:rsidR="00EC6D3E">
        <w:t>=</w:t>
      </w:r>
      <w:r w:rsidR="0049192D" w:rsidRPr="0049192D">
        <w:rPr>
          <w:lang w:val="en-US"/>
        </w:rPr>
        <w:t>-0.80</w:t>
      </w:r>
      <w:r w:rsidR="00EC6D3E">
        <w:rPr>
          <w:lang w:val="en-US"/>
        </w:rPr>
        <w:t xml:space="preserve"> [</w:t>
      </w:r>
      <w:r w:rsidR="0049192D" w:rsidRPr="0049192D">
        <w:rPr>
          <w:lang w:val="en-US"/>
        </w:rPr>
        <w:t>95% CI: -1.12, -0.48</w:t>
      </w:r>
      <w:r w:rsidR="00EC6D3E">
        <w:rPr>
          <w:lang w:val="en-US"/>
        </w:rPr>
        <w:t>]</w:t>
      </w:r>
      <w:r w:rsidR="006319A5">
        <w:rPr>
          <w:lang w:val="en-US"/>
        </w:rPr>
        <w:t>;</w:t>
      </w:r>
      <w:r w:rsidR="0049192D" w:rsidRPr="0049192D">
        <w:rPr>
          <w:lang w:val="en-US"/>
        </w:rPr>
        <w:t xml:space="preserve"> p&lt;0.00001)</w:t>
      </w:r>
      <w:r w:rsidR="006319A5">
        <w:rPr>
          <w:lang w:val="en-US"/>
        </w:rPr>
        <w:t xml:space="preserve"> </w:t>
      </w:r>
      <w:r w:rsidR="00F431BB">
        <w:rPr>
          <w:lang w:val="en-US"/>
        </w:rPr>
        <w:t xml:space="preserve">reported a lower </w:t>
      </w:r>
      <w:r w:rsidR="0065149B">
        <w:rPr>
          <w:lang w:val="en-US"/>
        </w:rPr>
        <w:t xml:space="preserve">MD compared </w:t>
      </w:r>
      <w:r w:rsidR="002666B1">
        <w:t>with</w:t>
      </w:r>
      <w:r>
        <w:t xml:space="preserve"> the meta-analysed results </w:t>
      </w:r>
      <w:r w:rsidR="0020384F" w:rsidRPr="0020384F">
        <w:rPr>
          <w:lang w:val="en-US"/>
        </w:rPr>
        <w:t>(MD=-0.87 [95% CI: -1.41, -0.33]</w:t>
      </w:r>
      <w:r w:rsidR="0020384F">
        <w:rPr>
          <w:lang w:val="en-US"/>
        </w:rPr>
        <w:t>;</w:t>
      </w:r>
      <w:r w:rsidR="0020384F" w:rsidRPr="0020384F">
        <w:rPr>
          <w:lang w:val="en-US"/>
        </w:rPr>
        <w:t xml:space="preserve"> p=0.002)</w:t>
      </w:r>
      <w:r w:rsidR="0020384F" w:rsidRPr="00FD3E8D">
        <w:t xml:space="preserve"> </w:t>
      </w:r>
      <w:r w:rsidR="00FD3E8D">
        <w:t>but trended in the same direction</w:t>
      </w:r>
      <w:r w:rsidR="0020384F" w:rsidRPr="006A19CF">
        <w:t xml:space="preserve">. </w:t>
      </w:r>
      <w:r w:rsidR="00FD3E8D" w:rsidRPr="006A19CF">
        <w:t xml:space="preserve">Given the availability of </w:t>
      </w:r>
      <w:r w:rsidR="00592B15" w:rsidRPr="006A19CF">
        <w:t>meta-analys</w:t>
      </w:r>
      <w:r w:rsidR="00564228" w:rsidRPr="006A19CF">
        <w:t>ed</w:t>
      </w:r>
      <w:r w:rsidR="00592B15" w:rsidRPr="006A19CF">
        <w:t xml:space="preserve"> results which </w:t>
      </w:r>
      <w:r w:rsidR="00CE4AC5" w:rsidRPr="006A19CF">
        <w:t>ha</w:t>
      </w:r>
      <w:r w:rsidR="003E5113" w:rsidRPr="006A19CF">
        <w:t>ve</w:t>
      </w:r>
      <w:r w:rsidR="00CE4AC5" w:rsidRPr="006A19CF">
        <w:t xml:space="preserve"> the advantage of increasing statistical power</w:t>
      </w:r>
      <w:r w:rsidR="00223113" w:rsidRPr="006A19CF">
        <w:t xml:space="preserve"> and </w:t>
      </w:r>
      <w:r w:rsidR="00CE4AC5" w:rsidRPr="006A19CF">
        <w:t>account for heter</w:t>
      </w:r>
      <w:r w:rsidR="00345B61" w:rsidRPr="006A19CF">
        <w:t>ogeneity</w:t>
      </w:r>
      <w:r w:rsidR="00223113" w:rsidRPr="006A19CF">
        <w:t xml:space="preserve">, </w:t>
      </w:r>
      <w:r w:rsidR="00051E0B" w:rsidRPr="006A19CF">
        <w:t xml:space="preserve">it </w:t>
      </w:r>
      <w:r w:rsidR="00223113" w:rsidRPr="006A19CF">
        <w:t xml:space="preserve">may </w:t>
      </w:r>
      <w:r w:rsidR="00C26E4D">
        <w:t xml:space="preserve">have </w:t>
      </w:r>
      <w:r w:rsidR="00345B61" w:rsidRPr="006A19CF">
        <w:t>provide</w:t>
      </w:r>
      <w:r w:rsidR="00C26E4D">
        <w:t>d</w:t>
      </w:r>
      <w:r w:rsidR="00345B61" w:rsidRPr="006A19CF">
        <w:t xml:space="preserve"> a more precise</w:t>
      </w:r>
      <w:r w:rsidR="00592B15" w:rsidRPr="006A19CF">
        <w:t xml:space="preserve"> </w:t>
      </w:r>
      <w:r w:rsidR="00335733" w:rsidRPr="006A19CF">
        <w:t>estimate of treatment effect</w:t>
      </w:r>
      <w:r w:rsidR="00EE74E8" w:rsidRPr="006A19CF">
        <w:t xml:space="preserve">. </w:t>
      </w:r>
    </w:p>
    <w:p w14:paraId="0757C238" w14:textId="0907F5F9" w:rsidR="002C1266" w:rsidRDefault="002C1266" w:rsidP="0049734B">
      <w:pPr>
        <w:pStyle w:val="Caption"/>
      </w:pPr>
      <w:bookmarkStart w:id="39" w:name="_Ref190206180"/>
      <w:r>
        <w:t xml:space="preserve">Table </w:t>
      </w:r>
      <w:r>
        <w:fldChar w:fldCharType="begin"/>
      </w:r>
      <w:r>
        <w:instrText>SEQ Table \* ARABIC</w:instrText>
      </w:r>
      <w:r>
        <w:fldChar w:fldCharType="separate"/>
      </w:r>
      <w:r w:rsidR="00CE52BF">
        <w:rPr>
          <w:noProof/>
        </w:rPr>
        <w:t>7</w:t>
      </w:r>
      <w:r>
        <w:fldChar w:fldCharType="end"/>
      </w:r>
      <w:bookmarkEnd w:id="39"/>
      <w:r>
        <w:t xml:space="preserve">: </w:t>
      </w:r>
      <w:r w:rsidRPr="004A2F80">
        <w:t xml:space="preserve">Efficacy results </w:t>
      </w:r>
      <w:r w:rsidR="00425D84">
        <w:t xml:space="preserve">of </w:t>
      </w:r>
      <w:r w:rsidR="00C5387E">
        <w:t>the</w:t>
      </w:r>
      <w:r w:rsidR="005E379B">
        <w:t xml:space="preserve"> </w:t>
      </w:r>
      <w:r w:rsidR="00425D84">
        <w:t>ITC</w:t>
      </w:r>
      <w:r w:rsidR="001A776A">
        <w:t>: M</w:t>
      </w:r>
      <w:r w:rsidRPr="004A2F80">
        <w:t>edian and mean change from baseline in NPS</w:t>
      </w:r>
      <w:r>
        <w:t xml:space="preserve"> across trials</w:t>
      </w:r>
    </w:p>
    <w:tbl>
      <w:tblPr>
        <w:tblStyle w:val="TableGrid"/>
        <w:tblW w:w="5000" w:type="pct"/>
        <w:tblLook w:val="04A0" w:firstRow="1" w:lastRow="0" w:firstColumn="1" w:lastColumn="0" w:noHBand="0" w:noVBand="1"/>
      </w:tblPr>
      <w:tblGrid>
        <w:gridCol w:w="1838"/>
        <w:gridCol w:w="1111"/>
        <w:gridCol w:w="590"/>
        <w:gridCol w:w="1277"/>
        <w:gridCol w:w="566"/>
        <w:gridCol w:w="1298"/>
        <w:gridCol w:w="2337"/>
      </w:tblGrid>
      <w:tr w:rsidR="002C1266" w:rsidRPr="002906EF" w14:paraId="183641CC" w14:textId="77777777">
        <w:tc>
          <w:tcPr>
            <w:tcW w:w="1019" w:type="pct"/>
            <w:shd w:val="clear" w:color="auto" w:fill="auto"/>
          </w:tcPr>
          <w:p w14:paraId="4CC2883A" w14:textId="77777777" w:rsidR="002C1266" w:rsidRPr="002906EF" w:rsidRDefault="002C1266" w:rsidP="0049734B">
            <w:pPr>
              <w:pStyle w:val="Tabletext"/>
              <w:keepNext/>
            </w:pPr>
            <w:r w:rsidRPr="00813D5B">
              <w:rPr>
                <w:b/>
                <w:bCs/>
              </w:rPr>
              <w:t xml:space="preserve">Analysis </w:t>
            </w:r>
          </w:p>
        </w:tc>
        <w:tc>
          <w:tcPr>
            <w:tcW w:w="616" w:type="pct"/>
            <w:shd w:val="clear" w:color="auto" w:fill="auto"/>
          </w:tcPr>
          <w:p w14:paraId="5DF10783" w14:textId="35AC05C7" w:rsidR="002C1266" w:rsidRPr="002906EF" w:rsidRDefault="002C1266" w:rsidP="0049734B">
            <w:pPr>
              <w:pStyle w:val="Tabletext"/>
              <w:keepNext/>
              <w:jc w:val="center"/>
            </w:pPr>
            <w:r w:rsidRPr="00813D5B">
              <w:rPr>
                <w:b/>
                <w:bCs/>
              </w:rPr>
              <w:t>Trial ID</w:t>
            </w:r>
          </w:p>
        </w:tc>
        <w:tc>
          <w:tcPr>
            <w:tcW w:w="327" w:type="pct"/>
            <w:shd w:val="clear" w:color="auto" w:fill="auto"/>
          </w:tcPr>
          <w:p w14:paraId="02BA22C1" w14:textId="77777777" w:rsidR="002C1266" w:rsidRPr="002906EF" w:rsidRDefault="002C1266" w:rsidP="0049734B">
            <w:pPr>
              <w:pStyle w:val="Tabletext"/>
              <w:keepNext/>
              <w:jc w:val="center"/>
            </w:pPr>
            <w:r w:rsidRPr="00813D5B">
              <w:rPr>
                <w:b/>
                <w:bCs/>
              </w:rPr>
              <w:t>N</w:t>
            </w:r>
          </w:p>
        </w:tc>
        <w:tc>
          <w:tcPr>
            <w:tcW w:w="708" w:type="pct"/>
            <w:shd w:val="clear" w:color="auto" w:fill="auto"/>
          </w:tcPr>
          <w:p w14:paraId="39D40AC0" w14:textId="77777777" w:rsidR="002C1266" w:rsidRPr="002906EF" w:rsidRDefault="002C1266" w:rsidP="0049734B">
            <w:pPr>
              <w:pStyle w:val="Tabletext"/>
              <w:keepNext/>
              <w:jc w:val="center"/>
            </w:pPr>
            <w:r w:rsidRPr="00813D5B">
              <w:rPr>
                <w:b/>
                <w:bCs/>
              </w:rPr>
              <w:t>Intervention, change from baseline</w:t>
            </w:r>
          </w:p>
        </w:tc>
        <w:tc>
          <w:tcPr>
            <w:tcW w:w="314" w:type="pct"/>
            <w:shd w:val="clear" w:color="auto" w:fill="auto"/>
          </w:tcPr>
          <w:p w14:paraId="16AD29EB" w14:textId="77777777" w:rsidR="002C1266" w:rsidRPr="002906EF" w:rsidRDefault="002C1266" w:rsidP="0049734B">
            <w:pPr>
              <w:pStyle w:val="Tabletext"/>
              <w:keepNext/>
              <w:jc w:val="center"/>
            </w:pPr>
            <w:r w:rsidRPr="00813D5B">
              <w:rPr>
                <w:b/>
                <w:bCs/>
              </w:rPr>
              <w:t>N</w:t>
            </w:r>
          </w:p>
        </w:tc>
        <w:tc>
          <w:tcPr>
            <w:tcW w:w="720" w:type="pct"/>
            <w:shd w:val="clear" w:color="auto" w:fill="auto"/>
          </w:tcPr>
          <w:p w14:paraId="0C2DCF67" w14:textId="333CD6D9" w:rsidR="002C1266" w:rsidRPr="002906EF" w:rsidRDefault="00B603E8" w:rsidP="0049734B">
            <w:pPr>
              <w:pStyle w:val="Tabletext"/>
              <w:keepNext/>
              <w:jc w:val="center"/>
            </w:pPr>
            <w:r>
              <w:rPr>
                <w:b/>
                <w:bCs/>
              </w:rPr>
              <w:t>SoC (placebo)</w:t>
            </w:r>
            <w:r w:rsidR="002C1266" w:rsidRPr="00813D5B">
              <w:rPr>
                <w:b/>
                <w:bCs/>
              </w:rPr>
              <w:t>, change from baseline</w:t>
            </w:r>
          </w:p>
        </w:tc>
        <w:tc>
          <w:tcPr>
            <w:tcW w:w="1296" w:type="pct"/>
            <w:shd w:val="clear" w:color="auto" w:fill="auto"/>
          </w:tcPr>
          <w:p w14:paraId="547A4A47" w14:textId="23666203" w:rsidR="002C1266" w:rsidRDefault="002C1266" w:rsidP="0049734B">
            <w:pPr>
              <w:pStyle w:val="Tabletext"/>
              <w:keepNext/>
              <w:jc w:val="center"/>
              <w:rPr>
                <w:b/>
                <w:bCs/>
              </w:rPr>
            </w:pPr>
            <w:r w:rsidRPr="00813D5B">
              <w:rPr>
                <w:b/>
                <w:bCs/>
              </w:rPr>
              <w:t>Treatment effect</w:t>
            </w:r>
          </w:p>
          <w:p w14:paraId="728077E8" w14:textId="77777777" w:rsidR="002C1266" w:rsidRPr="00813D5B" w:rsidRDefault="002C1266" w:rsidP="0049734B">
            <w:pPr>
              <w:pStyle w:val="Tabletext"/>
              <w:keepNext/>
              <w:jc w:val="center"/>
              <w:rPr>
                <w:b/>
                <w:bCs/>
              </w:rPr>
            </w:pPr>
            <w:r w:rsidRPr="00813D5B">
              <w:rPr>
                <w:b/>
                <w:bCs/>
              </w:rPr>
              <w:t>[95% CI]; p-value</w:t>
            </w:r>
          </w:p>
          <w:p w14:paraId="4584F19F" w14:textId="77777777" w:rsidR="002C1266" w:rsidRPr="002906EF" w:rsidRDefault="002C1266" w:rsidP="0049734B">
            <w:pPr>
              <w:pStyle w:val="Tabletext"/>
              <w:keepNext/>
              <w:jc w:val="center"/>
            </w:pPr>
            <w:r w:rsidRPr="00813D5B">
              <w:rPr>
                <w:b/>
                <w:bCs/>
              </w:rPr>
              <w:t>&lt;0 favour Intervention</w:t>
            </w:r>
          </w:p>
        </w:tc>
      </w:tr>
      <w:tr w:rsidR="002C1266" w:rsidRPr="002906EF" w14:paraId="76F9F74A" w14:textId="77777777">
        <w:tc>
          <w:tcPr>
            <w:tcW w:w="5000" w:type="pct"/>
            <w:gridSpan w:val="7"/>
            <w:shd w:val="clear" w:color="auto" w:fill="auto"/>
          </w:tcPr>
          <w:p w14:paraId="7486EB33" w14:textId="77777777" w:rsidR="002C1266" w:rsidRPr="00353DD8" w:rsidRDefault="002C1266" w:rsidP="0049734B">
            <w:pPr>
              <w:pStyle w:val="Tabletext"/>
              <w:keepNext/>
              <w:rPr>
                <w:b/>
                <w:bCs/>
              </w:rPr>
            </w:pPr>
            <w:r w:rsidRPr="00353DD8">
              <w:rPr>
                <w:b/>
                <w:bCs/>
              </w:rPr>
              <w:t>ITT POPULATION</w:t>
            </w:r>
          </w:p>
        </w:tc>
      </w:tr>
      <w:tr w:rsidR="002C1266" w:rsidRPr="002906EF" w14:paraId="67BD9292" w14:textId="77777777">
        <w:tc>
          <w:tcPr>
            <w:tcW w:w="1019" w:type="pct"/>
            <w:shd w:val="clear" w:color="auto" w:fill="auto"/>
          </w:tcPr>
          <w:p w14:paraId="6E90C425" w14:textId="77777777" w:rsidR="002C1266" w:rsidRPr="002906EF" w:rsidRDefault="002C1266" w:rsidP="0049734B">
            <w:pPr>
              <w:pStyle w:val="Tabletext"/>
              <w:keepNext/>
            </w:pPr>
            <w:r w:rsidRPr="00813D5B">
              <w:t xml:space="preserve">OMA vs. PBO </w:t>
            </w:r>
            <w:r w:rsidRPr="00E138F3">
              <w:rPr>
                <w:vertAlign w:val="superscript"/>
                <w:lang w:val="pt-BR"/>
              </w:rPr>
              <w:t>a</w:t>
            </w:r>
          </w:p>
        </w:tc>
        <w:tc>
          <w:tcPr>
            <w:tcW w:w="616" w:type="pct"/>
            <w:shd w:val="clear" w:color="auto" w:fill="auto"/>
          </w:tcPr>
          <w:p w14:paraId="42C1BFCB" w14:textId="77777777" w:rsidR="002C1266" w:rsidRPr="002906EF" w:rsidRDefault="002C1266" w:rsidP="0049734B">
            <w:pPr>
              <w:pStyle w:val="Tabletext"/>
              <w:keepNext/>
            </w:pPr>
            <w:r w:rsidRPr="00813D5B">
              <w:t xml:space="preserve">POLYP 1/2 </w:t>
            </w:r>
          </w:p>
        </w:tc>
        <w:tc>
          <w:tcPr>
            <w:tcW w:w="327" w:type="pct"/>
            <w:shd w:val="clear" w:color="auto" w:fill="auto"/>
          </w:tcPr>
          <w:p w14:paraId="1DE7AE6F" w14:textId="77777777" w:rsidR="002C1266" w:rsidRPr="002906EF" w:rsidRDefault="002C1266" w:rsidP="0049734B">
            <w:pPr>
              <w:pStyle w:val="Tabletext"/>
              <w:keepNext/>
              <w:jc w:val="center"/>
            </w:pPr>
            <w:r w:rsidRPr="00813D5B">
              <w:t>134</w:t>
            </w:r>
          </w:p>
        </w:tc>
        <w:tc>
          <w:tcPr>
            <w:tcW w:w="708" w:type="pct"/>
            <w:shd w:val="clear" w:color="auto" w:fill="auto"/>
          </w:tcPr>
          <w:p w14:paraId="5C1B8A13" w14:textId="77777777" w:rsidR="002C1266" w:rsidRPr="00E62F18" w:rsidRDefault="002C1266" w:rsidP="0049734B">
            <w:pPr>
              <w:pStyle w:val="Tabletext"/>
              <w:keepNext/>
              <w:jc w:val="center"/>
            </w:pPr>
            <w:r w:rsidRPr="00E62F18">
              <w:t>-1.00</w:t>
            </w:r>
          </w:p>
        </w:tc>
        <w:tc>
          <w:tcPr>
            <w:tcW w:w="314" w:type="pct"/>
            <w:shd w:val="clear" w:color="auto" w:fill="auto"/>
          </w:tcPr>
          <w:p w14:paraId="278CEC1F" w14:textId="77777777" w:rsidR="002C1266" w:rsidRPr="00E62F18" w:rsidRDefault="002C1266" w:rsidP="0049734B">
            <w:pPr>
              <w:pStyle w:val="Tabletext"/>
              <w:keepNext/>
              <w:jc w:val="center"/>
            </w:pPr>
            <w:r w:rsidRPr="00E62F18">
              <w:t>131</w:t>
            </w:r>
          </w:p>
        </w:tc>
        <w:tc>
          <w:tcPr>
            <w:tcW w:w="720" w:type="pct"/>
            <w:shd w:val="clear" w:color="auto" w:fill="auto"/>
          </w:tcPr>
          <w:p w14:paraId="644B2658" w14:textId="77777777" w:rsidR="002C1266" w:rsidRPr="00E62F18" w:rsidRDefault="002C1266" w:rsidP="0049734B">
            <w:pPr>
              <w:pStyle w:val="Tabletext"/>
              <w:keepNext/>
              <w:jc w:val="center"/>
            </w:pPr>
            <w:r w:rsidRPr="00E62F18">
              <w:t>0.00</w:t>
            </w:r>
          </w:p>
        </w:tc>
        <w:tc>
          <w:tcPr>
            <w:tcW w:w="1296" w:type="pct"/>
            <w:shd w:val="clear" w:color="auto" w:fill="auto"/>
          </w:tcPr>
          <w:p w14:paraId="320AE9F1" w14:textId="77777777" w:rsidR="002C1266" w:rsidRPr="00E62F18" w:rsidRDefault="002C1266" w:rsidP="0049734B">
            <w:pPr>
              <w:pStyle w:val="Tabletext"/>
              <w:keepNext/>
              <w:jc w:val="center"/>
            </w:pPr>
            <w:r w:rsidRPr="00E62F18">
              <w:t>-1.00 [-1.53, -0.47]</w:t>
            </w:r>
          </w:p>
        </w:tc>
      </w:tr>
      <w:tr w:rsidR="002C1266" w:rsidRPr="002906EF" w14:paraId="42E644FB" w14:textId="77777777">
        <w:tc>
          <w:tcPr>
            <w:tcW w:w="1019" w:type="pct"/>
            <w:shd w:val="clear" w:color="auto" w:fill="auto"/>
          </w:tcPr>
          <w:p w14:paraId="6EACEAF0" w14:textId="77777777" w:rsidR="002C1266" w:rsidRPr="002906EF" w:rsidRDefault="002C1266" w:rsidP="0049734B">
            <w:pPr>
              <w:pStyle w:val="Tabletext"/>
              <w:keepNext/>
            </w:pPr>
            <w:r w:rsidRPr="00813D5B">
              <w:t>MEPO vs. PBO</w:t>
            </w:r>
            <w:r>
              <w:t xml:space="preserve"> </w:t>
            </w:r>
            <w:r w:rsidRPr="00E138F3">
              <w:rPr>
                <w:vertAlign w:val="superscript"/>
                <w:lang w:val="pt-BR"/>
              </w:rPr>
              <w:t>a</w:t>
            </w:r>
            <w:r w:rsidRPr="00813D5B">
              <w:t xml:space="preserve"> </w:t>
            </w:r>
          </w:p>
        </w:tc>
        <w:tc>
          <w:tcPr>
            <w:tcW w:w="616" w:type="pct"/>
            <w:shd w:val="clear" w:color="auto" w:fill="auto"/>
          </w:tcPr>
          <w:p w14:paraId="7ABDFBB6" w14:textId="77777777" w:rsidR="002C1266" w:rsidRPr="002906EF" w:rsidRDefault="002C1266" w:rsidP="0049734B">
            <w:pPr>
              <w:pStyle w:val="Tabletext"/>
              <w:keepNext/>
            </w:pPr>
            <w:r w:rsidRPr="00813D5B">
              <w:t xml:space="preserve">SYNAPSE </w:t>
            </w:r>
          </w:p>
        </w:tc>
        <w:tc>
          <w:tcPr>
            <w:tcW w:w="327" w:type="pct"/>
            <w:shd w:val="clear" w:color="auto" w:fill="auto"/>
          </w:tcPr>
          <w:p w14:paraId="656E5F24" w14:textId="77777777" w:rsidR="002C1266" w:rsidRPr="002906EF" w:rsidRDefault="002C1266" w:rsidP="0049734B">
            <w:pPr>
              <w:pStyle w:val="Tabletext"/>
              <w:keepNext/>
              <w:jc w:val="center"/>
            </w:pPr>
            <w:r w:rsidRPr="00813D5B">
              <w:t>206</w:t>
            </w:r>
          </w:p>
        </w:tc>
        <w:tc>
          <w:tcPr>
            <w:tcW w:w="708" w:type="pct"/>
            <w:shd w:val="clear" w:color="auto" w:fill="auto"/>
          </w:tcPr>
          <w:p w14:paraId="5644C2D1" w14:textId="77777777" w:rsidR="002C1266" w:rsidRPr="00E62F18" w:rsidRDefault="002C1266" w:rsidP="0049734B">
            <w:pPr>
              <w:pStyle w:val="Tabletext"/>
              <w:keepNext/>
              <w:jc w:val="center"/>
            </w:pPr>
            <w:r w:rsidRPr="00E62F18">
              <w:t>-1.00</w:t>
            </w:r>
          </w:p>
        </w:tc>
        <w:tc>
          <w:tcPr>
            <w:tcW w:w="314" w:type="pct"/>
            <w:shd w:val="clear" w:color="auto" w:fill="auto"/>
          </w:tcPr>
          <w:p w14:paraId="26F2A47E" w14:textId="77777777" w:rsidR="002C1266" w:rsidRPr="00E62F18" w:rsidRDefault="002C1266" w:rsidP="0049734B">
            <w:pPr>
              <w:pStyle w:val="Tabletext"/>
              <w:keepNext/>
              <w:jc w:val="center"/>
            </w:pPr>
            <w:r w:rsidRPr="00E62F18">
              <w:t>201</w:t>
            </w:r>
          </w:p>
        </w:tc>
        <w:tc>
          <w:tcPr>
            <w:tcW w:w="720" w:type="pct"/>
            <w:shd w:val="clear" w:color="auto" w:fill="auto"/>
          </w:tcPr>
          <w:p w14:paraId="459D4413" w14:textId="77777777" w:rsidR="002C1266" w:rsidRPr="00E62F18" w:rsidRDefault="002C1266" w:rsidP="0049734B">
            <w:pPr>
              <w:pStyle w:val="Tabletext"/>
              <w:keepNext/>
              <w:jc w:val="center"/>
            </w:pPr>
            <w:r w:rsidRPr="00E62F18">
              <w:t>0.00</w:t>
            </w:r>
          </w:p>
        </w:tc>
        <w:tc>
          <w:tcPr>
            <w:tcW w:w="1296" w:type="pct"/>
            <w:shd w:val="clear" w:color="auto" w:fill="auto"/>
          </w:tcPr>
          <w:p w14:paraId="3D495FA0" w14:textId="77777777" w:rsidR="002C1266" w:rsidRPr="00E62F18" w:rsidRDefault="002C1266" w:rsidP="0049734B">
            <w:pPr>
              <w:pStyle w:val="Tabletext"/>
              <w:keepNext/>
              <w:jc w:val="center"/>
            </w:pPr>
            <w:r w:rsidRPr="00E62F18">
              <w:t>-0.73 [-1.11, -0.34]</w:t>
            </w:r>
          </w:p>
        </w:tc>
      </w:tr>
      <w:tr w:rsidR="002C1266" w:rsidRPr="002906EF" w14:paraId="36F4C6CB" w14:textId="77777777">
        <w:tc>
          <w:tcPr>
            <w:tcW w:w="1019" w:type="pct"/>
            <w:shd w:val="clear" w:color="auto" w:fill="D9D9D9" w:themeFill="background1" w:themeFillShade="D9"/>
          </w:tcPr>
          <w:p w14:paraId="16F13271" w14:textId="77777777" w:rsidR="002C1266" w:rsidRPr="009E3C21" w:rsidRDefault="002C1266" w:rsidP="0049734B">
            <w:pPr>
              <w:pStyle w:val="Tabletext"/>
              <w:keepNext/>
              <w:rPr>
                <w:lang w:val="pt-BR"/>
              </w:rPr>
            </w:pPr>
            <w:r w:rsidRPr="009E3C21">
              <w:rPr>
                <w:lang w:val="pt-BR"/>
              </w:rPr>
              <w:t>ITC OMA vs. MEPO</w:t>
            </w:r>
            <w:r>
              <w:rPr>
                <w:lang w:val="pt-BR"/>
              </w:rPr>
              <w:t xml:space="preserve"> </w:t>
            </w:r>
            <w:r w:rsidRPr="00E138F3">
              <w:rPr>
                <w:vertAlign w:val="superscript"/>
                <w:lang w:val="pt-BR"/>
              </w:rPr>
              <w:t>a</w:t>
            </w:r>
          </w:p>
        </w:tc>
        <w:tc>
          <w:tcPr>
            <w:tcW w:w="2685" w:type="pct"/>
            <w:gridSpan w:val="5"/>
            <w:shd w:val="clear" w:color="auto" w:fill="D9D9D9" w:themeFill="background1" w:themeFillShade="D9"/>
          </w:tcPr>
          <w:p w14:paraId="3E28EA0C" w14:textId="77777777" w:rsidR="002C1266" w:rsidRPr="00E62F18" w:rsidRDefault="002C1266" w:rsidP="0049734B">
            <w:pPr>
              <w:pStyle w:val="Tabletext"/>
              <w:keepNext/>
              <w:rPr>
                <w:lang w:val="pt-BR"/>
              </w:rPr>
            </w:pPr>
            <w:r w:rsidRPr="00E62F18">
              <w:rPr>
                <w:lang w:val="pt-BR"/>
              </w:rPr>
              <w:t>POLYP 1/2 (N=134) vs. SYNAPSE (N=206)</w:t>
            </w:r>
          </w:p>
        </w:tc>
        <w:tc>
          <w:tcPr>
            <w:tcW w:w="1296" w:type="pct"/>
            <w:shd w:val="clear" w:color="auto" w:fill="D9D9D9" w:themeFill="background1" w:themeFillShade="D9"/>
          </w:tcPr>
          <w:p w14:paraId="42A7B5C3" w14:textId="77777777" w:rsidR="002C1266" w:rsidRPr="00E62F18" w:rsidRDefault="002C1266" w:rsidP="0049734B">
            <w:pPr>
              <w:pStyle w:val="Tabletext"/>
              <w:keepNext/>
              <w:jc w:val="center"/>
            </w:pPr>
            <w:r w:rsidRPr="00E62F18">
              <w:t>-0.27 [-0.92, 0.38]; p=0.4171</w:t>
            </w:r>
          </w:p>
        </w:tc>
      </w:tr>
      <w:tr w:rsidR="002C1266" w:rsidRPr="002906EF" w14:paraId="5BB52F7F" w14:textId="77777777">
        <w:tc>
          <w:tcPr>
            <w:tcW w:w="1019" w:type="pct"/>
            <w:shd w:val="clear" w:color="auto" w:fill="auto"/>
          </w:tcPr>
          <w:p w14:paraId="677B2220" w14:textId="77777777" w:rsidR="002C1266" w:rsidRPr="002906EF" w:rsidRDefault="002C1266" w:rsidP="0049734B">
            <w:pPr>
              <w:pStyle w:val="Tabletext"/>
              <w:keepNext/>
            </w:pPr>
            <w:r w:rsidRPr="00813D5B">
              <w:t xml:space="preserve">OMA vs. PBO </w:t>
            </w:r>
            <w:r w:rsidRPr="00984D8C">
              <w:rPr>
                <w:vertAlign w:val="superscript"/>
              </w:rPr>
              <w:t>b</w:t>
            </w:r>
          </w:p>
        </w:tc>
        <w:tc>
          <w:tcPr>
            <w:tcW w:w="616" w:type="pct"/>
            <w:shd w:val="clear" w:color="auto" w:fill="auto"/>
          </w:tcPr>
          <w:p w14:paraId="79D9114B" w14:textId="77777777" w:rsidR="002C1266" w:rsidRPr="002906EF" w:rsidRDefault="002C1266" w:rsidP="0049734B">
            <w:pPr>
              <w:pStyle w:val="Tabletext"/>
              <w:keepNext/>
            </w:pPr>
            <w:r w:rsidRPr="00813D5B">
              <w:t xml:space="preserve">POLYP 1/2 </w:t>
            </w:r>
          </w:p>
        </w:tc>
        <w:tc>
          <w:tcPr>
            <w:tcW w:w="327" w:type="pct"/>
            <w:shd w:val="clear" w:color="auto" w:fill="auto"/>
          </w:tcPr>
          <w:p w14:paraId="17796B20" w14:textId="77777777" w:rsidR="002C1266" w:rsidRPr="002906EF" w:rsidRDefault="002C1266" w:rsidP="0049734B">
            <w:pPr>
              <w:pStyle w:val="Tabletext"/>
              <w:keepNext/>
              <w:jc w:val="center"/>
            </w:pPr>
            <w:r w:rsidRPr="00813D5B">
              <w:t>134</w:t>
            </w:r>
          </w:p>
        </w:tc>
        <w:tc>
          <w:tcPr>
            <w:tcW w:w="708" w:type="pct"/>
            <w:shd w:val="clear" w:color="auto" w:fill="auto"/>
          </w:tcPr>
          <w:p w14:paraId="280F6E49" w14:textId="77777777" w:rsidR="002C1266" w:rsidRPr="002906EF" w:rsidRDefault="002C1266" w:rsidP="0049734B">
            <w:pPr>
              <w:pStyle w:val="Tabletext"/>
              <w:keepNext/>
              <w:jc w:val="center"/>
            </w:pPr>
            <w:r w:rsidRPr="00813D5B">
              <w:t>-0.99</w:t>
            </w:r>
          </w:p>
        </w:tc>
        <w:tc>
          <w:tcPr>
            <w:tcW w:w="314" w:type="pct"/>
            <w:shd w:val="clear" w:color="auto" w:fill="auto"/>
          </w:tcPr>
          <w:p w14:paraId="7306C12E" w14:textId="77777777" w:rsidR="002C1266" w:rsidRPr="002906EF" w:rsidRDefault="002C1266" w:rsidP="0049734B">
            <w:pPr>
              <w:pStyle w:val="Tabletext"/>
              <w:keepNext/>
              <w:jc w:val="center"/>
            </w:pPr>
            <w:r w:rsidRPr="00813D5B">
              <w:t>131</w:t>
            </w:r>
          </w:p>
        </w:tc>
        <w:tc>
          <w:tcPr>
            <w:tcW w:w="720" w:type="pct"/>
            <w:shd w:val="clear" w:color="auto" w:fill="auto"/>
          </w:tcPr>
          <w:p w14:paraId="652DF9AB" w14:textId="77777777" w:rsidR="002C1266" w:rsidRPr="002906EF" w:rsidRDefault="002C1266" w:rsidP="0049734B">
            <w:pPr>
              <w:pStyle w:val="Tabletext"/>
              <w:keepNext/>
              <w:jc w:val="center"/>
            </w:pPr>
            <w:r w:rsidRPr="00813D5B">
              <w:t>-0.19</w:t>
            </w:r>
          </w:p>
        </w:tc>
        <w:tc>
          <w:tcPr>
            <w:tcW w:w="1296" w:type="pct"/>
            <w:shd w:val="clear" w:color="auto" w:fill="auto"/>
          </w:tcPr>
          <w:p w14:paraId="2FD00DFB" w14:textId="77777777" w:rsidR="002C1266" w:rsidRPr="002906EF" w:rsidRDefault="002C1266" w:rsidP="0049734B">
            <w:pPr>
              <w:pStyle w:val="Tabletext"/>
              <w:keepNext/>
              <w:jc w:val="center"/>
            </w:pPr>
            <w:r w:rsidRPr="00813D5B">
              <w:t>-0.73 [-1.06, -0.41]</w:t>
            </w:r>
          </w:p>
        </w:tc>
      </w:tr>
      <w:tr w:rsidR="002C1266" w:rsidRPr="002906EF" w14:paraId="3D0ED69E" w14:textId="77777777">
        <w:tc>
          <w:tcPr>
            <w:tcW w:w="1019" w:type="pct"/>
            <w:shd w:val="clear" w:color="auto" w:fill="auto"/>
          </w:tcPr>
          <w:p w14:paraId="50EC08C2" w14:textId="77777777" w:rsidR="002C1266" w:rsidRPr="002906EF" w:rsidRDefault="002C1266" w:rsidP="0049734B">
            <w:pPr>
              <w:pStyle w:val="Tabletext"/>
              <w:keepNext/>
            </w:pPr>
            <w:r w:rsidRPr="00813D5B">
              <w:t>MEPO vs. PBO</w:t>
            </w:r>
            <w:r>
              <w:t xml:space="preserve"> </w:t>
            </w:r>
            <w:r w:rsidRPr="00984D8C">
              <w:rPr>
                <w:vertAlign w:val="superscript"/>
              </w:rPr>
              <w:t>b</w:t>
            </w:r>
          </w:p>
        </w:tc>
        <w:tc>
          <w:tcPr>
            <w:tcW w:w="616" w:type="pct"/>
            <w:shd w:val="clear" w:color="auto" w:fill="auto"/>
          </w:tcPr>
          <w:p w14:paraId="0A18CA5B" w14:textId="77777777" w:rsidR="002C1266" w:rsidRPr="002906EF" w:rsidRDefault="002C1266" w:rsidP="0049734B">
            <w:pPr>
              <w:pStyle w:val="Tabletext"/>
              <w:keepNext/>
            </w:pPr>
            <w:r w:rsidRPr="00813D5B">
              <w:t xml:space="preserve">MERIT </w:t>
            </w:r>
          </w:p>
        </w:tc>
        <w:tc>
          <w:tcPr>
            <w:tcW w:w="327" w:type="pct"/>
            <w:shd w:val="clear" w:color="auto" w:fill="auto"/>
          </w:tcPr>
          <w:p w14:paraId="7417AA4C" w14:textId="77777777" w:rsidR="002C1266" w:rsidRPr="002906EF" w:rsidRDefault="002C1266" w:rsidP="0049734B">
            <w:pPr>
              <w:pStyle w:val="Tabletext"/>
              <w:keepNext/>
              <w:jc w:val="center"/>
            </w:pPr>
            <w:r w:rsidRPr="00813D5B">
              <w:t>84</w:t>
            </w:r>
          </w:p>
        </w:tc>
        <w:tc>
          <w:tcPr>
            <w:tcW w:w="708" w:type="pct"/>
            <w:shd w:val="clear" w:color="auto" w:fill="auto"/>
          </w:tcPr>
          <w:p w14:paraId="4AED0A03" w14:textId="77777777" w:rsidR="002C1266" w:rsidRPr="002906EF" w:rsidRDefault="002C1266" w:rsidP="0049734B">
            <w:pPr>
              <w:pStyle w:val="Tabletext"/>
              <w:keepNext/>
              <w:jc w:val="center"/>
            </w:pPr>
            <w:r w:rsidRPr="00813D5B">
              <w:t>-0.65</w:t>
            </w:r>
          </w:p>
        </w:tc>
        <w:tc>
          <w:tcPr>
            <w:tcW w:w="314" w:type="pct"/>
            <w:shd w:val="clear" w:color="auto" w:fill="auto"/>
          </w:tcPr>
          <w:p w14:paraId="02A5FE38" w14:textId="77777777" w:rsidR="002C1266" w:rsidRPr="002906EF" w:rsidRDefault="002C1266" w:rsidP="0049734B">
            <w:pPr>
              <w:pStyle w:val="Tabletext"/>
              <w:keepNext/>
              <w:jc w:val="center"/>
            </w:pPr>
            <w:r w:rsidRPr="00813D5B">
              <w:t>85</w:t>
            </w:r>
          </w:p>
        </w:tc>
        <w:tc>
          <w:tcPr>
            <w:tcW w:w="720" w:type="pct"/>
            <w:shd w:val="clear" w:color="auto" w:fill="auto"/>
          </w:tcPr>
          <w:p w14:paraId="351657C0" w14:textId="77777777" w:rsidR="002C1266" w:rsidRPr="002906EF" w:rsidRDefault="002C1266" w:rsidP="0049734B">
            <w:pPr>
              <w:pStyle w:val="Tabletext"/>
              <w:keepNext/>
              <w:jc w:val="center"/>
            </w:pPr>
            <w:r w:rsidRPr="00813D5B">
              <w:t>-0.19</w:t>
            </w:r>
          </w:p>
        </w:tc>
        <w:tc>
          <w:tcPr>
            <w:tcW w:w="1296" w:type="pct"/>
            <w:shd w:val="clear" w:color="auto" w:fill="auto"/>
          </w:tcPr>
          <w:p w14:paraId="35313D71" w14:textId="77777777" w:rsidR="002C1266" w:rsidRPr="002906EF" w:rsidRDefault="002C1266" w:rsidP="0049734B">
            <w:pPr>
              <w:pStyle w:val="Tabletext"/>
              <w:keepNext/>
              <w:jc w:val="center"/>
            </w:pPr>
            <w:r w:rsidRPr="00813D5B">
              <w:t>-0.47 [-0.92, -0.02]; p=0.043</w:t>
            </w:r>
          </w:p>
        </w:tc>
      </w:tr>
      <w:tr w:rsidR="002C1266" w:rsidRPr="002906EF" w14:paraId="1EAB2B79" w14:textId="77777777">
        <w:tc>
          <w:tcPr>
            <w:tcW w:w="1019" w:type="pct"/>
            <w:shd w:val="clear" w:color="auto" w:fill="D9D9D9" w:themeFill="background1" w:themeFillShade="D9"/>
          </w:tcPr>
          <w:p w14:paraId="7D4C3892" w14:textId="77777777" w:rsidR="002C1266" w:rsidRPr="002906EF" w:rsidRDefault="002C1266" w:rsidP="0049734B">
            <w:pPr>
              <w:pStyle w:val="Tabletext"/>
              <w:keepNext/>
            </w:pPr>
            <w:r w:rsidRPr="00813D5B">
              <w:t>ITC OMA VS MEPO</w:t>
            </w:r>
            <w:r w:rsidRPr="00984D8C">
              <w:rPr>
                <w:vertAlign w:val="superscript"/>
              </w:rPr>
              <w:t xml:space="preserve"> B</w:t>
            </w:r>
            <w:r w:rsidRPr="00813D5B">
              <w:t xml:space="preserve"> (SENSITIVITY) </w:t>
            </w:r>
          </w:p>
        </w:tc>
        <w:tc>
          <w:tcPr>
            <w:tcW w:w="2685" w:type="pct"/>
            <w:gridSpan w:val="5"/>
            <w:shd w:val="clear" w:color="auto" w:fill="D9D9D9" w:themeFill="background1" w:themeFillShade="D9"/>
          </w:tcPr>
          <w:p w14:paraId="70233CAF" w14:textId="77777777" w:rsidR="002C1266" w:rsidRPr="00FC6B59" w:rsidRDefault="002C1266" w:rsidP="0049734B">
            <w:pPr>
              <w:pStyle w:val="Tabletext"/>
              <w:keepNext/>
              <w:rPr>
                <w:lang w:val="pt-BR"/>
              </w:rPr>
            </w:pPr>
            <w:r w:rsidRPr="00FC6B59">
              <w:rPr>
                <w:lang w:val="pt-BR"/>
              </w:rPr>
              <w:t>POLYP 1/2 (N=134) vs. MERIT (N=84)</w:t>
            </w:r>
          </w:p>
        </w:tc>
        <w:tc>
          <w:tcPr>
            <w:tcW w:w="1296" w:type="pct"/>
            <w:shd w:val="clear" w:color="auto" w:fill="D9D9D9" w:themeFill="background1" w:themeFillShade="D9"/>
          </w:tcPr>
          <w:p w14:paraId="12DC0B53" w14:textId="77777777" w:rsidR="002C1266" w:rsidRPr="002906EF" w:rsidRDefault="002C1266" w:rsidP="0049734B">
            <w:pPr>
              <w:pStyle w:val="Tabletext"/>
              <w:keepNext/>
              <w:jc w:val="center"/>
            </w:pPr>
            <w:r w:rsidRPr="00813D5B">
              <w:t>-0.26 [-0.82, 0.30]; p=0.3581</w:t>
            </w:r>
          </w:p>
        </w:tc>
      </w:tr>
      <w:tr w:rsidR="002C1266" w:rsidRPr="002906EF" w14:paraId="12576963" w14:textId="77777777">
        <w:tc>
          <w:tcPr>
            <w:tcW w:w="5000" w:type="pct"/>
            <w:gridSpan w:val="7"/>
            <w:shd w:val="clear" w:color="auto" w:fill="auto"/>
          </w:tcPr>
          <w:p w14:paraId="27AF7CE7" w14:textId="77777777" w:rsidR="002C1266" w:rsidRPr="00CF5046" w:rsidRDefault="002C1266" w:rsidP="0049734B">
            <w:pPr>
              <w:pStyle w:val="Tabletext"/>
              <w:keepNext/>
              <w:rPr>
                <w:b/>
                <w:bCs/>
              </w:rPr>
            </w:pPr>
            <w:r>
              <w:rPr>
                <w:b/>
                <w:bCs/>
              </w:rPr>
              <w:t>P</w:t>
            </w:r>
            <w:r w:rsidRPr="00CF5046">
              <w:rPr>
                <w:b/>
                <w:bCs/>
              </w:rPr>
              <w:t>OST-SURGICAL SUBGROUP</w:t>
            </w:r>
          </w:p>
        </w:tc>
      </w:tr>
      <w:tr w:rsidR="002C1266" w:rsidRPr="002906EF" w14:paraId="1AF65899" w14:textId="77777777">
        <w:tc>
          <w:tcPr>
            <w:tcW w:w="1019" w:type="pct"/>
            <w:shd w:val="clear" w:color="auto" w:fill="auto"/>
          </w:tcPr>
          <w:p w14:paraId="3E72A8AC" w14:textId="77777777" w:rsidR="002C1266" w:rsidRPr="00D1222A" w:rsidRDefault="002C1266" w:rsidP="0049734B">
            <w:pPr>
              <w:pStyle w:val="Tabletext"/>
              <w:keepNext/>
            </w:pPr>
            <w:r w:rsidRPr="00D1222A">
              <w:t xml:space="preserve">OMA vs. PBO </w:t>
            </w:r>
            <w:r w:rsidRPr="00E138F3">
              <w:rPr>
                <w:vertAlign w:val="superscript"/>
                <w:lang w:val="pt-BR"/>
              </w:rPr>
              <w:t>a</w:t>
            </w:r>
          </w:p>
        </w:tc>
        <w:tc>
          <w:tcPr>
            <w:tcW w:w="616" w:type="pct"/>
            <w:shd w:val="clear" w:color="auto" w:fill="auto"/>
          </w:tcPr>
          <w:p w14:paraId="4FBDA0AE" w14:textId="77777777" w:rsidR="002C1266" w:rsidRPr="00D1222A" w:rsidRDefault="002C1266" w:rsidP="0049734B">
            <w:pPr>
              <w:pStyle w:val="Tabletext"/>
              <w:keepNext/>
            </w:pPr>
            <w:r w:rsidRPr="00D1222A">
              <w:t xml:space="preserve">POLYP 1/2 </w:t>
            </w:r>
          </w:p>
        </w:tc>
        <w:tc>
          <w:tcPr>
            <w:tcW w:w="327" w:type="pct"/>
            <w:shd w:val="clear" w:color="auto" w:fill="auto"/>
          </w:tcPr>
          <w:p w14:paraId="38CA1704" w14:textId="77777777" w:rsidR="002C1266" w:rsidRPr="00D1222A" w:rsidRDefault="002C1266" w:rsidP="0049734B">
            <w:pPr>
              <w:pStyle w:val="Tabletext"/>
              <w:keepNext/>
              <w:jc w:val="center"/>
            </w:pPr>
            <w:r w:rsidRPr="00D1222A">
              <w:t>78</w:t>
            </w:r>
          </w:p>
        </w:tc>
        <w:tc>
          <w:tcPr>
            <w:tcW w:w="708" w:type="pct"/>
            <w:shd w:val="clear" w:color="auto" w:fill="auto"/>
          </w:tcPr>
          <w:p w14:paraId="3BE1CC32" w14:textId="77777777" w:rsidR="002C1266" w:rsidRPr="00E62F18" w:rsidRDefault="002C1266" w:rsidP="0049734B">
            <w:pPr>
              <w:pStyle w:val="Tabletext"/>
              <w:keepNext/>
              <w:jc w:val="center"/>
            </w:pPr>
            <w:r w:rsidRPr="00E62F18">
              <w:t>-1.00</w:t>
            </w:r>
          </w:p>
        </w:tc>
        <w:tc>
          <w:tcPr>
            <w:tcW w:w="314" w:type="pct"/>
            <w:shd w:val="clear" w:color="auto" w:fill="auto"/>
          </w:tcPr>
          <w:p w14:paraId="6063688A" w14:textId="77777777" w:rsidR="002C1266" w:rsidRPr="00E62F18" w:rsidRDefault="002C1266" w:rsidP="0049734B">
            <w:pPr>
              <w:pStyle w:val="Tabletext"/>
              <w:keepNext/>
              <w:jc w:val="center"/>
            </w:pPr>
            <w:r w:rsidRPr="00E62F18">
              <w:t>80</w:t>
            </w:r>
          </w:p>
        </w:tc>
        <w:tc>
          <w:tcPr>
            <w:tcW w:w="720" w:type="pct"/>
            <w:shd w:val="clear" w:color="auto" w:fill="auto"/>
          </w:tcPr>
          <w:p w14:paraId="60AE4FD2" w14:textId="77777777" w:rsidR="002C1266" w:rsidRPr="00E62F18" w:rsidRDefault="002C1266" w:rsidP="0049734B">
            <w:pPr>
              <w:pStyle w:val="Tabletext"/>
              <w:keepNext/>
              <w:jc w:val="center"/>
            </w:pPr>
            <w:r w:rsidRPr="00E62F18">
              <w:t>0.00</w:t>
            </w:r>
          </w:p>
        </w:tc>
        <w:tc>
          <w:tcPr>
            <w:tcW w:w="1296" w:type="pct"/>
            <w:shd w:val="clear" w:color="auto" w:fill="auto"/>
          </w:tcPr>
          <w:p w14:paraId="1A391564" w14:textId="77777777" w:rsidR="002C1266" w:rsidRPr="00E62F18" w:rsidRDefault="002C1266" w:rsidP="0049734B">
            <w:pPr>
              <w:pStyle w:val="Tabletext"/>
              <w:keepNext/>
              <w:jc w:val="center"/>
            </w:pPr>
            <w:r w:rsidRPr="00E62F18">
              <w:t>-1.00 [-1.75, -0.25]</w:t>
            </w:r>
          </w:p>
        </w:tc>
      </w:tr>
      <w:tr w:rsidR="002C1266" w:rsidRPr="002906EF" w14:paraId="7583DB3A" w14:textId="77777777">
        <w:tc>
          <w:tcPr>
            <w:tcW w:w="1019" w:type="pct"/>
            <w:shd w:val="clear" w:color="auto" w:fill="auto"/>
          </w:tcPr>
          <w:p w14:paraId="77B1B30E" w14:textId="77777777" w:rsidR="002C1266" w:rsidRPr="00D1222A" w:rsidRDefault="002C1266" w:rsidP="0049734B">
            <w:pPr>
              <w:pStyle w:val="Tabletext"/>
              <w:keepNext/>
            </w:pPr>
            <w:r w:rsidRPr="00D1222A">
              <w:t>MEPO vs. PBO</w:t>
            </w:r>
            <w:r>
              <w:t xml:space="preserve"> </w:t>
            </w:r>
            <w:r w:rsidRPr="00E138F3">
              <w:rPr>
                <w:vertAlign w:val="superscript"/>
                <w:lang w:val="pt-BR"/>
              </w:rPr>
              <w:t>a</w:t>
            </w:r>
            <w:r w:rsidRPr="00D1222A">
              <w:t xml:space="preserve"> </w:t>
            </w:r>
          </w:p>
        </w:tc>
        <w:tc>
          <w:tcPr>
            <w:tcW w:w="616" w:type="pct"/>
            <w:shd w:val="clear" w:color="auto" w:fill="auto"/>
          </w:tcPr>
          <w:p w14:paraId="772F193E" w14:textId="77777777" w:rsidR="002C1266" w:rsidRPr="00D1222A" w:rsidRDefault="002C1266" w:rsidP="0049734B">
            <w:pPr>
              <w:pStyle w:val="Tabletext"/>
              <w:keepNext/>
            </w:pPr>
            <w:r w:rsidRPr="00D1222A">
              <w:t xml:space="preserve">SYNAPSE </w:t>
            </w:r>
          </w:p>
        </w:tc>
        <w:tc>
          <w:tcPr>
            <w:tcW w:w="327" w:type="pct"/>
            <w:shd w:val="clear" w:color="auto" w:fill="auto"/>
          </w:tcPr>
          <w:p w14:paraId="64E854C9" w14:textId="77777777" w:rsidR="002C1266" w:rsidRPr="00D1222A" w:rsidRDefault="002C1266" w:rsidP="0049734B">
            <w:pPr>
              <w:pStyle w:val="Tabletext"/>
              <w:keepNext/>
              <w:jc w:val="center"/>
            </w:pPr>
            <w:r w:rsidRPr="00D1222A">
              <w:t>206</w:t>
            </w:r>
          </w:p>
        </w:tc>
        <w:tc>
          <w:tcPr>
            <w:tcW w:w="708" w:type="pct"/>
            <w:shd w:val="clear" w:color="auto" w:fill="auto"/>
          </w:tcPr>
          <w:p w14:paraId="40098733" w14:textId="77777777" w:rsidR="002C1266" w:rsidRPr="00E62F18" w:rsidRDefault="002C1266" w:rsidP="0049734B">
            <w:pPr>
              <w:pStyle w:val="Tabletext"/>
              <w:keepNext/>
              <w:jc w:val="center"/>
            </w:pPr>
            <w:r w:rsidRPr="00E62F18">
              <w:t>-1.00</w:t>
            </w:r>
          </w:p>
        </w:tc>
        <w:tc>
          <w:tcPr>
            <w:tcW w:w="314" w:type="pct"/>
            <w:shd w:val="clear" w:color="auto" w:fill="auto"/>
          </w:tcPr>
          <w:p w14:paraId="489483BF" w14:textId="77777777" w:rsidR="002C1266" w:rsidRPr="00E62F18" w:rsidRDefault="002C1266" w:rsidP="0049734B">
            <w:pPr>
              <w:pStyle w:val="Tabletext"/>
              <w:keepNext/>
              <w:jc w:val="center"/>
            </w:pPr>
            <w:r w:rsidRPr="00E62F18">
              <w:t>201</w:t>
            </w:r>
          </w:p>
        </w:tc>
        <w:tc>
          <w:tcPr>
            <w:tcW w:w="720" w:type="pct"/>
            <w:shd w:val="clear" w:color="auto" w:fill="auto"/>
          </w:tcPr>
          <w:p w14:paraId="048F1686" w14:textId="77777777" w:rsidR="002C1266" w:rsidRPr="00E62F18" w:rsidRDefault="002C1266" w:rsidP="0049734B">
            <w:pPr>
              <w:pStyle w:val="Tabletext"/>
              <w:keepNext/>
              <w:jc w:val="center"/>
            </w:pPr>
            <w:r w:rsidRPr="00E62F18">
              <w:t>0.00</w:t>
            </w:r>
          </w:p>
        </w:tc>
        <w:tc>
          <w:tcPr>
            <w:tcW w:w="1296" w:type="pct"/>
            <w:shd w:val="clear" w:color="auto" w:fill="auto"/>
          </w:tcPr>
          <w:p w14:paraId="005FC7E2" w14:textId="77777777" w:rsidR="002C1266" w:rsidRPr="00E62F18" w:rsidRDefault="002C1266" w:rsidP="0049734B">
            <w:pPr>
              <w:pStyle w:val="Tabletext"/>
              <w:keepNext/>
              <w:jc w:val="center"/>
            </w:pPr>
            <w:r w:rsidRPr="00E62F18">
              <w:t>-0.73 [-1.11, -0.34]</w:t>
            </w:r>
          </w:p>
        </w:tc>
      </w:tr>
      <w:tr w:rsidR="002C1266" w:rsidRPr="002906EF" w14:paraId="18BB35E5" w14:textId="77777777">
        <w:tc>
          <w:tcPr>
            <w:tcW w:w="1019" w:type="pct"/>
            <w:shd w:val="clear" w:color="auto" w:fill="D9D9D9" w:themeFill="background1" w:themeFillShade="D9"/>
          </w:tcPr>
          <w:p w14:paraId="5E7E2DC4" w14:textId="77777777" w:rsidR="002C1266" w:rsidRPr="009E3C21" w:rsidRDefault="002C1266" w:rsidP="0049734B">
            <w:pPr>
              <w:pStyle w:val="Tabletext"/>
              <w:keepNext/>
              <w:rPr>
                <w:lang w:val="pt-BR"/>
              </w:rPr>
            </w:pPr>
            <w:r w:rsidRPr="009E3C21">
              <w:rPr>
                <w:lang w:val="pt-BR"/>
              </w:rPr>
              <w:t>ITC OMA vs. MEPO</w:t>
            </w:r>
            <w:r>
              <w:rPr>
                <w:lang w:val="pt-BR"/>
              </w:rPr>
              <w:t xml:space="preserve"> </w:t>
            </w:r>
            <w:r w:rsidRPr="00E138F3">
              <w:rPr>
                <w:vertAlign w:val="superscript"/>
                <w:lang w:val="pt-BR"/>
              </w:rPr>
              <w:t>a</w:t>
            </w:r>
            <w:r w:rsidRPr="009E3C21">
              <w:rPr>
                <w:lang w:val="pt-BR"/>
              </w:rPr>
              <w:t xml:space="preserve"> </w:t>
            </w:r>
          </w:p>
        </w:tc>
        <w:tc>
          <w:tcPr>
            <w:tcW w:w="2685" w:type="pct"/>
            <w:gridSpan w:val="5"/>
            <w:shd w:val="clear" w:color="auto" w:fill="D9D9D9" w:themeFill="background1" w:themeFillShade="D9"/>
          </w:tcPr>
          <w:p w14:paraId="29AE9D6F" w14:textId="77777777" w:rsidR="002C1266" w:rsidRPr="00E62F18" w:rsidRDefault="002C1266" w:rsidP="0049734B">
            <w:pPr>
              <w:pStyle w:val="Tabletext"/>
              <w:keepNext/>
              <w:rPr>
                <w:lang w:val="pt-BR"/>
              </w:rPr>
            </w:pPr>
            <w:r w:rsidRPr="00E62F18">
              <w:rPr>
                <w:lang w:val="pt-BR"/>
              </w:rPr>
              <w:t>POLYP 1/2 (N=78) vs. SYNAPSE (N=206)</w:t>
            </w:r>
          </w:p>
        </w:tc>
        <w:tc>
          <w:tcPr>
            <w:tcW w:w="1296" w:type="pct"/>
            <w:shd w:val="clear" w:color="auto" w:fill="D9D9D9" w:themeFill="background1" w:themeFillShade="D9"/>
          </w:tcPr>
          <w:p w14:paraId="2ADA6E03" w14:textId="77777777" w:rsidR="002C1266" w:rsidRPr="00E62F18" w:rsidRDefault="002C1266" w:rsidP="0049734B">
            <w:pPr>
              <w:pStyle w:val="Tabletext"/>
              <w:keepNext/>
              <w:jc w:val="center"/>
            </w:pPr>
            <w:r w:rsidRPr="00E62F18">
              <w:t>-0.27 [-1.12, 0.58]; p=0.5313</w:t>
            </w:r>
          </w:p>
        </w:tc>
      </w:tr>
      <w:tr w:rsidR="002C1266" w:rsidRPr="002906EF" w14:paraId="03E55B29" w14:textId="77777777">
        <w:tc>
          <w:tcPr>
            <w:tcW w:w="1019" w:type="pct"/>
            <w:shd w:val="clear" w:color="auto" w:fill="auto"/>
          </w:tcPr>
          <w:p w14:paraId="610F4CA2" w14:textId="77777777" w:rsidR="002C1266" w:rsidRPr="00D1222A" w:rsidRDefault="002C1266" w:rsidP="0049734B">
            <w:pPr>
              <w:pStyle w:val="Tabletext"/>
              <w:keepNext/>
            </w:pPr>
            <w:r w:rsidRPr="00D1222A">
              <w:t>OMA vs. PBO</w:t>
            </w:r>
            <w:r>
              <w:t xml:space="preserve"> </w:t>
            </w:r>
            <w:r w:rsidRPr="00984D8C">
              <w:rPr>
                <w:vertAlign w:val="superscript"/>
              </w:rPr>
              <w:t>b</w:t>
            </w:r>
          </w:p>
        </w:tc>
        <w:tc>
          <w:tcPr>
            <w:tcW w:w="616" w:type="pct"/>
            <w:shd w:val="clear" w:color="auto" w:fill="auto"/>
          </w:tcPr>
          <w:p w14:paraId="22FBD6C5" w14:textId="77777777" w:rsidR="002C1266" w:rsidRPr="00D1222A" w:rsidRDefault="002C1266" w:rsidP="0049734B">
            <w:pPr>
              <w:pStyle w:val="Tabletext"/>
              <w:keepNext/>
            </w:pPr>
            <w:r w:rsidRPr="00D1222A">
              <w:t xml:space="preserve">POLYP 1/2 </w:t>
            </w:r>
          </w:p>
        </w:tc>
        <w:tc>
          <w:tcPr>
            <w:tcW w:w="327" w:type="pct"/>
            <w:shd w:val="clear" w:color="auto" w:fill="auto"/>
          </w:tcPr>
          <w:p w14:paraId="326AF6F8" w14:textId="77777777" w:rsidR="002C1266" w:rsidRPr="00D1222A" w:rsidRDefault="002C1266" w:rsidP="0049734B">
            <w:pPr>
              <w:pStyle w:val="Tabletext"/>
              <w:keepNext/>
              <w:jc w:val="center"/>
            </w:pPr>
            <w:r w:rsidRPr="00D1222A">
              <w:t>78</w:t>
            </w:r>
          </w:p>
        </w:tc>
        <w:tc>
          <w:tcPr>
            <w:tcW w:w="708" w:type="pct"/>
            <w:shd w:val="clear" w:color="auto" w:fill="auto"/>
          </w:tcPr>
          <w:p w14:paraId="4C9152CC" w14:textId="77777777" w:rsidR="002C1266" w:rsidRPr="00D1222A" w:rsidRDefault="002C1266" w:rsidP="0049734B">
            <w:pPr>
              <w:pStyle w:val="Tabletext"/>
              <w:keepNext/>
              <w:jc w:val="center"/>
            </w:pPr>
            <w:r w:rsidRPr="00D1222A">
              <w:t>-1.04</w:t>
            </w:r>
          </w:p>
        </w:tc>
        <w:tc>
          <w:tcPr>
            <w:tcW w:w="314" w:type="pct"/>
            <w:shd w:val="clear" w:color="auto" w:fill="auto"/>
          </w:tcPr>
          <w:p w14:paraId="7E22399E" w14:textId="77777777" w:rsidR="002C1266" w:rsidRPr="00D1222A" w:rsidRDefault="002C1266" w:rsidP="0049734B">
            <w:pPr>
              <w:pStyle w:val="Tabletext"/>
              <w:keepNext/>
              <w:jc w:val="center"/>
            </w:pPr>
            <w:r w:rsidRPr="00D1222A">
              <w:t>80</w:t>
            </w:r>
          </w:p>
        </w:tc>
        <w:tc>
          <w:tcPr>
            <w:tcW w:w="720" w:type="pct"/>
            <w:shd w:val="clear" w:color="auto" w:fill="auto"/>
          </w:tcPr>
          <w:p w14:paraId="0209569E" w14:textId="77777777" w:rsidR="002C1266" w:rsidRPr="00D1222A" w:rsidRDefault="002C1266" w:rsidP="0049734B">
            <w:pPr>
              <w:pStyle w:val="Tabletext"/>
              <w:keepNext/>
              <w:jc w:val="center"/>
            </w:pPr>
            <w:r w:rsidRPr="00D1222A">
              <w:t>-0.15</w:t>
            </w:r>
          </w:p>
        </w:tc>
        <w:tc>
          <w:tcPr>
            <w:tcW w:w="1296" w:type="pct"/>
            <w:shd w:val="clear" w:color="auto" w:fill="auto"/>
          </w:tcPr>
          <w:p w14:paraId="3B4C9463" w14:textId="77777777" w:rsidR="002C1266" w:rsidRPr="00D1222A" w:rsidRDefault="002C1266" w:rsidP="0049734B">
            <w:pPr>
              <w:pStyle w:val="Tabletext"/>
              <w:keepNext/>
              <w:jc w:val="center"/>
            </w:pPr>
            <w:r w:rsidRPr="00D1222A">
              <w:t>-0.76 [-1.46, -0.06]</w:t>
            </w:r>
          </w:p>
        </w:tc>
      </w:tr>
      <w:tr w:rsidR="002C1266" w:rsidRPr="002906EF" w14:paraId="5899A336" w14:textId="77777777">
        <w:tc>
          <w:tcPr>
            <w:tcW w:w="1019" w:type="pct"/>
            <w:shd w:val="clear" w:color="auto" w:fill="auto"/>
          </w:tcPr>
          <w:p w14:paraId="10E6D910" w14:textId="77777777" w:rsidR="002C1266" w:rsidRPr="00F577C9" w:rsidRDefault="002C1266" w:rsidP="0049734B">
            <w:pPr>
              <w:pStyle w:val="Tabletext"/>
              <w:keepNext/>
              <w:rPr>
                <w:b/>
                <w:bCs/>
              </w:rPr>
            </w:pPr>
            <w:r w:rsidRPr="00D1222A">
              <w:t>MEPO vs. PBO</w:t>
            </w:r>
            <w:r>
              <w:t xml:space="preserve"> </w:t>
            </w:r>
            <w:r w:rsidRPr="00984D8C">
              <w:rPr>
                <w:vertAlign w:val="superscript"/>
              </w:rPr>
              <w:t>b</w:t>
            </w:r>
          </w:p>
        </w:tc>
        <w:tc>
          <w:tcPr>
            <w:tcW w:w="616" w:type="pct"/>
            <w:shd w:val="clear" w:color="auto" w:fill="auto"/>
          </w:tcPr>
          <w:p w14:paraId="0321F1E4" w14:textId="77777777" w:rsidR="002C1266" w:rsidRPr="00D1222A" w:rsidRDefault="002C1266" w:rsidP="0049734B">
            <w:pPr>
              <w:pStyle w:val="Tabletext"/>
              <w:keepNext/>
            </w:pPr>
            <w:r w:rsidRPr="00D1222A">
              <w:t xml:space="preserve">MERIT </w:t>
            </w:r>
          </w:p>
        </w:tc>
        <w:tc>
          <w:tcPr>
            <w:tcW w:w="327" w:type="pct"/>
            <w:shd w:val="clear" w:color="auto" w:fill="auto"/>
          </w:tcPr>
          <w:p w14:paraId="48495859" w14:textId="77777777" w:rsidR="002C1266" w:rsidRPr="00D1222A" w:rsidRDefault="002C1266" w:rsidP="0049734B">
            <w:pPr>
              <w:pStyle w:val="Tabletext"/>
              <w:keepNext/>
              <w:jc w:val="center"/>
            </w:pPr>
            <w:r w:rsidRPr="00D1222A">
              <w:t>55</w:t>
            </w:r>
          </w:p>
        </w:tc>
        <w:tc>
          <w:tcPr>
            <w:tcW w:w="708" w:type="pct"/>
            <w:shd w:val="clear" w:color="auto" w:fill="auto"/>
          </w:tcPr>
          <w:p w14:paraId="40CF21BB" w14:textId="77777777" w:rsidR="002C1266" w:rsidRPr="00D1222A" w:rsidRDefault="002C1266" w:rsidP="0049734B">
            <w:pPr>
              <w:pStyle w:val="Tabletext"/>
              <w:keepNext/>
              <w:jc w:val="center"/>
            </w:pPr>
            <w:r w:rsidRPr="00D1222A">
              <w:t>NR</w:t>
            </w:r>
          </w:p>
        </w:tc>
        <w:tc>
          <w:tcPr>
            <w:tcW w:w="314" w:type="pct"/>
            <w:shd w:val="clear" w:color="auto" w:fill="auto"/>
          </w:tcPr>
          <w:p w14:paraId="654DD3C7" w14:textId="77777777" w:rsidR="002C1266" w:rsidRPr="00D1222A" w:rsidRDefault="002C1266" w:rsidP="0049734B">
            <w:pPr>
              <w:pStyle w:val="Tabletext"/>
              <w:keepNext/>
              <w:jc w:val="center"/>
            </w:pPr>
            <w:r w:rsidRPr="00D1222A">
              <w:t>53</w:t>
            </w:r>
          </w:p>
        </w:tc>
        <w:tc>
          <w:tcPr>
            <w:tcW w:w="720" w:type="pct"/>
            <w:shd w:val="clear" w:color="auto" w:fill="auto"/>
          </w:tcPr>
          <w:p w14:paraId="75C2791E" w14:textId="77777777" w:rsidR="002C1266" w:rsidRPr="00D1222A" w:rsidRDefault="002C1266" w:rsidP="0049734B">
            <w:pPr>
              <w:pStyle w:val="Tabletext"/>
              <w:keepNext/>
              <w:jc w:val="center"/>
            </w:pPr>
            <w:r w:rsidRPr="00D1222A">
              <w:t>NR</w:t>
            </w:r>
          </w:p>
        </w:tc>
        <w:tc>
          <w:tcPr>
            <w:tcW w:w="1296" w:type="pct"/>
            <w:shd w:val="clear" w:color="auto" w:fill="auto"/>
          </w:tcPr>
          <w:p w14:paraId="40AD6F75" w14:textId="77777777" w:rsidR="002C1266" w:rsidRPr="00D1222A" w:rsidRDefault="002C1266" w:rsidP="0049734B">
            <w:pPr>
              <w:pStyle w:val="Tabletext"/>
              <w:keepNext/>
              <w:jc w:val="center"/>
            </w:pPr>
            <w:r w:rsidRPr="00D1222A">
              <w:t>-0.56 [-1.22, 0.10]</w:t>
            </w:r>
          </w:p>
        </w:tc>
      </w:tr>
      <w:tr w:rsidR="002C1266" w:rsidRPr="002906EF" w14:paraId="20BC2C3F" w14:textId="77777777">
        <w:tc>
          <w:tcPr>
            <w:tcW w:w="1019" w:type="pct"/>
            <w:shd w:val="clear" w:color="auto" w:fill="D9D9D9" w:themeFill="background1" w:themeFillShade="D9"/>
          </w:tcPr>
          <w:p w14:paraId="191721F1" w14:textId="717BE66B" w:rsidR="002C1266" w:rsidRPr="00D1222A" w:rsidRDefault="002C1266" w:rsidP="0049734B">
            <w:pPr>
              <w:pStyle w:val="Tabletext"/>
              <w:keepNext/>
            </w:pPr>
            <w:r w:rsidRPr="00D1222A">
              <w:t>ITC OMA vs MEPO</w:t>
            </w:r>
            <w:r>
              <w:t xml:space="preserve"> </w:t>
            </w:r>
            <w:r w:rsidRPr="00984D8C">
              <w:rPr>
                <w:vertAlign w:val="superscript"/>
              </w:rPr>
              <w:t>b</w:t>
            </w:r>
            <w:r w:rsidRPr="00D1222A">
              <w:t xml:space="preserve"> (</w:t>
            </w:r>
            <w:r w:rsidR="00373A9A" w:rsidRPr="00D1222A">
              <w:t>SENSITIVITY</w:t>
            </w:r>
            <w:r w:rsidRPr="00D1222A">
              <w:t xml:space="preserve">) </w:t>
            </w:r>
          </w:p>
        </w:tc>
        <w:tc>
          <w:tcPr>
            <w:tcW w:w="2685" w:type="pct"/>
            <w:gridSpan w:val="5"/>
            <w:shd w:val="clear" w:color="auto" w:fill="D9D9D9" w:themeFill="background1" w:themeFillShade="D9"/>
          </w:tcPr>
          <w:p w14:paraId="277DCD6E" w14:textId="77777777" w:rsidR="002C1266" w:rsidRPr="00FC6B59" w:rsidRDefault="002C1266" w:rsidP="0049734B">
            <w:pPr>
              <w:pStyle w:val="Tabletext"/>
              <w:keepNext/>
              <w:rPr>
                <w:lang w:val="pt-BR"/>
              </w:rPr>
            </w:pPr>
            <w:r w:rsidRPr="00FC6B59">
              <w:rPr>
                <w:lang w:val="pt-BR"/>
              </w:rPr>
              <w:t>POLYP 1/2 (N=78) vs. MERIT (N=55)</w:t>
            </w:r>
          </w:p>
        </w:tc>
        <w:tc>
          <w:tcPr>
            <w:tcW w:w="1296" w:type="pct"/>
            <w:shd w:val="clear" w:color="auto" w:fill="D9D9D9" w:themeFill="background1" w:themeFillShade="D9"/>
          </w:tcPr>
          <w:p w14:paraId="203EB540" w14:textId="77777777" w:rsidR="002C1266" w:rsidRPr="00D1222A" w:rsidRDefault="002C1266" w:rsidP="0049734B">
            <w:pPr>
              <w:pStyle w:val="Tabletext"/>
              <w:keepNext/>
              <w:jc w:val="center"/>
            </w:pPr>
            <w:r w:rsidRPr="00D1222A">
              <w:t>-0.20 [-1.16, 0.76]; p=0.6787</w:t>
            </w:r>
          </w:p>
        </w:tc>
      </w:tr>
      <w:tr w:rsidR="002C1266" w:rsidRPr="002906EF" w14:paraId="33479876" w14:textId="77777777">
        <w:tc>
          <w:tcPr>
            <w:tcW w:w="5000" w:type="pct"/>
            <w:gridSpan w:val="7"/>
            <w:tcBorders>
              <w:bottom w:val="single" w:sz="4" w:space="0" w:color="auto"/>
            </w:tcBorders>
            <w:shd w:val="clear" w:color="auto" w:fill="auto"/>
          </w:tcPr>
          <w:p w14:paraId="6DFA381D" w14:textId="77777777" w:rsidR="002C1266" w:rsidRPr="00375515" w:rsidRDefault="002C1266" w:rsidP="0049734B">
            <w:pPr>
              <w:pStyle w:val="Tabletext"/>
              <w:keepNext/>
              <w:rPr>
                <w:b/>
                <w:bCs/>
              </w:rPr>
            </w:pPr>
            <w:r w:rsidRPr="00375515">
              <w:rPr>
                <w:b/>
                <w:bCs/>
              </w:rPr>
              <w:t xml:space="preserve">POST-SURGICAL </w:t>
            </w:r>
            <w:r>
              <w:rPr>
                <w:b/>
                <w:bCs/>
              </w:rPr>
              <w:t xml:space="preserve">WITH </w:t>
            </w:r>
            <w:r w:rsidRPr="00375515">
              <w:rPr>
                <w:b/>
                <w:bCs/>
              </w:rPr>
              <w:t>BEC ≥300 CELLS/µL SUBGROUP</w:t>
            </w:r>
          </w:p>
        </w:tc>
      </w:tr>
      <w:tr w:rsidR="002C1266" w:rsidRPr="00780E85" w14:paraId="7577F974" w14:textId="77777777">
        <w:tc>
          <w:tcPr>
            <w:tcW w:w="1019" w:type="pct"/>
            <w:tcBorders>
              <w:top w:val="single" w:sz="4" w:space="0" w:color="auto"/>
              <w:left w:val="single" w:sz="4" w:space="0" w:color="auto"/>
              <w:bottom w:val="single" w:sz="4" w:space="0" w:color="auto"/>
              <w:right w:val="single" w:sz="4" w:space="0" w:color="auto"/>
            </w:tcBorders>
            <w:shd w:val="clear" w:color="auto" w:fill="auto"/>
          </w:tcPr>
          <w:p w14:paraId="5CB0BE4F" w14:textId="77777777" w:rsidR="002C1266" w:rsidRPr="00780E85" w:rsidRDefault="002C1266" w:rsidP="0049734B">
            <w:pPr>
              <w:pStyle w:val="Tabletext"/>
              <w:keepNext/>
            </w:pPr>
            <w:r w:rsidRPr="00780E85">
              <w:t xml:space="preserve">OMA vs. PBO </w:t>
            </w:r>
            <w:r w:rsidRPr="00E138F3">
              <w:rPr>
                <w:vertAlign w:val="superscript"/>
                <w:lang w:val="pt-BR"/>
              </w:rPr>
              <w:t>a</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381B591" w14:textId="77777777" w:rsidR="002C1266" w:rsidRPr="00780E85" w:rsidRDefault="002C1266" w:rsidP="0049734B">
            <w:pPr>
              <w:pStyle w:val="Tabletext"/>
              <w:keepNext/>
            </w:pPr>
            <w:r w:rsidRPr="00780E85">
              <w:t xml:space="preserve">POLYP 1/2 </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221F3F7D" w14:textId="77777777" w:rsidR="002C1266" w:rsidRPr="00780E85" w:rsidRDefault="002C1266" w:rsidP="0049734B">
            <w:pPr>
              <w:pStyle w:val="Tabletext"/>
              <w:keepNext/>
              <w:jc w:val="center"/>
            </w:pPr>
            <w:r w:rsidRPr="00780E85">
              <w:t>35</w:t>
            </w:r>
          </w:p>
        </w:tc>
        <w:tc>
          <w:tcPr>
            <w:tcW w:w="708" w:type="pct"/>
            <w:tcBorders>
              <w:top w:val="single" w:sz="4" w:space="0" w:color="auto"/>
              <w:left w:val="single" w:sz="4" w:space="0" w:color="auto"/>
              <w:bottom w:val="single" w:sz="4" w:space="0" w:color="auto"/>
              <w:right w:val="single" w:sz="4" w:space="0" w:color="auto"/>
            </w:tcBorders>
            <w:shd w:val="clear" w:color="auto" w:fill="auto"/>
          </w:tcPr>
          <w:p w14:paraId="23D360A6" w14:textId="77777777" w:rsidR="002C1266" w:rsidRPr="00780E85" w:rsidRDefault="002C1266" w:rsidP="0049734B">
            <w:pPr>
              <w:pStyle w:val="Tabletext"/>
              <w:keepNext/>
              <w:jc w:val="center"/>
            </w:pPr>
            <w:r w:rsidRPr="00780E85">
              <w:t>-0.5</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7F2F89A8" w14:textId="77777777" w:rsidR="002C1266" w:rsidRPr="00780E85" w:rsidRDefault="002C1266" w:rsidP="0049734B">
            <w:pPr>
              <w:pStyle w:val="Tabletext"/>
              <w:keepNext/>
              <w:jc w:val="center"/>
            </w:pPr>
            <w:r w:rsidRPr="00780E85">
              <w:t>47</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5DC0EB90" w14:textId="77777777" w:rsidR="002C1266" w:rsidRPr="00780E85" w:rsidRDefault="002C1266" w:rsidP="0049734B">
            <w:pPr>
              <w:pStyle w:val="Tabletext"/>
              <w:keepNext/>
              <w:jc w:val="center"/>
            </w:pPr>
            <w:r w:rsidRPr="00780E85">
              <w:t>0.0</w:t>
            </w:r>
          </w:p>
        </w:tc>
        <w:tc>
          <w:tcPr>
            <w:tcW w:w="1296" w:type="pct"/>
            <w:tcBorders>
              <w:top w:val="single" w:sz="4" w:space="0" w:color="auto"/>
              <w:left w:val="single" w:sz="4" w:space="0" w:color="auto"/>
              <w:bottom w:val="single" w:sz="4" w:space="0" w:color="auto"/>
              <w:right w:val="single" w:sz="4" w:space="0" w:color="auto"/>
            </w:tcBorders>
            <w:shd w:val="clear" w:color="auto" w:fill="auto"/>
          </w:tcPr>
          <w:p w14:paraId="4D19E521" w14:textId="77777777" w:rsidR="002C1266" w:rsidRPr="00780E85" w:rsidRDefault="002C1266" w:rsidP="0049734B">
            <w:pPr>
              <w:pStyle w:val="Tabletext"/>
              <w:keepNext/>
              <w:jc w:val="center"/>
            </w:pPr>
            <w:r w:rsidRPr="00780E85">
              <w:t>-1.33 [-2.60, -0.07]</w:t>
            </w:r>
          </w:p>
        </w:tc>
      </w:tr>
      <w:tr w:rsidR="002C1266" w:rsidRPr="00780E85" w14:paraId="2CD4D4CA" w14:textId="77777777">
        <w:tc>
          <w:tcPr>
            <w:tcW w:w="1019" w:type="pct"/>
            <w:tcBorders>
              <w:top w:val="single" w:sz="4" w:space="0" w:color="auto"/>
              <w:left w:val="single" w:sz="4" w:space="0" w:color="auto"/>
              <w:bottom w:val="single" w:sz="4" w:space="0" w:color="auto"/>
              <w:right w:val="single" w:sz="4" w:space="0" w:color="auto"/>
            </w:tcBorders>
            <w:shd w:val="clear" w:color="auto" w:fill="auto"/>
          </w:tcPr>
          <w:p w14:paraId="16A9C883" w14:textId="77777777" w:rsidR="002C1266" w:rsidRPr="00780E85" w:rsidRDefault="002C1266" w:rsidP="0049734B">
            <w:pPr>
              <w:pStyle w:val="Tabletext"/>
              <w:keepNext/>
            </w:pPr>
            <w:r w:rsidRPr="00780E85">
              <w:t>MEPO vs. PBO</w:t>
            </w:r>
            <w:r>
              <w:t xml:space="preserve"> </w:t>
            </w:r>
            <w:r w:rsidRPr="00E138F3">
              <w:rPr>
                <w:vertAlign w:val="superscript"/>
                <w:lang w:val="pt-BR"/>
              </w:rPr>
              <w:t>a</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A7DF653" w14:textId="77777777" w:rsidR="002C1266" w:rsidRPr="00780E85" w:rsidRDefault="002C1266" w:rsidP="0049734B">
            <w:pPr>
              <w:pStyle w:val="Tabletext"/>
              <w:keepNext/>
            </w:pPr>
            <w:r w:rsidRPr="00780E85">
              <w:t xml:space="preserve">SYNAPSE </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1D5F927D" w14:textId="77777777" w:rsidR="002C1266" w:rsidRPr="00780E85" w:rsidRDefault="002C1266" w:rsidP="0049734B">
            <w:pPr>
              <w:pStyle w:val="Tabletext"/>
              <w:keepNext/>
              <w:jc w:val="center"/>
            </w:pPr>
            <w:r w:rsidRPr="00780E85">
              <w:t>139</w:t>
            </w:r>
          </w:p>
        </w:tc>
        <w:tc>
          <w:tcPr>
            <w:tcW w:w="708" w:type="pct"/>
            <w:tcBorders>
              <w:top w:val="single" w:sz="4" w:space="0" w:color="auto"/>
              <w:left w:val="single" w:sz="4" w:space="0" w:color="auto"/>
              <w:bottom w:val="single" w:sz="4" w:space="0" w:color="auto"/>
              <w:right w:val="single" w:sz="4" w:space="0" w:color="auto"/>
            </w:tcBorders>
            <w:shd w:val="clear" w:color="auto" w:fill="auto"/>
          </w:tcPr>
          <w:p w14:paraId="7683920F" w14:textId="77777777" w:rsidR="002C1266" w:rsidRPr="00780E85" w:rsidRDefault="002C1266" w:rsidP="0049734B">
            <w:pPr>
              <w:pStyle w:val="Tabletext"/>
              <w:keepNext/>
              <w:jc w:val="center"/>
            </w:pPr>
            <w:r w:rsidRPr="00780E85">
              <w:t>-1.0</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308742AF" w14:textId="77777777" w:rsidR="002C1266" w:rsidRPr="00780E85" w:rsidRDefault="002C1266" w:rsidP="0049734B">
            <w:pPr>
              <w:pStyle w:val="Tabletext"/>
              <w:keepNext/>
              <w:jc w:val="center"/>
            </w:pPr>
            <w:r w:rsidRPr="00780E85">
              <w:t>139</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50160984" w14:textId="77777777" w:rsidR="002C1266" w:rsidRPr="00780E85" w:rsidRDefault="002C1266" w:rsidP="0049734B">
            <w:pPr>
              <w:pStyle w:val="Tabletext"/>
              <w:keepNext/>
              <w:jc w:val="center"/>
            </w:pPr>
            <w:r w:rsidRPr="00780E85">
              <w:t>0.0</w:t>
            </w:r>
          </w:p>
        </w:tc>
        <w:tc>
          <w:tcPr>
            <w:tcW w:w="1296" w:type="pct"/>
            <w:tcBorders>
              <w:top w:val="single" w:sz="4" w:space="0" w:color="auto"/>
              <w:left w:val="single" w:sz="4" w:space="0" w:color="auto"/>
              <w:bottom w:val="single" w:sz="4" w:space="0" w:color="auto"/>
              <w:right w:val="single" w:sz="4" w:space="0" w:color="auto"/>
            </w:tcBorders>
            <w:shd w:val="clear" w:color="auto" w:fill="auto"/>
          </w:tcPr>
          <w:p w14:paraId="7877F3E7" w14:textId="77777777" w:rsidR="002C1266" w:rsidRPr="00780E85" w:rsidRDefault="002C1266" w:rsidP="0049734B">
            <w:pPr>
              <w:pStyle w:val="Tabletext"/>
              <w:keepNext/>
              <w:jc w:val="center"/>
            </w:pPr>
            <w:r w:rsidRPr="00780E85">
              <w:t>-1.00 [-1.50, -0.50]</w:t>
            </w:r>
          </w:p>
        </w:tc>
      </w:tr>
      <w:tr w:rsidR="002C1266" w:rsidRPr="002906EF" w14:paraId="5C07BFC4" w14:textId="77777777">
        <w:tc>
          <w:tcPr>
            <w:tcW w:w="101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40433" w14:textId="77777777" w:rsidR="002C1266" w:rsidRPr="009E3C21" w:rsidRDefault="002C1266" w:rsidP="0049734B">
            <w:pPr>
              <w:pStyle w:val="Tabletext"/>
              <w:keepNext/>
              <w:rPr>
                <w:lang w:val="pt-BR"/>
              </w:rPr>
            </w:pPr>
            <w:r w:rsidRPr="009E3C21">
              <w:rPr>
                <w:lang w:val="pt-BR"/>
              </w:rPr>
              <w:t xml:space="preserve">ITC OMA vs. MEPO </w:t>
            </w:r>
            <w:r w:rsidRPr="00E138F3">
              <w:rPr>
                <w:vertAlign w:val="superscript"/>
                <w:lang w:val="pt-BR"/>
              </w:rPr>
              <w:t>a</w:t>
            </w:r>
          </w:p>
        </w:tc>
        <w:tc>
          <w:tcPr>
            <w:tcW w:w="268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208EB" w14:textId="77777777" w:rsidR="002C1266" w:rsidRPr="00FC6B59" w:rsidRDefault="002C1266" w:rsidP="0049734B">
            <w:pPr>
              <w:pStyle w:val="Tabletext"/>
              <w:keepNext/>
              <w:rPr>
                <w:lang w:val="pt-BR"/>
              </w:rPr>
            </w:pPr>
            <w:r w:rsidRPr="00FC6B59">
              <w:rPr>
                <w:lang w:val="pt-BR"/>
              </w:rPr>
              <w:t>POLYP 1/2 (N=35) vs. SYNAPSE (N=139)</w:t>
            </w:r>
          </w:p>
        </w:tc>
        <w:tc>
          <w:tcPr>
            <w:tcW w:w="12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D0AE4" w14:textId="77777777" w:rsidR="002C1266" w:rsidRPr="00780E85" w:rsidRDefault="002C1266" w:rsidP="0049734B">
            <w:pPr>
              <w:pStyle w:val="Tabletext"/>
              <w:keepNext/>
              <w:jc w:val="center"/>
            </w:pPr>
            <w:r w:rsidRPr="00780E85">
              <w:t>-0.33 [-1.69, 1.03]; p=0.6329</w:t>
            </w:r>
          </w:p>
        </w:tc>
      </w:tr>
      <w:tr w:rsidR="002C1266" w:rsidRPr="002906EF" w14:paraId="3CA1F940" w14:textId="77777777">
        <w:tc>
          <w:tcPr>
            <w:tcW w:w="5000" w:type="pct"/>
            <w:gridSpan w:val="7"/>
            <w:tcBorders>
              <w:top w:val="single" w:sz="4" w:space="0" w:color="auto"/>
            </w:tcBorders>
            <w:shd w:val="clear" w:color="auto" w:fill="auto"/>
          </w:tcPr>
          <w:p w14:paraId="3054B49F" w14:textId="77777777" w:rsidR="002C1266" w:rsidRPr="002906EF" w:rsidRDefault="002C1266" w:rsidP="0049734B">
            <w:pPr>
              <w:pStyle w:val="Tabletext"/>
              <w:keepNext/>
            </w:pPr>
            <w:r w:rsidRPr="009237BC">
              <w:rPr>
                <w:b/>
                <w:bCs/>
              </w:rPr>
              <w:t>RESTRICTION-BASED SUBGROUP</w:t>
            </w:r>
          </w:p>
        </w:tc>
      </w:tr>
      <w:tr w:rsidR="002C1266" w:rsidRPr="002906EF" w14:paraId="256C09FC" w14:textId="77777777">
        <w:tc>
          <w:tcPr>
            <w:tcW w:w="1019" w:type="pct"/>
            <w:shd w:val="clear" w:color="auto" w:fill="auto"/>
          </w:tcPr>
          <w:p w14:paraId="2CE3DCA6" w14:textId="77777777" w:rsidR="002C1266" w:rsidRPr="00544639" w:rsidRDefault="002C1266" w:rsidP="0049734B">
            <w:pPr>
              <w:pStyle w:val="Tabletext"/>
              <w:keepNext/>
            </w:pPr>
            <w:r w:rsidRPr="00544639">
              <w:t>OMA vs. PBO</w:t>
            </w:r>
            <w:r>
              <w:t xml:space="preserve"> </w:t>
            </w:r>
            <w:r w:rsidRPr="00E138F3">
              <w:rPr>
                <w:vertAlign w:val="superscript"/>
                <w:lang w:val="pt-BR"/>
              </w:rPr>
              <w:t>a</w:t>
            </w:r>
          </w:p>
        </w:tc>
        <w:tc>
          <w:tcPr>
            <w:tcW w:w="616" w:type="pct"/>
            <w:shd w:val="clear" w:color="auto" w:fill="auto"/>
          </w:tcPr>
          <w:p w14:paraId="3C94A253" w14:textId="77777777" w:rsidR="002C1266" w:rsidRPr="00544639" w:rsidRDefault="002C1266" w:rsidP="0049734B">
            <w:pPr>
              <w:pStyle w:val="Tabletext"/>
              <w:keepNext/>
            </w:pPr>
            <w:r w:rsidRPr="00544639">
              <w:t xml:space="preserve">POLYP 1/2 </w:t>
            </w:r>
          </w:p>
        </w:tc>
        <w:tc>
          <w:tcPr>
            <w:tcW w:w="327" w:type="pct"/>
            <w:shd w:val="clear" w:color="auto" w:fill="auto"/>
          </w:tcPr>
          <w:p w14:paraId="2D2411B6" w14:textId="77777777" w:rsidR="002C1266" w:rsidRPr="00544639" w:rsidRDefault="002C1266" w:rsidP="0049734B">
            <w:pPr>
              <w:pStyle w:val="Tabletext"/>
              <w:keepNext/>
              <w:jc w:val="center"/>
            </w:pPr>
            <w:r w:rsidRPr="00544639">
              <w:t>78</w:t>
            </w:r>
          </w:p>
        </w:tc>
        <w:tc>
          <w:tcPr>
            <w:tcW w:w="708" w:type="pct"/>
            <w:shd w:val="clear" w:color="auto" w:fill="auto"/>
          </w:tcPr>
          <w:p w14:paraId="5BC83880" w14:textId="77777777" w:rsidR="002C1266" w:rsidRPr="00544639" w:rsidRDefault="002C1266" w:rsidP="0049734B">
            <w:pPr>
              <w:pStyle w:val="Tabletext"/>
              <w:keepNext/>
              <w:jc w:val="center"/>
            </w:pPr>
            <w:r w:rsidRPr="00544639">
              <w:t>-1.0</w:t>
            </w:r>
          </w:p>
        </w:tc>
        <w:tc>
          <w:tcPr>
            <w:tcW w:w="314" w:type="pct"/>
            <w:shd w:val="clear" w:color="auto" w:fill="auto"/>
          </w:tcPr>
          <w:p w14:paraId="2B2C67FC" w14:textId="77777777" w:rsidR="002C1266" w:rsidRPr="00544639" w:rsidRDefault="002C1266" w:rsidP="0049734B">
            <w:pPr>
              <w:pStyle w:val="Tabletext"/>
              <w:keepNext/>
              <w:jc w:val="center"/>
            </w:pPr>
            <w:r w:rsidRPr="00544639">
              <w:t>80</w:t>
            </w:r>
          </w:p>
        </w:tc>
        <w:tc>
          <w:tcPr>
            <w:tcW w:w="720" w:type="pct"/>
            <w:shd w:val="clear" w:color="auto" w:fill="auto"/>
          </w:tcPr>
          <w:p w14:paraId="619DEE16" w14:textId="77777777" w:rsidR="002C1266" w:rsidRPr="00544639" w:rsidRDefault="002C1266" w:rsidP="0049734B">
            <w:pPr>
              <w:pStyle w:val="Tabletext"/>
              <w:keepNext/>
              <w:jc w:val="center"/>
            </w:pPr>
            <w:r w:rsidRPr="00544639">
              <w:t>0.0</w:t>
            </w:r>
          </w:p>
        </w:tc>
        <w:tc>
          <w:tcPr>
            <w:tcW w:w="1296" w:type="pct"/>
            <w:shd w:val="clear" w:color="auto" w:fill="auto"/>
          </w:tcPr>
          <w:p w14:paraId="02C39D09" w14:textId="77777777" w:rsidR="002C1266" w:rsidRPr="00544639" w:rsidRDefault="002C1266" w:rsidP="0049734B">
            <w:pPr>
              <w:pStyle w:val="Tabletext"/>
              <w:keepNext/>
              <w:jc w:val="center"/>
            </w:pPr>
            <w:r w:rsidRPr="00544639">
              <w:t>-1.00 [-1.75, -0.25]</w:t>
            </w:r>
          </w:p>
        </w:tc>
      </w:tr>
      <w:tr w:rsidR="002C1266" w:rsidRPr="002906EF" w14:paraId="02AE1AB5" w14:textId="77777777">
        <w:tc>
          <w:tcPr>
            <w:tcW w:w="1019" w:type="pct"/>
            <w:shd w:val="clear" w:color="auto" w:fill="auto"/>
          </w:tcPr>
          <w:p w14:paraId="3CC7C65E" w14:textId="77777777" w:rsidR="002C1266" w:rsidRPr="00544639" w:rsidRDefault="002C1266" w:rsidP="0049734B">
            <w:pPr>
              <w:pStyle w:val="Tabletext"/>
              <w:keepNext/>
            </w:pPr>
            <w:r w:rsidRPr="00544639">
              <w:t>MEPO vs. PBO</w:t>
            </w:r>
            <w:r>
              <w:t xml:space="preserve"> </w:t>
            </w:r>
            <w:r w:rsidRPr="00E138F3">
              <w:rPr>
                <w:vertAlign w:val="superscript"/>
                <w:lang w:val="pt-BR"/>
              </w:rPr>
              <w:t>a</w:t>
            </w:r>
          </w:p>
        </w:tc>
        <w:tc>
          <w:tcPr>
            <w:tcW w:w="616" w:type="pct"/>
            <w:shd w:val="clear" w:color="auto" w:fill="auto"/>
          </w:tcPr>
          <w:p w14:paraId="5711C902" w14:textId="77777777" w:rsidR="002C1266" w:rsidRPr="00544639" w:rsidRDefault="002C1266" w:rsidP="0049734B">
            <w:pPr>
              <w:pStyle w:val="Tabletext"/>
              <w:keepNext/>
            </w:pPr>
            <w:r w:rsidRPr="00544639">
              <w:t xml:space="preserve">SYNAPSE </w:t>
            </w:r>
          </w:p>
        </w:tc>
        <w:tc>
          <w:tcPr>
            <w:tcW w:w="327" w:type="pct"/>
            <w:shd w:val="clear" w:color="auto" w:fill="auto"/>
          </w:tcPr>
          <w:p w14:paraId="605928CB" w14:textId="77777777" w:rsidR="002C1266" w:rsidRPr="00544639" w:rsidRDefault="002C1266" w:rsidP="0049734B">
            <w:pPr>
              <w:pStyle w:val="Tabletext"/>
              <w:keepNext/>
              <w:jc w:val="center"/>
            </w:pPr>
            <w:r w:rsidRPr="00544639">
              <w:t>139</w:t>
            </w:r>
          </w:p>
        </w:tc>
        <w:tc>
          <w:tcPr>
            <w:tcW w:w="708" w:type="pct"/>
            <w:shd w:val="clear" w:color="auto" w:fill="auto"/>
          </w:tcPr>
          <w:p w14:paraId="577ED022" w14:textId="77777777" w:rsidR="002C1266" w:rsidRPr="00544639" w:rsidRDefault="002C1266" w:rsidP="0049734B">
            <w:pPr>
              <w:pStyle w:val="Tabletext"/>
              <w:keepNext/>
              <w:jc w:val="center"/>
            </w:pPr>
            <w:r w:rsidRPr="00544639">
              <w:t>-1.0</w:t>
            </w:r>
          </w:p>
        </w:tc>
        <w:tc>
          <w:tcPr>
            <w:tcW w:w="314" w:type="pct"/>
            <w:shd w:val="clear" w:color="auto" w:fill="auto"/>
          </w:tcPr>
          <w:p w14:paraId="370380C5" w14:textId="77777777" w:rsidR="002C1266" w:rsidRPr="00544639" w:rsidRDefault="002C1266" w:rsidP="0049734B">
            <w:pPr>
              <w:pStyle w:val="Tabletext"/>
              <w:keepNext/>
              <w:jc w:val="center"/>
            </w:pPr>
            <w:r w:rsidRPr="00544639">
              <w:t>139</w:t>
            </w:r>
          </w:p>
        </w:tc>
        <w:tc>
          <w:tcPr>
            <w:tcW w:w="720" w:type="pct"/>
            <w:shd w:val="clear" w:color="auto" w:fill="auto"/>
          </w:tcPr>
          <w:p w14:paraId="1C6FC5EF" w14:textId="77777777" w:rsidR="002C1266" w:rsidRPr="00544639" w:rsidRDefault="002C1266" w:rsidP="0049734B">
            <w:pPr>
              <w:pStyle w:val="Tabletext"/>
              <w:keepNext/>
              <w:jc w:val="center"/>
            </w:pPr>
            <w:r w:rsidRPr="00544639">
              <w:t>0.0</w:t>
            </w:r>
          </w:p>
        </w:tc>
        <w:tc>
          <w:tcPr>
            <w:tcW w:w="1296" w:type="pct"/>
            <w:shd w:val="clear" w:color="auto" w:fill="auto"/>
          </w:tcPr>
          <w:p w14:paraId="0709166D" w14:textId="77777777" w:rsidR="002C1266" w:rsidRPr="00544639" w:rsidRDefault="002C1266" w:rsidP="0049734B">
            <w:pPr>
              <w:pStyle w:val="Tabletext"/>
              <w:keepNext/>
              <w:jc w:val="center"/>
            </w:pPr>
            <w:r w:rsidRPr="00544639">
              <w:t>-1.00 [-1.50, -0.50]</w:t>
            </w:r>
          </w:p>
        </w:tc>
      </w:tr>
      <w:tr w:rsidR="002C1266" w:rsidRPr="002906EF" w14:paraId="552F9D42" w14:textId="77777777">
        <w:tc>
          <w:tcPr>
            <w:tcW w:w="1019" w:type="pct"/>
            <w:shd w:val="clear" w:color="auto" w:fill="D9D9D9" w:themeFill="background1" w:themeFillShade="D9"/>
          </w:tcPr>
          <w:p w14:paraId="6C4353B0" w14:textId="77777777" w:rsidR="002C1266" w:rsidRPr="009E3C21" w:rsidRDefault="002C1266" w:rsidP="0049734B">
            <w:pPr>
              <w:pStyle w:val="Tabletext"/>
              <w:keepNext/>
              <w:rPr>
                <w:lang w:val="pt-BR"/>
              </w:rPr>
            </w:pPr>
            <w:r w:rsidRPr="009E3C21">
              <w:rPr>
                <w:lang w:val="pt-BR"/>
              </w:rPr>
              <w:t>ITC OMA vs. MEPO</w:t>
            </w:r>
            <w:r>
              <w:rPr>
                <w:lang w:val="pt-BR"/>
              </w:rPr>
              <w:t xml:space="preserve"> </w:t>
            </w:r>
            <w:r w:rsidRPr="00E138F3">
              <w:rPr>
                <w:vertAlign w:val="superscript"/>
                <w:lang w:val="pt-BR"/>
              </w:rPr>
              <w:t>a</w:t>
            </w:r>
          </w:p>
        </w:tc>
        <w:tc>
          <w:tcPr>
            <w:tcW w:w="2685" w:type="pct"/>
            <w:gridSpan w:val="5"/>
            <w:shd w:val="clear" w:color="auto" w:fill="D9D9D9" w:themeFill="background1" w:themeFillShade="D9"/>
          </w:tcPr>
          <w:p w14:paraId="6DEE8125" w14:textId="77777777" w:rsidR="002C1266" w:rsidRPr="00FC6B59" w:rsidRDefault="002C1266" w:rsidP="0049734B">
            <w:pPr>
              <w:pStyle w:val="Tabletext"/>
              <w:keepNext/>
              <w:rPr>
                <w:lang w:val="pt-BR"/>
              </w:rPr>
            </w:pPr>
            <w:r w:rsidRPr="00FC6B59">
              <w:rPr>
                <w:lang w:val="pt-BR"/>
              </w:rPr>
              <w:t>POLYP 1/2 (N=78) vs. SYNAPSE (N=139)</w:t>
            </w:r>
          </w:p>
        </w:tc>
        <w:tc>
          <w:tcPr>
            <w:tcW w:w="1296" w:type="pct"/>
            <w:shd w:val="clear" w:color="auto" w:fill="D9D9D9" w:themeFill="background1" w:themeFillShade="D9"/>
          </w:tcPr>
          <w:p w14:paraId="71DD6319" w14:textId="77777777" w:rsidR="002C1266" w:rsidRPr="00544639" w:rsidRDefault="002C1266" w:rsidP="0049734B">
            <w:pPr>
              <w:pStyle w:val="Tabletext"/>
              <w:keepNext/>
              <w:jc w:val="center"/>
            </w:pPr>
            <w:r w:rsidRPr="00544639">
              <w:t>0 [-0.904, 0.904]; p=1.0</w:t>
            </w:r>
          </w:p>
        </w:tc>
      </w:tr>
    </w:tbl>
    <w:p w14:paraId="1EB0CB77" w14:textId="77777777" w:rsidR="002C1266" w:rsidRDefault="002C1266" w:rsidP="002D0B33">
      <w:pPr>
        <w:pStyle w:val="TableFigureFooter"/>
        <w:jc w:val="both"/>
      </w:pPr>
      <w:r>
        <w:t>Source: Table 2.38, Table 2.40, Table 2.42,</w:t>
      </w:r>
      <w:r w:rsidRPr="007E6F69">
        <w:t xml:space="preserve"> </w:t>
      </w:r>
      <w:r>
        <w:t>Table 2.44, pp119-123 of the submission.</w:t>
      </w:r>
    </w:p>
    <w:p w14:paraId="7F7A4993" w14:textId="3E4B8070" w:rsidR="002C1266" w:rsidRDefault="002C1266" w:rsidP="002D0B33">
      <w:pPr>
        <w:pStyle w:val="TableFigureFooter"/>
        <w:jc w:val="both"/>
      </w:pPr>
      <w:r w:rsidRPr="00D54F72">
        <w:t xml:space="preserve">BEC, blood eosinophil count; </w:t>
      </w:r>
      <w:r>
        <w:t xml:space="preserve">CI, confidence interval; ITC, indirect treatment comparison; ITT, intention-to-treat; MEPO, mepolizumab; </w:t>
      </w:r>
      <w:r w:rsidRPr="00264868">
        <w:t>N, total participants in group</w:t>
      </w:r>
      <w:r>
        <w:t>; NPS, nasal polyp score; OMA, omalizumab; PBO, placebo</w:t>
      </w:r>
      <w:r w:rsidR="00B603E8">
        <w:t>; SoC, standard of care</w:t>
      </w:r>
      <w:r>
        <w:t>.</w:t>
      </w:r>
    </w:p>
    <w:p w14:paraId="11659932" w14:textId="77777777" w:rsidR="002C1266" w:rsidRDefault="002C1266" w:rsidP="002D0B33">
      <w:pPr>
        <w:pStyle w:val="TableFigureFooter"/>
        <w:jc w:val="both"/>
      </w:pPr>
      <w:r w:rsidRPr="00984D8C">
        <w:rPr>
          <w:vertAlign w:val="superscript"/>
        </w:rPr>
        <w:t>a</w:t>
      </w:r>
      <w:r>
        <w:t xml:space="preserve"> Reported as median difference. </w:t>
      </w:r>
    </w:p>
    <w:p w14:paraId="01B2D255" w14:textId="77777777" w:rsidR="002C1266" w:rsidRDefault="002C1266" w:rsidP="002D0B33">
      <w:pPr>
        <w:pStyle w:val="TableFigureFooter"/>
        <w:jc w:val="both"/>
      </w:pPr>
      <w:r w:rsidRPr="00984D8C">
        <w:rPr>
          <w:vertAlign w:val="superscript"/>
        </w:rPr>
        <w:t>b</w:t>
      </w:r>
      <w:r>
        <w:t xml:space="preserve"> Reported as mean difference</w:t>
      </w:r>
    </w:p>
    <w:p w14:paraId="443BBF13" w14:textId="18380B42" w:rsidR="002C1266" w:rsidRDefault="002C1266" w:rsidP="002D0B33">
      <w:pPr>
        <w:pStyle w:val="TableFigureFooter"/>
        <w:jc w:val="both"/>
      </w:pPr>
      <w:r w:rsidRPr="008069EE">
        <w:t xml:space="preserve">Note: the pooled analyses derived from the IPD may differ to the meta-analysed results of the </w:t>
      </w:r>
      <w:r w:rsidRPr="00D75483">
        <w:t>POLYP studies presented in Section 2.5, which reflect adjusted analyses derived from the POLYP CSRs.</w:t>
      </w:r>
    </w:p>
    <w:p w14:paraId="431E1E96" w14:textId="77777777" w:rsidR="002C1266" w:rsidRDefault="002C1266" w:rsidP="002D0B33">
      <w:pPr>
        <w:pStyle w:val="TableFigureFooter"/>
        <w:jc w:val="both"/>
      </w:pPr>
      <w:r>
        <w:lastRenderedPageBreak/>
        <w:t>POLYP: As per the analyses of SYNAPSE, quantile regression was run using R software to account for the following covariates: treatment group, age, sex, race, ethnicity, baseline NPS, asthma, and BEC ≥300 cells/µL.</w:t>
      </w:r>
    </w:p>
    <w:p w14:paraId="7588336F" w14:textId="77777777" w:rsidR="002C1266" w:rsidRDefault="002C1266" w:rsidP="002D0B33">
      <w:pPr>
        <w:pStyle w:val="TableFigureFooter"/>
        <w:jc w:val="both"/>
      </w:pPr>
      <w:r>
        <w:t>SYNAPSE: Adjusted difference in medians; quantile regression with covariates of treatment group, geographic region, baseline score, and</w:t>
      </w:r>
    </w:p>
    <w:p w14:paraId="052A2C74" w14:textId="77777777" w:rsidR="002C1266" w:rsidRDefault="002C1266" w:rsidP="002D0B33">
      <w:pPr>
        <w:pStyle w:val="TableFigureFooter"/>
        <w:jc w:val="both"/>
      </w:pPr>
      <w:r>
        <w:t>loge baseline blood eosinophil count.</w:t>
      </w:r>
    </w:p>
    <w:p w14:paraId="3DF80CD2" w14:textId="77777777" w:rsidR="002C1266" w:rsidRPr="00884FEF" w:rsidRDefault="002C1266" w:rsidP="002D0B33">
      <w:pPr>
        <w:pStyle w:val="TableFigureFooter"/>
        <w:jc w:val="both"/>
      </w:pPr>
      <w:r>
        <w:t>MERIT: The differences in change from baseline scores between treatment groups were assessed using the mixed model repeated model, adjusting for covariates of baseline value, log baseline blood eosinophil count, background INCS use, country, and timepoint, presented as a difference in means between treatment groups.</w:t>
      </w:r>
    </w:p>
    <w:p w14:paraId="7010B458" w14:textId="58A6E840" w:rsidR="002C1266" w:rsidRDefault="002C1266" w:rsidP="002C1266">
      <w:pPr>
        <w:pStyle w:val="3-BodyText"/>
      </w:pPr>
      <w:r w:rsidRPr="00E04615">
        <w:t xml:space="preserve">The </w:t>
      </w:r>
      <w:r>
        <w:t>ITC</w:t>
      </w:r>
      <w:r w:rsidRPr="00E04615">
        <w:t xml:space="preserve"> of median change from baseline in NPS for POLYP 1/2 and SYNAPSE showed no statistically significant difference between omalizumab and mepolizumab </w:t>
      </w:r>
      <w:r w:rsidR="004F4245">
        <w:t>for</w:t>
      </w:r>
      <w:r w:rsidR="006373BB">
        <w:t xml:space="preserve"> the </w:t>
      </w:r>
      <w:r w:rsidR="002E7343">
        <w:t xml:space="preserve">ITT </w:t>
      </w:r>
      <w:r w:rsidR="00FE76DA">
        <w:t xml:space="preserve">population </w:t>
      </w:r>
      <w:r w:rsidR="002E7343">
        <w:t xml:space="preserve">nor </w:t>
      </w:r>
      <w:r w:rsidR="004F4245">
        <w:t xml:space="preserve">for </w:t>
      </w:r>
      <w:r w:rsidR="002E7343">
        <w:t>any of the subgroups</w:t>
      </w:r>
      <w:r w:rsidR="005A5DB1">
        <w:t>:</w:t>
      </w:r>
      <w:r w:rsidR="002E7343">
        <w:t xml:space="preserve"> </w:t>
      </w:r>
      <w:r w:rsidRPr="00E04615">
        <w:t>(MD=-0.27 [95% CI: -0.92, 0.38]; p=0.4171), post-surgical subgroup (MD=-0.27 [95% CI: -1.12, 0.58]; p=0.5313), post-surgical + BEC ≥300 cells/µL subgroup (MD=-0.33 [95% CI: -1.69, 1.03]; p=0.6329) and restriction based subgroup (MD=0 [95% CI: [-0.904, 0.904]; p=1.0).</w:t>
      </w:r>
    </w:p>
    <w:p w14:paraId="4BE38EED" w14:textId="4EDD3ACA" w:rsidR="002C1266" w:rsidRDefault="002C1266" w:rsidP="002C1266">
      <w:pPr>
        <w:pStyle w:val="3-BodyText"/>
      </w:pPr>
      <w:r w:rsidRPr="2BCE08C6">
        <w:t xml:space="preserve">In addition, the sensitivity analyses of the ITC for POLYP 1/2 and the MERIT trial for mean change from baseline in NPS also demonstrated no statistically significant difference between omalizumab and mepolizumab for the ITT populations (MD= </w:t>
      </w:r>
      <w:r w:rsidR="002D0B33">
        <w:softHyphen/>
      </w:r>
      <w:r w:rsidRPr="2BCE08C6">
        <w:t xml:space="preserve">0.26% [95% CI: -0.82, 0.30]) and post-surgical subgroup (MD=-0.20% [95% CI: </w:t>
      </w:r>
      <w:r w:rsidR="002D0B33">
        <w:noBreakHyphen/>
      </w:r>
      <w:r w:rsidRPr="2BCE08C6">
        <w:t>1.16, 0.76]; p=0.6787).</w:t>
      </w:r>
    </w:p>
    <w:p w14:paraId="73EEF6C8" w14:textId="785D2D3F" w:rsidR="00A77253" w:rsidRPr="0048711D" w:rsidRDefault="002C1266" w:rsidP="27E95B3D">
      <w:pPr>
        <w:pStyle w:val="3-BodyText"/>
      </w:pPr>
      <w:r w:rsidRPr="2BCE08C6">
        <w:t>The submission indicated that the upper 95% CIs of the indirect treatment difference for median and mean change from baseline in NPS is less than the non-inferiority margin of 1, supporting the non-inferiority of omalizumab against mepolizumab in the ITT populations</w:t>
      </w:r>
      <w:r w:rsidRPr="0048711D">
        <w:t xml:space="preserve">. This </w:t>
      </w:r>
      <w:r w:rsidR="003022FA" w:rsidRPr="0048711D">
        <w:t>wa</w:t>
      </w:r>
      <w:r w:rsidRPr="0048711D">
        <w:t xml:space="preserve">s uncertain given the transitivity issues identified across trials as described above (para </w:t>
      </w:r>
      <w:r w:rsidRPr="0048711D">
        <w:fldChar w:fldCharType="begin"/>
      </w:r>
      <w:r w:rsidRPr="0048711D">
        <w:instrText xml:space="preserve"> REF _Ref190206018 \r \h </w:instrText>
      </w:r>
      <w:r w:rsidR="0048711D" w:rsidRPr="0048711D">
        <w:instrText xml:space="preserve"> \* MERGEFORMAT </w:instrText>
      </w:r>
      <w:r w:rsidRPr="0048711D">
        <w:fldChar w:fldCharType="separate"/>
      </w:r>
      <w:r w:rsidR="00CE52BF">
        <w:t>6.17</w:t>
      </w:r>
      <w:r w:rsidRPr="0048711D">
        <w:fldChar w:fldCharType="end"/>
      </w:r>
      <w:r w:rsidRPr="0048711D">
        <w:t xml:space="preserve">, </w:t>
      </w:r>
      <w:r w:rsidRPr="0048711D">
        <w:fldChar w:fldCharType="begin"/>
      </w:r>
      <w:r w:rsidRPr="0048711D">
        <w:instrText xml:space="preserve"> REF _Ref190206031 \r \h </w:instrText>
      </w:r>
      <w:r w:rsidR="0048711D" w:rsidRPr="0048711D">
        <w:instrText xml:space="preserve"> \* MERGEFORMAT </w:instrText>
      </w:r>
      <w:r w:rsidRPr="0048711D">
        <w:fldChar w:fldCharType="separate"/>
      </w:r>
      <w:r w:rsidR="00CE52BF">
        <w:t>6.18</w:t>
      </w:r>
      <w:r w:rsidRPr="0048711D">
        <w:fldChar w:fldCharType="end"/>
      </w:r>
      <w:r w:rsidRPr="0048711D">
        <w:t xml:space="preserve"> and </w:t>
      </w:r>
      <w:r w:rsidRPr="0048711D">
        <w:fldChar w:fldCharType="begin"/>
      </w:r>
      <w:r w:rsidRPr="0048711D">
        <w:instrText xml:space="preserve"> REF _Ref190206041 \r \h </w:instrText>
      </w:r>
      <w:r w:rsidR="0048711D" w:rsidRPr="0048711D">
        <w:instrText xml:space="preserve"> \* MERGEFORMAT </w:instrText>
      </w:r>
      <w:r w:rsidRPr="0048711D">
        <w:fldChar w:fldCharType="separate"/>
      </w:r>
      <w:r w:rsidR="00CE52BF">
        <w:t>6.19</w:t>
      </w:r>
      <w:r w:rsidRPr="0048711D">
        <w:fldChar w:fldCharType="end"/>
      </w:r>
      <w:r w:rsidRPr="0048711D">
        <w:t>)</w:t>
      </w:r>
      <w:r w:rsidR="007464CB" w:rsidRPr="0048711D">
        <w:t>;</w:t>
      </w:r>
      <w:r w:rsidRPr="0048711D">
        <w:t xml:space="preserve"> the MCID for the non-inferiority margin </w:t>
      </w:r>
      <w:r w:rsidR="00790BB3" w:rsidRPr="0048711D">
        <w:t xml:space="preserve">was </w:t>
      </w:r>
      <w:r w:rsidRPr="0048711D">
        <w:t xml:space="preserve">not strongly justified, and </w:t>
      </w:r>
      <w:r w:rsidR="00D35B66" w:rsidRPr="0048711D">
        <w:t xml:space="preserve">the </w:t>
      </w:r>
      <w:r w:rsidR="007F53C0" w:rsidRPr="0048711D">
        <w:t>use of</w:t>
      </w:r>
      <w:r w:rsidR="001E4056" w:rsidRPr="0048711D">
        <w:t xml:space="preserve"> </w:t>
      </w:r>
      <w:r w:rsidRPr="0048711D">
        <w:t xml:space="preserve">post-hoc analyses with the potential for additional bias.  </w:t>
      </w:r>
    </w:p>
    <w:p w14:paraId="317E4AF2" w14:textId="463CC5AF" w:rsidR="002C1266" w:rsidRPr="00A77253" w:rsidRDefault="004B40B9" w:rsidP="2BCE08C6">
      <w:pPr>
        <w:pStyle w:val="3-BodyText"/>
      </w:pPr>
      <w:r>
        <w:fldChar w:fldCharType="begin"/>
      </w:r>
      <w:r>
        <w:instrText xml:space="preserve"> REF _Ref193093636 \h </w:instrText>
      </w:r>
      <w:r>
        <w:fldChar w:fldCharType="separate"/>
      </w:r>
      <w:r w:rsidR="00CE52BF" w:rsidRPr="2BCE08C6">
        <w:t xml:space="preserve">Table </w:t>
      </w:r>
      <w:r w:rsidR="00CE52BF">
        <w:rPr>
          <w:noProof/>
        </w:rPr>
        <w:t>8</w:t>
      </w:r>
      <w:r>
        <w:fldChar w:fldCharType="end"/>
      </w:r>
      <w:r>
        <w:t xml:space="preserve"> </w:t>
      </w:r>
      <w:r w:rsidR="002C1266" w:rsidRPr="2BCE08C6">
        <w:t>presents the results of the responder outcomes based on ≥1-point improvement in NPS, ≥2-point improvement in NPS, and ≥8.9-point improvement in SNOT-22 from baseline across all trials for the ITC population and subgroups, including meta-analyses and ITC results.</w:t>
      </w:r>
      <w:bookmarkStart w:id="40" w:name="_Ref190206590"/>
    </w:p>
    <w:p w14:paraId="550DFC28" w14:textId="2141A9B3" w:rsidR="002C1266" w:rsidRDefault="002C1266" w:rsidP="002D0B33">
      <w:pPr>
        <w:pStyle w:val="Caption"/>
      </w:pPr>
      <w:bookmarkStart w:id="41" w:name="_Ref190453872"/>
      <w:bookmarkStart w:id="42" w:name="_Ref193093636"/>
      <w:r w:rsidRPr="2BCE08C6">
        <w:lastRenderedPageBreak/>
        <w:t xml:space="preserve">Table </w:t>
      </w:r>
      <w:r>
        <w:fldChar w:fldCharType="begin"/>
      </w:r>
      <w:r>
        <w:fldChar w:fldCharType="separate"/>
      </w:r>
      <w:r>
        <w:fldChar w:fldCharType="end"/>
      </w:r>
      <w:bookmarkEnd w:id="40"/>
      <w:bookmarkEnd w:id="41"/>
      <w:r>
        <w:fldChar w:fldCharType="begin"/>
      </w:r>
      <w:r>
        <w:instrText xml:space="preserve"> SEQ Table \* ARABIC </w:instrText>
      </w:r>
      <w:r>
        <w:fldChar w:fldCharType="separate"/>
      </w:r>
      <w:r w:rsidR="00CE52BF">
        <w:rPr>
          <w:noProof/>
        </w:rPr>
        <w:t>8</w:t>
      </w:r>
      <w:r>
        <w:fldChar w:fldCharType="end"/>
      </w:r>
      <w:bookmarkEnd w:id="42"/>
      <w:r w:rsidR="00755585" w:rsidRPr="2BCE08C6">
        <w:t>:</w:t>
      </w:r>
      <w:r w:rsidRPr="2BCE08C6">
        <w:t xml:space="preserve"> Efficacy results of </w:t>
      </w:r>
      <w:r w:rsidR="004626EE">
        <w:t>ITC: R</w:t>
      </w:r>
      <w:r w:rsidRPr="2BCE08C6">
        <w:t>esponder outcomes across trials</w:t>
      </w:r>
    </w:p>
    <w:tbl>
      <w:tblPr>
        <w:tblStyle w:val="TableGrid"/>
        <w:tblW w:w="0" w:type="auto"/>
        <w:tblLook w:val="04A0" w:firstRow="1" w:lastRow="0" w:firstColumn="1" w:lastColumn="0" w:noHBand="0" w:noVBand="1"/>
      </w:tblPr>
      <w:tblGrid>
        <w:gridCol w:w="1814"/>
        <w:gridCol w:w="1547"/>
        <w:gridCol w:w="1817"/>
        <w:gridCol w:w="1529"/>
        <w:gridCol w:w="2310"/>
      </w:tblGrid>
      <w:tr w:rsidR="002C1266" w:rsidRPr="00FB4D49" w14:paraId="5C924AED" w14:textId="77777777">
        <w:tc>
          <w:tcPr>
            <w:tcW w:w="1814" w:type="dxa"/>
            <w:shd w:val="clear" w:color="auto" w:fill="auto"/>
          </w:tcPr>
          <w:p w14:paraId="148F66FF" w14:textId="77777777" w:rsidR="002C1266" w:rsidRPr="00FB4D49" w:rsidRDefault="002C1266" w:rsidP="002D0B33">
            <w:pPr>
              <w:pStyle w:val="Tabletext"/>
              <w:keepNext/>
              <w:keepLines/>
              <w:rPr>
                <w:b/>
                <w:bCs/>
              </w:rPr>
            </w:pPr>
            <w:r w:rsidRPr="00FB4D49">
              <w:rPr>
                <w:b/>
                <w:bCs/>
              </w:rPr>
              <w:t>Analysis</w:t>
            </w:r>
          </w:p>
        </w:tc>
        <w:tc>
          <w:tcPr>
            <w:tcW w:w="1547" w:type="dxa"/>
            <w:shd w:val="clear" w:color="auto" w:fill="auto"/>
          </w:tcPr>
          <w:p w14:paraId="5C6EFDA8" w14:textId="22B3F3D8" w:rsidR="002C1266" w:rsidRPr="00FB4D49" w:rsidRDefault="002C1266" w:rsidP="002D0B33">
            <w:pPr>
              <w:pStyle w:val="Tabletext"/>
              <w:keepNext/>
              <w:keepLines/>
              <w:rPr>
                <w:b/>
                <w:bCs/>
              </w:rPr>
            </w:pPr>
            <w:r w:rsidRPr="00FB4D49">
              <w:rPr>
                <w:b/>
                <w:bCs/>
              </w:rPr>
              <w:t>Trial ID</w:t>
            </w:r>
          </w:p>
        </w:tc>
        <w:tc>
          <w:tcPr>
            <w:tcW w:w="1817" w:type="dxa"/>
            <w:shd w:val="clear" w:color="auto" w:fill="auto"/>
          </w:tcPr>
          <w:p w14:paraId="2905F8A3" w14:textId="77777777" w:rsidR="002C1266" w:rsidRPr="00FB4D49" w:rsidRDefault="002C1266" w:rsidP="002D0B33">
            <w:pPr>
              <w:pStyle w:val="Tabletext"/>
              <w:keepNext/>
              <w:keepLines/>
              <w:jc w:val="center"/>
              <w:rPr>
                <w:b/>
                <w:bCs/>
              </w:rPr>
            </w:pPr>
            <w:r w:rsidRPr="00FB4D49">
              <w:rPr>
                <w:b/>
                <w:bCs/>
              </w:rPr>
              <w:t>Intervention, n/N (%)</w:t>
            </w:r>
          </w:p>
        </w:tc>
        <w:tc>
          <w:tcPr>
            <w:tcW w:w="1529" w:type="dxa"/>
            <w:shd w:val="clear" w:color="auto" w:fill="auto"/>
          </w:tcPr>
          <w:p w14:paraId="6520608D" w14:textId="445C99C2" w:rsidR="002C1266" w:rsidRPr="00FB4D49" w:rsidRDefault="00B603E8" w:rsidP="002D0B33">
            <w:pPr>
              <w:pStyle w:val="Tabletext"/>
              <w:keepNext/>
              <w:keepLines/>
              <w:jc w:val="center"/>
              <w:rPr>
                <w:b/>
                <w:bCs/>
              </w:rPr>
            </w:pPr>
            <w:r>
              <w:rPr>
                <w:b/>
                <w:bCs/>
              </w:rPr>
              <w:t>SoC (placebo)</w:t>
            </w:r>
            <w:r w:rsidR="002C1266" w:rsidRPr="00FB4D49">
              <w:rPr>
                <w:b/>
                <w:bCs/>
              </w:rPr>
              <w:t>, n/N (%)</w:t>
            </w:r>
          </w:p>
        </w:tc>
        <w:tc>
          <w:tcPr>
            <w:tcW w:w="2310" w:type="dxa"/>
            <w:shd w:val="clear" w:color="auto" w:fill="auto"/>
          </w:tcPr>
          <w:p w14:paraId="2624EB2C" w14:textId="77777777" w:rsidR="002C1266" w:rsidRPr="00FB4D49" w:rsidRDefault="002C1266" w:rsidP="002D0B33">
            <w:pPr>
              <w:pStyle w:val="Tabletext"/>
              <w:keepNext/>
              <w:keepLines/>
              <w:jc w:val="center"/>
              <w:rPr>
                <w:b/>
                <w:bCs/>
              </w:rPr>
            </w:pPr>
            <w:r w:rsidRPr="00FB4D49">
              <w:rPr>
                <w:b/>
                <w:bCs/>
              </w:rPr>
              <w:t>OR [95% CI]; p-value</w:t>
            </w:r>
          </w:p>
          <w:p w14:paraId="715ECAAD" w14:textId="77777777" w:rsidR="002C1266" w:rsidRPr="00FB4D49" w:rsidRDefault="002C1266" w:rsidP="002D0B33">
            <w:pPr>
              <w:pStyle w:val="Tabletext"/>
              <w:keepNext/>
              <w:keepLines/>
              <w:jc w:val="center"/>
              <w:rPr>
                <w:b/>
                <w:bCs/>
              </w:rPr>
            </w:pPr>
            <w:r w:rsidRPr="00FB4D49">
              <w:rPr>
                <w:b/>
                <w:bCs/>
              </w:rPr>
              <w:t>&gt;1 favour Intervention</w:t>
            </w:r>
          </w:p>
        </w:tc>
      </w:tr>
      <w:tr w:rsidR="002C1266" w:rsidRPr="00FB4D49" w14:paraId="13A37719" w14:textId="77777777">
        <w:tc>
          <w:tcPr>
            <w:tcW w:w="9017" w:type="dxa"/>
            <w:gridSpan w:val="5"/>
            <w:shd w:val="clear" w:color="auto" w:fill="auto"/>
          </w:tcPr>
          <w:p w14:paraId="73515E81" w14:textId="77777777" w:rsidR="002C1266" w:rsidRPr="003053E2" w:rsidRDefault="002C1266" w:rsidP="002D0B33">
            <w:pPr>
              <w:pStyle w:val="Tabletext"/>
              <w:keepNext/>
              <w:keepLines/>
              <w:rPr>
                <w:b/>
                <w:bCs/>
              </w:rPr>
            </w:pPr>
            <w:r w:rsidRPr="00353DD8">
              <w:rPr>
                <w:b/>
                <w:bCs/>
              </w:rPr>
              <w:t>ITT POPULATION</w:t>
            </w:r>
          </w:p>
        </w:tc>
      </w:tr>
      <w:tr w:rsidR="002C1266" w:rsidRPr="00FB4D49" w14:paraId="452C8DC2" w14:textId="77777777">
        <w:tc>
          <w:tcPr>
            <w:tcW w:w="9017" w:type="dxa"/>
            <w:gridSpan w:val="5"/>
            <w:shd w:val="clear" w:color="auto" w:fill="F2F2F2" w:themeFill="background1" w:themeFillShade="F2"/>
          </w:tcPr>
          <w:p w14:paraId="011CB3DB" w14:textId="77777777" w:rsidR="002C1266" w:rsidRPr="000E11E7" w:rsidRDefault="002C1266" w:rsidP="002D0B33">
            <w:pPr>
              <w:pStyle w:val="Tabletext"/>
              <w:keepNext/>
              <w:keepLines/>
              <w:rPr>
                <w:b/>
              </w:rPr>
            </w:pPr>
            <w:r w:rsidRPr="000E11E7">
              <w:rPr>
                <w:b/>
              </w:rPr>
              <w:t>≥</w:t>
            </w:r>
            <w:r w:rsidRPr="000E11E7">
              <w:rPr>
                <w:b/>
                <w:shd w:val="clear" w:color="auto" w:fill="F2F2F2" w:themeFill="background1" w:themeFillShade="F2"/>
              </w:rPr>
              <w:t>1-point improvement from baseline in NPS</w:t>
            </w:r>
          </w:p>
        </w:tc>
      </w:tr>
      <w:tr w:rsidR="002C1266" w:rsidRPr="00FB4D49" w14:paraId="109F0023" w14:textId="77777777">
        <w:tc>
          <w:tcPr>
            <w:tcW w:w="1814" w:type="dxa"/>
            <w:shd w:val="clear" w:color="auto" w:fill="auto"/>
          </w:tcPr>
          <w:p w14:paraId="594723F8" w14:textId="77777777" w:rsidR="002C1266" w:rsidRPr="00FB4D49" w:rsidRDefault="002C1266" w:rsidP="002D0B33">
            <w:pPr>
              <w:pStyle w:val="Tabletext"/>
              <w:keepNext/>
              <w:keepLines/>
            </w:pPr>
            <w:r w:rsidRPr="00FB4D49">
              <w:t xml:space="preserve">OMA vs. PBO </w:t>
            </w:r>
          </w:p>
        </w:tc>
        <w:tc>
          <w:tcPr>
            <w:tcW w:w="1547" w:type="dxa"/>
            <w:shd w:val="clear" w:color="auto" w:fill="auto"/>
          </w:tcPr>
          <w:p w14:paraId="193BB3E4" w14:textId="77777777" w:rsidR="002C1266" w:rsidRPr="00FB4D49" w:rsidRDefault="002C1266" w:rsidP="002D0B33">
            <w:pPr>
              <w:pStyle w:val="Tabletext"/>
              <w:keepNext/>
              <w:keepLines/>
            </w:pPr>
            <w:r w:rsidRPr="00FB4D49">
              <w:t>POLYP 1/2</w:t>
            </w:r>
            <w:r>
              <w:t xml:space="preserve"> </w:t>
            </w:r>
            <w:r>
              <w:rPr>
                <w:vertAlign w:val="superscript"/>
              </w:rPr>
              <w:t>a</w:t>
            </w:r>
          </w:p>
        </w:tc>
        <w:tc>
          <w:tcPr>
            <w:tcW w:w="1817" w:type="dxa"/>
            <w:shd w:val="clear" w:color="auto" w:fill="auto"/>
          </w:tcPr>
          <w:p w14:paraId="227100A8" w14:textId="77777777" w:rsidR="002C1266" w:rsidRPr="00FB4D49" w:rsidRDefault="002C1266" w:rsidP="002D0B33">
            <w:pPr>
              <w:pStyle w:val="Tabletext"/>
              <w:keepNext/>
              <w:keepLines/>
              <w:jc w:val="center"/>
            </w:pPr>
            <w:r w:rsidRPr="00FB4D49">
              <w:t>72/128 (56.3%)</w:t>
            </w:r>
          </w:p>
        </w:tc>
        <w:tc>
          <w:tcPr>
            <w:tcW w:w="1529" w:type="dxa"/>
            <w:shd w:val="clear" w:color="auto" w:fill="auto"/>
          </w:tcPr>
          <w:p w14:paraId="6432E3CD" w14:textId="77777777" w:rsidR="002C1266" w:rsidRPr="00FB4D49" w:rsidRDefault="002C1266" w:rsidP="002D0B33">
            <w:pPr>
              <w:pStyle w:val="Tabletext"/>
              <w:keepNext/>
              <w:keepLines/>
              <w:jc w:val="center"/>
            </w:pPr>
            <w:r w:rsidRPr="00FB4D49">
              <w:t>37/129 (28.7%)</w:t>
            </w:r>
          </w:p>
        </w:tc>
        <w:tc>
          <w:tcPr>
            <w:tcW w:w="2310" w:type="dxa"/>
            <w:shd w:val="clear" w:color="auto" w:fill="auto"/>
          </w:tcPr>
          <w:p w14:paraId="0F5A2736" w14:textId="77777777" w:rsidR="002C1266" w:rsidRPr="00FB4D49" w:rsidRDefault="002C1266" w:rsidP="002D0B33">
            <w:pPr>
              <w:pStyle w:val="Tabletext"/>
              <w:keepNext/>
              <w:keepLines/>
              <w:jc w:val="center"/>
            </w:pPr>
            <w:r w:rsidRPr="00FB4D49">
              <w:t>3.20 [1.91, 5.36]</w:t>
            </w:r>
          </w:p>
        </w:tc>
      </w:tr>
      <w:tr w:rsidR="002C1266" w:rsidRPr="00FB4D49" w14:paraId="5AA12549" w14:textId="77777777">
        <w:tc>
          <w:tcPr>
            <w:tcW w:w="1814" w:type="dxa"/>
            <w:vMerge w:val="restart"/>
            <w:shd w:val="clear" w:color="auto" w:fill="auto"/>
          </w:tcPr>
          <w:p w14:paraId="3ED4F710" w14:textId="77777777" w:rsidR="002C1266" w:rsidRPr="00FB4D49" w:rsidRDefault="002C1266" w:rsidP="002D0B33">
            <w:pPr>
              <w:pStyle w:val="Tabletext"/>
              <w:keepNext/>
              <w:keepLines/>
            </w:pPr>
            <w:r w:rsidRPr="00FB4D49">
              <w:t xml:space="preserve">MEPO vs. PBO </w:t>
            </w:r>
          </w:p>
        </w:tc>
        <w:tc>
          <w:tcPr>
            <w:tcW w:w="1547" w:type="dxa"/>
            <w:shd w:val="clear" w:color="auto" w:fill="auto"/>
          </w:tcPr>
          <w:p w14:paraId="0B16EB12" w14:textId="77777777" w:rsidR="002C1266" w:rsidRPr="00FB4D49" w:rsidRDefault="002C1266" w:rsidP="002D0B33">
            <w:pPr>
              <w:pStyle w:val="Tabletext"/>
              <w:keepNext/>
              <w:keepLines/>
            </w:pPr>
            <w:r w:rsidRPr="00FB4D49">
              <w:t xml:space="preserve">SYNAPSE </w:t>
            </w:r>
          </w:p>
        </w:tc>
        <w:tc>
          <w:tcPr>
            <w:tcW w:w="1817" w:type="dxa"/>
            <w:shd w:val="clear" w:color="auto" w:fill="auto"/>
          </w:tcPr>
          <w:p w14:paraId="0944C53E" w14:textId="77777777" w:rsidR="002C1266" w:rsidRPr="00FB4D49" w:rsidRDefault="002C1266" w:rsidP="002D0B33">
            <w:pPr>
              <w:pStyle w:val="Tabletext"/>
              <w:keepNext/>
              <w:keepLines/>
              <w:jc w:val="center"/>
            </w:pPr>
            <w:r w:rsidRPr="00FB4D49">
              <w:t>104/206 (50.5%)</w:t>
            </w:r>
          </w:p>
        </w:tc>
        <w:tc>
          <w:tcPr>
            <w:tcW w:w="1529" w:type="dxa"/>
            <w:shd w:val="clear" w:color="auto" w:fill="auto"/>
          </w:tcPr>
          <w:p w14:paraId="2E4F9BBD" w14:textId="77777777" w:rsidR="002C1266" w:rsidRPr="00FB4D49" w:rsidRDefault="002C1266" w:rsidP="002D0B33">
            <w:pPr>
              <w:pStyle w:val="Tabletext"/>
              <w:keepNext/>
              <w:keepLines/>
              <w:jc w:val="center"/>
            </w:pPr>
            <w:r w:rsidRPr="00FB4D49">
              <w:t>57/201 (28.4%)</w:t>
            </w:r>
          </w:p>
        </w:tc>
        <w:tc>
          <w:tcPr>
            <w:tcW w:w="2310" w:type="dxa"/>
            <w:shd w:val="clear" w:color="auto" w:fill="auto"/>
          </w:tcPr>
          <w:p w14:paraId="3F166EB0" w14:textId="77777777" w:rsidR="002C1266" w:rsidRPr="00FB4D49" w:rsidRDefault="002C1266" w:rsidP="002D0B33">
            <w:pPr>
              <w:pStyle w:val="Tabletext"/>
              <w:keepNext/>
              <w:keepLines/>
              <w:jc w:val="center"/>
            </w:pPr>
            <w:r w:rsidRPr="00FB4D49">
              <w:t>2.58 [1.71, 3.88]</w:t>
            </w:r>
          </w:p>
        </w:tc>
      </w:tr>
      <w:tr w:rsidR="002C1266" w:rsidRPr="00FB4D49" w14:paraId="16B89D43" w14:textId="77777777">
        <w:tc>
          <w:tcPr>
            <w:tcW w:w="1814" w:type="dxa"/>
            <w:vMerge/>
            <w:shd w:val="clear" w:color="auto" w:fill="auto"/>
          </w:tcPr>
          <w:p w14:paraId="73204911" w14:textId="77777777" w:rsidR="002C1266" w:rsidRPr="00FB4D49" w:rsidRDefault="002C1266" w:rsidP="002D0B33">
            <w:pPr>
              <w:pStyle w:val="Tabletext"/>
              <w:keepNext/>
              <w:keepLines/>
            </w:pPr>
          </w:p>
        </w:tc>
        <w:tc>
          <w:tcPr>
            <w:tcW w:w="1547" w:type="dxa"/>
            <w:shd w:val="clear" w:color="auto" w:fill="auto"/>
          </w:tcPr>
          <w:p w14:paraId="38A0126E" w14:textId="77777777" w:rsidR="002C1266" w:rsidRPr="00FB4D49" w:rsidRDefault="002C1266" w:rsidP="002D0B33">
            <w:pPr>
              <w:pStyle w:val="Tabletext"/>
              <w:keepNext/>
              <w:keepLines/>
            </w:pPr>
            <w:r w:rsidRPr="00FB4D49">
              <w:t xml:space="preserve">MERIT </w:t>
            </w:r>
          </w:p>
        </w:tc>
        <w:tc>
          <w:tcPr>
            <w:tcW w:w="1817" w:type="dxa"/>
            <w:shd w:val="clear" w:color="auto" w:fill="auto"/>
          </w:tcPr>
          <w:p w14:paraId="6FEFC62C" w14:textId="77777777" w:rsidR="002C1266" w:rsidRPr="00FB4D49" w:rsidRDefault="002C1266" w:rsidP="002D0B33">
            <w:pPr>
              <w:pStyle w:val="Tabletext"/>
              <w:keepNext/>
              <w:keepLines/>
              <w:jc w:val="center"/>
            </w:pPr>
            <w:r w:rsidRPr="00FB4D49">
              <w:t>43/84 (51.2%)</w:t>
            </w:r>
          </w:p>
        </w:tc>
        <w:tc>
          <w:tcPr>
            <w:tcW w:w="1529" w:type="dxa"/>
            <w:shd w:val="clear" w:color="auto" w:fill="auto"/>
          </w:tcPr>
          <w:p w14:paraId="5C92795F" w14:textId="77777777" w:rsidR="002C1266" w:rsidRPr="00FB4D49" w:rsidRDefault="002C1266" w:rsidP="002D0B33">
            <w:pPr>
              <w:pStyle w:val="Tabletext"/>
              <w:keepNext/>
              <w:keepLines/>
              <w:jc w:val="center"/>
            </w:pPr>
            <w:r w:rsidRPr="00FB4D49">
              <w:t>32/85 (37.6%)</w:t>
            </w:r>
          </w:p>
        </w:tc>
        <w:tc>
          <w:tcPr>
            <w:tcW w:w="2310" w:type="dxa"/>
            <w:shd w:val="clear" w:color="auto" w:fill="auto"/>
          </w:tcPr>
          <w:p w14:paraId="7A472739" w14:textId="77777777" w:rsidR="002C1266" w:rsidRPr="00FB4D49" w:rsidRDefault="002C1266" w:rsidP="002D0B33">
            <w:pPr>
              <w:pStyle w:val="Tabletext"/>
              <w:keepNext/>
              <w:keepLines/>
              <w:jc w:val="center"/>
            </w:pPr>
            <w:r w:rsidRPr="00FB4D49">
              <w:t>1.74 [0.94, 3.21]</w:t>
            </w:r>
          </w:p>
        </w:tc>
      </w:tr>
      <w:tr w:rsidR="002C1266" w:rsidRPr="00FB4D49" w14:paraId="09D568EE" w14:textId="77777777">
        <w:tc>
          <w:tcPr>
            <w:tcW w:w="1814" w:type="dxa"/>
            <w:vMerge/>
            <w:shd w:val="clear" w:color="auto" w:fill="auto"/>
          </w:tcPr>
          <w:p w14:paraId="4375C804" w14:textId="77777777" w:rsidR="002C1266" w:rsidRPr="00FB4D49" w:rsidRDefault="002C1266" w:rsidP="002D0B33">
            <w:pPr>
              <w:pStyle w:val="Tabletext"/>
              <w:keepNext/>
              <w:keepLines/>
            </w:pPr>
          </w:p>
        </w:tc>
        <w:tc>
          <w:tcPr>
            <w:tcW w:w="4893" w:type="dxa"/>
            <w:gridSpan w:val="3"/>
            <w:shd w:val="clear" w:color="auto" w:fill="auto"/>
          </w:tcPr>
          <w:p w14:paraId="18870F88" w14:textId="77777777" w:rsidR="002C1266" w:rsidRPr="00FB4D49" w:rsidRDefault="002C1266" w:rsidP="002D0B33">
            <w:pPr>
              <w:pStyle w:val="Tabletext"/>
              <w:keepNext/>
              <w:keepLines/>
            </w:pPr>
            <w:r w:rsidRPr="00FB4D49">
              <w:t>SYNAPSE/MERIT meta-analysis k=2</w:t>
            </w:r>
          </w:p>
        </w:tc>
        <w:tc>
          <w:tcPr>
            <w:tcW w:w="2310" w:type="dxa"/>
            <w:shd w:val="clear" w:color="auto" w:fill="auto"/>
          </w:tcPr>
          <w:p w14:paraId="106B923A" w14:textId="77777777" w:rsidR="002C1266" w:rsidRPr="00FB4D49" w:rsidRDefault="002C1266" w:rsidP="002D0B33">
            <w:pPr>
              <w:pStyle w:val="Tabletext"/>
              <w:keepNext/>
              <w:keepLines/>
              <w:jc w:val="center"/>
            </w:pPr>
            <w:r w:rsidRPr="00FB4D49">
              <w:t>2.26 [1.58, 3.25]</w:t>
            </w:r>
          </w:p>
        </w:tc>
      </w:tr>
      <w:tr w:rsidR="002C1266" w:rsidRPr="00FB4D49" w14:paraId="4D6ECA52" w14:textId="77777777">
        <w:tc>
          <w:tcPr>
            <w:tcW w:w="1814" w:type="dxa"/>
            <w:shd w:val="clear" w:color="auto" w:fill="D9D9D9" w:themeFill="background1" w:themeFillShade="D9"/>
          </w:tcPr>
          <w:p w14:paraId="5B272C3B" w14:textId="77777777" w:rsidR="002C1266" w:rsidRPr="00FB4D49" w:rsidRDefault="002C1266" w:rsidP="002D0B33">
            <w:pPr>
              <w:pStyle w:val="Tabletext"/>
              <w:keepNext/>
              <w:keepLines/>
            </w:pPr>
            <w:r w:rsidRPr="00FB4D49">
              <w:t>ITC OMA vs. MEPO</w:t>
            </w:r>
          </w:p>
        </w:tc>
        <w:tc>
          <w:tcPr>
            <w:tcW w:w="4893" w:type="dxa"/>
            <w:gridSpan w:val="3"/>
            <w:shd w:val="clear" w:color="auto" w:fill="D9D9D9" w:themeFill="background1" w:themeFillShade="D9"/>
          </w:tcPr>
          <w:p w14:paraId="08D8AF00" w14:textId="77777777" w:rsidR="002C1266" w:rsidRPr="00FC6B59" w:rsidRDefault="002C1266" w:rsidP="002D0B33">
            <w:pPr>
              <w:pStyle w:val="Tabletext"/>
              <w:keepNext/>
              <w:keepLines/>
              <w:rPr>
                <w:lang w:val="pt-BR"/>
              </w:rPr>
            </w:pPr>
            <w:r w:rsidRPr="00FC6B59">
              <w:rPr>
                <w:lang w:val="pt-BR"/>
              </w:rPr>
              <w:t>POLYP 1/2 (N=128) vs. SYNAPSE (N=206)</w:t>
            </w:r>
          </w:p>
        </w:tc>
        <w:tc>
          <w:tcPr>
            <w:tcW w:w="2310" w:type="dxa"/>
            <w:shd w:val="clear" w:color="auto" w:fill="D9D9D9" w:themeFill="background1" w:themeFillShade="D9"/>
          </w:tcPr>
          <w:p w14:paraId="7BBE4520" w14:textId="77777777" w:rsidR="002C1266" w:rsidRPr="00FB4D49" w:rsidRDefault="002C1266" w:rsidP="002D0B33">
            <w:pPr>
              <w:pStyle w:val="Tabletext"/>
              <w:keepNext/>
              <w:keepLines/>
              <w:jc w:val="center"/>
            </w:pPr>
            <w:r w:rsidRPr="00FB4D49">
              <w:t>1.24 [0.64, 2.40]; p=0.5217</w:t>
            </w:r>
          </w:p>
        </w:tc>
      </w:tr>
      <w:tr w:rsidR="002C1266" w:rsidRPr="00FB4D49" w14:paraId="720017B5" w14:textId="77777777">
        <w:tc>
          <w:tcPr>
            <w:tcW w:w="1814" w:type="dxa"/>
            <w:shd w:val="clear" w:color="auto" w:fill="D9D9D9" w:themeFill="background1" w:themeFillShade="D9"/>
          </w:tcPr>
          <w:p w14:paraId="2E5482A2" w14:textId="27F4DCC8" w:rsidR="002C1266" w:rsidRPr="00135EAA" w:rsidRDefault="002C1266" w:rsidP="002D0B33">
            <w:pPr>
              <w:pStyle w:val="Tabletext"/>
              <w:keepNext/>
              <w:keepLines/>
              <w:rPr>
                <w:lang w:val="pt-BR"/>
              </w:rPr>
            </w:pPr>
            <w:r w:rsidRPr="00135EAA">
              <w:rPr>
                <w:lang w:val="pt-BR"/>
              </w:rPr>
              <w:t>ITC OMA vs MEPO (</w:t>
            </w:r>
            <w:r w:rsidR="002A4359" w:rsidRPr="00135EAA">
              <w:rPr>
                <w:lang w:val="pt-BR"/>
              </w:rPr>
              <w:t>SENSITIVITY</w:t>
            </w:r>
            <w:r w:rsidRPr="00135EAA">
              <w:rPr>
                <w:lang w:val="pt-BR"/>
              </w:rPr>
              <w:t>)</w:t>
            </w:r>
          </w:p>
        </w:tc>
        <w:tc>
          <w:tcPr>
            <w:tcW w:w="4893" w:type="dxa"/>
            <w:gridSpan w:val="3"/>
            <w:shd w:val="clear" w:color="auto" w:fill="D9D9D9" w:themeFill="background1" w:themeFillShade="D9"/>
          </w:tcPr>
          <w:p w14:paraId="7B244854" w14:textId="77777777" w:rsidR="002C1266" w:rsidRPr="00FB4D49" w:rsidRDefault="002C1266" w:rsidP="002D0B33">
            <w:pPr>
              <w:pStyle w:val="Tabletext"/>
              <w:keepNext/>
              <w:keepLines/>
            </w:pPr>
            <w:r w:rsidRPr="00FB4D49">
              <w:t>POLYP 1/2 (N=128) vs. SYNAPSE/MERIT (N=290) meta-analysis k=2</w:t>
            </w:r>
          </w:p>
        </w:tc>
        <w:tc>
          <w:tcPr>
            <w:tcW w:w="2310" w:type="dxa"/>
            <w:shd w:val="clear" w:color="auto" w:fill="D9D9D9" w:themeFill="background1" w:themeFillShade="D9"/>
          </w:tcPr>
          <w:p w14:paraId="39F7C9A8" w14:textId="77777777" w:rsidR="002C1266" w:rsidRPr="00FB4D49" w:rsidRDefault="002C1266" w:rsidP="002D0B33">
            <w:pPr>
              <w:pStyle w:val="Tabletext"/>
              <w:keepNext/>
              <w:keepLines/>
              <w:jc w:val="center"/>
            </w:pPr>
            <w:r w:rsidRPr="00FB4D49">
              <w:t>1.42 [0.76, 2.66]; p=0.2789</w:t>
            </w:r>
          </w:p>
        </w:tc>
      </w:tr>
      <w:tr w:rsidR="002C1266" w:rsidRPr="00FB4D49" w14:paraId="2677DCB1" w14:textId="77777777">
        <w:tc>
          <w:tcPr>
            <w:tcW w:w="9017" w:type="dxa"/>
            <w:gridSpan w:val="5"/>
            <w:shd w:val="clear" w:color="auto" w:fill="F2F2F2" w:themeFill="background1" w:themeFillShade="F2"/>
          </w:tcPr>
          <w:p w14:paraId="089A6741" w14:textId="77777777" w:rsidR="002C1266" w:rsidRPr="00F0207E" w:rsidRDefault="002C1266" w:rsidP="002D0B33">
            <w:pPr>
              <w:pStyle w:val="Tabletext"/>
              <w:keepNext/>
              <w:keepLines/>
              <w:rPr>
                <w:b/>
              </w:rPr>
            </w:pPr>
            <w:r w:rsidRPr="00F0207E">
              <w:rPr>
                <w:b/>
              </w:rPr>
              <w:t>≥2-point improvement from baseline in NPS</w:t>
            </w:r>
          </w:p>
        </w:tc>
      </w:tr>
      <w:tr w:rsidR="002C1266" w:rsidRPr="00FB4D49" w14:paraId="54F337BA" w14:textId="77777777">
        <w:tc>
          <w:tcPr>
            <w:tcW w:w="1814" w:type="dxa"/>
            <w:shd w:val="clear" w:color="auto" w:fill="auto"/>
          </w:tcPr>
          <w:p w14:paraId="5F5A2EFE" w14:textId="77777777" w:rsidR="002C1266" w:rsidRPr="00FB4D49" w:rsidRDefault="002C1266" w:rsidP="002D0B33">
            <w:pPr>
              <w:pStyle w:val="Tabletext"/>
              <w:keepNext/>
              <w:keepLines/>
            </w:pPr>
            <w:r w:rsidRPr="00FB4D49">
              <w:t xml:space="preserve">OMA vs. PBO </w:t>
            </w:r>
          </w:p>
        </w:tc>
        <w:tc>
          <w:tcPr>
            <w:tcW w:w="1547" w:type="dxa"/>
            <w:shd w:val="clear" w:color="auto" w:fill="auto"/>
          </w:tcPr>
          <w:p w14:paraId="21C9A50F" w14:textId="77777777" w:rsidR="002C1266" w:rsidRPr="00FB4D49" w:rsidRDefault="002C1266" w:rsidP="002D0B33">
            <w:pPr>
              <w:pStyle w:val="Tabletext"/>
              <w:keepNext/>
              <w:keepLines/>
            </w:pPr>
            <w:r w:rsidRPr="00FB4D49">
              <w:t>POLYP 1/2</w:t>
            </w:r>
            <w:r>
              <w:t xml:space="preserve"> </w:t>
            </w:r>
            <w:r>
              <w:rPr>
                <w:vertAlign w:val="superscript"/>
              </w:rPr>
              <w:t>a</w:t>
            </w:r>
          </w:p>
        </w:tc>
        <w:tc>
          <w:tcPr>
            <w:tcW w:w="1817" w:type="dxa"/>
            <w:shd w:val="clear" w:color="auto" w:fill="auto"/>
          </w:tcPr>
          <w:p w14:paraId="4FCE01AC" w14:textId="77777777" w:rsidR="002C1266" w:rsidRPr="00FB4D49" w:rsidRDefault="002C1266" w:rsidP="002D0B33">
            <w:pPr>
              <w:pStyle w:val="Tabletext"/>
              <w:keepNext/>
              <w:keepLines/>
              <w:jc w:val="center"/>
            </w:pPr>
            <w:r w:rsidRPr="00FB4D49">
              <w:t>40/128 (31.25%)</w:t>
            </w:r>
          </w:p>
        </w:tc>
        <w:tc>
          <w:tcPr>
            <w:tcW w:w="1529" w:type="dxa"/>
            <w:shd w:val="clear" w:color="auto" w:fill="auto"/>
          </w:tcPr>
          <w:p w14:paraId="2D22F96E" w14:textId="77777777" w:rsidR="002C1266" w:rsidRPr="00FB4D49" w:rsidRDefault="002C1266" w:rsidP="002D0B33">
            <w:pPr>
              <w:pStyle w:val="Tabletext"/>
              <w:keepNext/>
              <w:keepLines/>
              <w:jc w:val="center"/>
            </w:pPr>
            <w:r w:rsidRPr="00FB4D49">
              <w:t>15/129 (11.63%)</w:t>
            </w:r>
          </w:p>
        </w:tc>
        <w:tc>
          <w:tcPr>
            <w:tcW w:w="2310" w:type="dxa"/>
            <w:shd w:val="clear" w:color="auto" w:fill="auto"/>
          </w:tcPr>
          <w:p w14:paraId="31C7B18D" w14:textId="77777777" w:rsidR="002C1266" w:rsidRPr="00FB4D49" w:rsidRDefault="002C1266" w:rsidP="002D0B33">
            <w:pPr>
              <w:pStyle w:val="Tabletext"/>
              <w:keepNext/>
              <w:keepLines/>
              <w:jc w:val="center"/>
            </w:pPr>
            <w:r w:rsidRPr="00FB4D49">
              <w:t>3.45 [1.79, 6.65]</w:t>
            </w:r>
          </w:p>
        </w:tc>
      </w:tr>
      <w:tr w:rsidR="002C1266" w:rsidRPr="00FB4D49" w14:paraId="02C67024" w14:textId="77777777">
        <w:tc>
          <w:tcPr>
            <w:tcW w:w="1814" w:type="dxa"/>
            <w:shd w:val="clear" w:color="auto" w:fill="auto"/>
          </w:tcPr>
          <w:p w14:paraId="11ADBBAE" w14:textId="77777777" w:rsidR="002C1266" w:rsidRPr="00FB4D49" w:rsidRDefault="002C1266" w:rsidP="002D0B33">
            <w:pPr>
              <w:pStyle w:val="Tabletext"/>
              <w:keepNext/>
              <w:keepLines/>
            </w:pPr>
            <w:r w:rsidRPr="00FB4D49">
              <w:t xml:space="preserve">MEPO vs. PBO </w:t>
            </w:r>
          </w:p>
        </w:tc>
        <w:tc>
          <w:tcPr>
            <w:tcW w:w="1547" w:type="dxa"/>
            <w:shd w:val="clear" w:color="auto" w:fill="auto"/>
          </w:tcPr>
          <w:p w14:paraId="5105C545" w14:textId="77777777" w:rsidR="002C1266" w:rsidRPr="00FB4D49" w:rsidRDefault="002C1266" w:rsidP="002D0B33">
            <w:pPr>
              <w:pStyle w:val="Tabletext"/>
              <w:keepNext/>
              <w:keepLines/>
            </w:pPr>
            <w:r w:rsidRPr="00FB4D49">
              <w:t xml:space="preserve">SYNAPSE </w:t>
            </w:r>
          </w:p>
        </w:tc>
        <w:tc>
          <w:tcPr>
            <w:tcW w:w="1817" w:type="dxa"/>
            <w:shd w:val="clear" w:color="auto" w:fill="auto"/>
          </w:tcPr>
          <w:p w14:paraId="656DD7B5" w14:textId="77777777" w:rsidR="002C1266" w:rsidRPr="00FB4D49" w:rsidRDefault="002C1266" w:rsidP="002D0B33">
            <w:pPr>
              <w:pStyle w:val="Tabletext"/>
              <w:keepNext/>
              <w:keepLines/>
              <w:jc w:val="center"/>
            </w:pPr>
            <w:r w:rsidRPr="00FB4D49">
              <w:t>74/206 (35.9%)</w:t>
            </w:r>
          </w:p>
        </w:tc>
        <w:tc>
          <w:tcPr>
            <w:tcW w:w="1529" w:type="dxa"/>
            <w:shd w:val="clear" w:color="auto" w:fill="auto"/>
          </w:tcPr>
          <w:p w14:paraId="41F92D52" w14:textId="77777777" w:rsidR="002C1266" w:rsidRPr="00FB4D49" w:rsidRDefault="002C1266" w:rsidP="002D0B33">
            <w:pPr>
              <w:pStyle w:val="Tabletext"/>
              <w:keepNext/>
              <w:keepLines/>
              <w:jc w:val="center"/>
            </w:pPr>
            <w:r w:rsidRPr="00FB4D49">
              <w:t>26/201 (12.9%)</w:t>
            </w:r>
          </w:p>
        </w:tc>
        <w:tc>
          <w:tcPr>
            <w:tcW w:w="2310" w:type="dxa"/>
            <w:shd w:val="clear" w:color="auto" w:fill="auto"/>
          </w:tcPr>
          <w:p w14:paraId="0F4C7237" w14:textId="77777777" w:rsidR="002C1266" w:rsidRPr="00FB4D49" w:rsidRDefault="002C1266" w:rsidP="002D0B33">
            <w:pPr>
              <w:pStyle w:val="Tabletext"/>
              <w:keepNext/>
              <w:keepLines/>
              <w:jc w:val="center"/>
            </w:pPr>
            <w:r w:rsidRPr="00FB4D49">
              <w:t>3.77 [2.29, 6.23]</w:t>
            </w:r>
          </w:p>
        </w:tc>
      </w:tr>
      <w:tr w:rsidR="002C1266" w:rsidRPr="00FB4D49" w14:paraId="7D0BB65B" w14:textId="77777777">
        <w:tc>
          <w:tcPr>
            <w:tcW w:w="1814" w:type="dxa"/>
            <w:shd w:val="clear" w:color="auto" w:fill="D9D9D9" w:themeFill="background1" w:themeFillShade="D9"/>
          </w:tcPr>
          <w:p w14:paraId="11C8C57C" w14:textId="77777777" w:rsidR="002C1266" w:rsidRPr="00FB4D49" w:rsidRDefault="002C1266" w:rsidP="002D0B33">
            <w:pPr>
              <w:pStyle w:val="Tabletext"/>
              <w:keepNext/>
              <w:keepLines/>
            </w:pPr>
            <w:r w:rsidRPr="00FB4D49">
              <w:t>ITC OMA vs. MEPO</w:t>
            </w:r>
          </w:p>
        </w:tc>
        <w:tc>
          <w:tcPr>
            <w:tcW w:w="4893" w:type="dxa"/>
            <w:gridSpan w:val="3"/>
            <w:shd w:val="clear" w:color="auto" w:fill="D9D9D9" w:themeFill="background1" w:themeFillShade="D9"/>
          </w:tcPr>
          <w:p w14:paraId="5E4CE690" w14:textId="77777777" w:rsidR="002C1266" w:rsidRPr="00FC6B59" w:rsidRDefault="002C1266" w:rsidP="002D0B33">
            <w:pPr>
              <w:pStyle w:val="Tabletext"/>
              <w:keepNext/>
              <w:keepLines/>
              <w:rPr>
                <w:lang w:val="pt-BR"/>
              </w:rPr>
            </w:pPr>
            <w:r w:rsidRPr="00FC6B59">
              <w:rPr>
                <w:lang w:val="pt-BR"/>
              </w:rPr>
              <w:t>POLYP 1/2 (N=128) vs. SYNAPSE (N=206)</w:t>
            </w:r>
          </w:p>
        </w:tc>
        <w:tc>
          <w:tcPr>
            <w:tcW w:w="2310" w:type="dxa"/>
            <w:shd w:val="clear" w:color="auto" w:fill="D9D9D9" w:themeFill="background1" w:themeFillShade="D9"/>
          </w:tcPr>
          <w:p w14:paraId="4735FBDA" w14:textId="77777777" w:rsidR="002C1266" w:rsidRPr="00FB4D49" w:rsidRDefault="002C1266" w:rsidP="002D0B33">
            <w:pPr>
              <w:pStyle w:val="Tabletext"/>
              <w:keepNext/>
              <w:keepLines/>
              <w:jc w:val="center"/>
            </w:pPr>
            <w:r w:rsidRPr="00FB4D49">
              <w:t>0.92 [0.40, 2.09]; p=0.8331</w:t>
            </w:r>
          </w:p>
        </w:tc>
      </w:tr>
      <w:tr w:rsidR="002C1266" w:rsidRPr="00FB4D49" w14:paraId="022D5FA1" w14:textId="77777777">
        <w:tc>
          <w:tcPr>
            <w:tcW w:w="9017" w:type="dxa"/>
            <w:gridSpan w:val="5"/>
            <w:shd w:val="clear" w:color="auto" w:fill="F2F2F2" w:themeFill="background1" w:themeFillShade="F2"/>
          </w:tcPr>
          <w:p w14:paraId="455FAAEF" w14:textId="77777777" w:rsidR="002C1266" w:rsidRPr="008C6720" w:rsidRDefault="002C1266" w:rsidP="002D0B33">
            <w:pPr>
              <w:pStyle w:val="Tabletext"/>
              <w:keepNext/>
              <w:keepLines/>
              <w:rPr>
                <w:b/>
                <w:bCs/>
              </w:rPr>
            </w:pPr>
            <w:r w:rsidRPr="008C6720">
              <w:rPr>
                <w:b/>
                <w:bCs/>
              </w:rPr>
              <w:t xml:space="preserve">≥8.9 improvement from baseline in SNOT-22 </w:t>
            </w:r>
          </w:p>
        </w:tc>
      </w:tr>
      <w:tr w:rsidR="002C1266" w:rsidRPr="00FB4D49" w14:paraId="0348583A" w14:textId="77777777">
        <w:tc>
          <w:tcPr>
            <w:tcW w:w="1814" w:type="dxa"/>
            <w:shd w:val="clear" w:color="auto" w:fill="auto"/>
          </w:tcPr>
          <w:p w14:paraId="21BA5DEF" w14:textId="77777777" w:rsidR="002C1266" w:rsidRPr="00FB4D49" w:rsidRDefault="002C1266" w:rsidP="002D0B33">
            <w:pPr>
              <w:pStyle w:val="Tabletext"/>
              <w:keepNext/>
              <w:keepLines/>
            </w:pPr>
            <w:r w:rsidRPr="00FB4D49">
              <w:t xml:space="preserve">OMA vs. PBO </w:t>
            </w:r>
          </w:p>
        </w:tc>
        <w:tc>
          <w:tcPr>
            <w:tcW w:w="1547" w:type="dxa"/>
            <w:shd w:val="clear" w:color="auto" w:fill="auto"/>
          </w:tcPr>
          <w:p w14:paraId="05B26762" w14:textId="77777777" w:rsidR="002C1266" w:rsidRPr="00FB4D49" w:rsidRDefault="002C1266" w:rsidP="002D0B33">
            <w:pPr>
              <w:pStyle w:val="Tabletext"/>
              <w:keepNext/>
              <w:keepLines/>
            </w:pPr>
            <w:r w:rsidRPr="00FB4D49">
              <w:t>POLYP 1/2</w:t>
            </w:r>
            <w:r>
              <w:t xml:space="preserve"> </w:t>
            </w:r>
            <w:r w:rsidRPr="006F058E">
              <w:rPr>
                <w:vertAlign w:val="superscript"/>
              </w:rPr>
              <w:t>b</w:t>
            </w:r>
            <w:r w:rsidRPr="00FB4D49">
              <w:t xml:space="preserve"> </w:t>
            </w:r>
          </w:p>
        </w:tc>
        <w:tc>
          <w:tcPr>
            <w:tcW w:w="1817" w:type="dxa"/>
            <w:shd w:val="clear" w:color="auto" w:fill="auto"/>
          </w:tcPr>
          <w:p w14:paraId="2834BEA5" w14:textId="77777777" w:rsidR="002C1266" w:rsidRPr="00FB4D49" w:rsidRDefault="002C1266" w:rsidP="002D0B33">
            <w:pPr>
              <w:pStyle w:val="Tabletext"/>
              <w:keepNext/>
              <w:keepLines/>
              <w:jc w:val="center"/>
            </w:pPr>
            <w:r w:rsidRPr="00FB4D49">
              <w:t>92/128 (71.88%)</w:t>
            </w:r>
          </w:p>
        </w:tc>
        <w:tc>
          <w:tcPr>
            <w:tcW w:w="1529" w:type="dxa"/>
            <w:shd w:val="clear" w:color="auto" w:fill="auto"/>
          </w:tcPr>
          <w:p w14:paraId="0A828195" w14:textId="77777777" w:rsidR="002C1266" w:rsidRPr="00FB4D49" w:rsidRDefault="002C1266" w:rsidP="002D0B33">
            <w:pPr>
              <w:pStyle w:val="Tabletext"/>
              <w:keepNext/>
              <w:keepLines/>
              <w:jc w:val="center"/>
            </w:pPr>
            <w:r w:rsidRPr="00FB4D49">
              <w:t>53/128 (41.41%)</w:t>
            </w:r>
          </w:p>
        </w:tc>
        <w:tc>
          <w:tcPr>
            <w:tcW w:w="2310" w:type="dxa"/>
            <w:shd w:val="clear" w:color="auto" w:fill="auto"/>
          </w:tcPr>
          <w:p w14:paraId="4BB1E91A" w14:textId="77777777" w:rsidR="002C1266" w:rsidRPr="00FB4D49" w:rsidRDefault="002C1266" w:rsidP="002D0B33">
            <w:pPr>
              <w:pStyle w:val="Tabletext"/>
              <w:keepNext/>
              <w:keepLines/>
              <w:jc w:val="center"/>
            </w:pPr>
            <w:r w:rsidRPr="00FB4D49">
              <w:t>3.62 [2.15, 6.09]</w:t>
            </w:r>
          </w:p>
        </w:tc>
      </w:tr>
      <w:tr w:rsidR="002C1266" w:rsidRPr="00FB4D49" w14:paraId="280366E5" w14:textId="77777777">
        <w:tc>
          <w:tcPr>
            <w:tcW w:w="1814" w:type="dxa"/>
            <w:shd w:val="clear" w:color="auto" w:fill="auto"/>
          </w:tcPr>
          <w:p w14:paraId="096D4B04" w14:textId="77777777" w:rsidR="002C1266" w:rsidRPr="00FB4D49" w:rsidRDefault="002C1266" w:rsidP="002D0B33">
            <w:pPr>
              <w:pStyle w:val="Tabletext"/>
              <w:keepNext/>
              <w:keepLines/>
            </w:pPr>
            <w:r w:rsidRPr="00FB4D49">
              <w:t xml:space="preserve">MEPO vs. PBO </w:t>
            </w:r>
          </w:p>
        </w:tc>
        <w:tc>
          <w:tcPr>
            <w:tcW w:w="1547" w:type="dxa"/>
            <w:shd w:val="clear" w:color="auto" w:fill="auto"/>
          </w:tcPr>
          <w:p w14:paraId="40E396CC" w14:textId="77777777" w:rsidR="002C1266" w:rsidRPr="00FB4D49" w:rsidRDefault="002C1266" w:rsidP="002D0B33">
            <w:pPr>
              <w:pStyle w:val="Tabletext"/>
              <w:keepNext/>
              <w:keepLines/>
            </w:pPr>
            <w:r w:rsidRPr="00FB4D49">
              <w:t>SYNAPSE</w:t>
            </w:r>
            <w:r>
              <w:t xml:space="preserve"> </w:t>
            </w:r>
            <w:r>
              <w:rPr>
                <w:vertAlign w:val="superscript"/>
              </w:rPr>
              <w:t>c</w:t>
            </w:r>
            <w:r w:rsidRPr="00FB4D49">
              <w:t xml:space="preserve"> </w:t>
            </w:r>
          </w:p>
        </w:tc>
        <w:tc>
          <w:tcPr>
            <w:tcW w:w="1817" w:type="dxa"/>
            <w:shd w:val="clear" w:color="auto" w:fill="auto"/>
          </w:tcPr>
          <w:p w14:paraId="761CDF5F" w14:textId="77777777" w:rsidR="002C1266" w:rsidRPr="00FB4D49" w:rsidRDefault="002C1266" w:rsidP="002D0B33">
            <w:pPr>
              <w:pStyle w:val="Tabletext"/>
              <w:keepNext/>
              <w:keepLines/>
              <w:jc w:val="center"/>
            </w:pPr>
            <w:r w:rsidRPr="00FB4D49">
              <w:t>150/205 (73.2%)</w:t>
            </w:r>
          </w:p>
        </w:tc>
        <w:tc>
          <w:tcPr>
            <w:tcW w:w="1529" w:type="dxa"/>
            <w:shd w:val="clear" w:color="auto" w:fill="auto"/>
          </w:tcPr>
          <w:p w14:paraId="4CB2372C" w14:textId="77777777" w:rsidR="002C1266" w:rsidRPr="00FB4D49" w:rsidRDefault="002C1266" w:rsidP="002D0B33">
            <w:pPr>
              <w:pStyle w:val="Tabletext"/>
              <w:keepNext/>
              <w:keepLines/>
              <w:jc w:val="center"/>
            </w:pPr>
            <w:r w:rsidRPr="00FB4D49">
              <w:t>106/198 (53.5%)</w:t>
            </w:r>
          </w:p>
        </w:tc>
        <w:tc>
          <w:tcPr>
            <w:tcW w:w="2310" w:type="dxa"/>
            <w:shd w:val="clear" w:color="auto" w:fill="auto"/>
          </w:tcPr>
          <w:p w14:paraId="6BFB6FF8" w14:textId="77777777" w:rsidR="002C1266" w:rsidRPr="00FB4D49" w:rsidRDefault="002C1266" w:rsidP="002D0B33">
            <w:pPr>
              <w:pStyle w:val="Tabletext"/>
              <w:keepNext/>
              <w:keepLines/>
              <w:jc w:val="center"/>
            </w:pPr>
            <w:r w:rsidRPr="00FB4D49">
              <w:t>2.37 [1.56, 3.59]</w:t>
            </w:r>
          </w:p>
        </w:tc>
      </w:tr>
      <w:tr w:rsidR="002C1266" w:rsidRPr="00FB4D49" w14:paraId="643BA27D" w14:textId="77777777">
        <w:tc>
          <w:tcPr>
            <w:tcW w:w="1814" w:type="dxa"/>
            <w:shd w:val="clear" w:color="auto" w:fill="D9D9D9" w:themeFill="background1" w:themeFillShade="D9"/>
          </w:tcPr>
          <w:p w14:paraId="258F24F4" w14:textId="77777777" w:rsidR="002C1266" w:rsidRPr="00FA3309" w:rsidRDefault="002C1266" w:rsidP="002D0B33">
            <w:pPr>
              <w:pStyle w:val="Tabletext"/>
              <w:keepNext/>
              <w:keepLines/>
            </w:pPr>
            <w:r w:rsidRPr="00FA3309">
              <w:t>ITC OMA vs. MEPO</w:t>
            </w:r>
          </w:p>
        </w:tc>
        <w:tc>
          <w:tcPr>
            <w:tcW w:w="4893" w:type="dxa"/>
            <w:gridSpan w:val="3"/>
            <w:shd w:val="clear" w:color="auto" w:fill="D9D9D9" w:themeFill="background1" w:themeFillShade="D9"/>
          </w:tcPr>
          <w:p w14:paraId="7F895C3C" w14:textId="77777777" w:rsidR="002C1266" w:rsidRPr="00FC6B59" w:rsidRDefault="002C1266" w:rsidP="002D0B33">
            <w:pPr>
              <w:pStyle w:val="Tabletext"/>
              <w:keepNext/>
              <w:keepLines/>
              <w:rPr>
                <w:lang w:val="pt-BR"/>
              </w:rPr>
            </w:pPr>
            <w:r w:rsidRPr="00FC6B59">
              <w:rPr>
                <w:lang w:val="pt-BR"/>
              </w:rPr>
              <w:t>POLYP 1/2 (N=128) vs. SYNAPSE (N=205)</w:t>
            </w:r>
          </w:p>
        </w:tc>
        <w:tc>
          <w:tcPr>
            <w:tcW w:w="2310" w:type="dxa"/>
            <w:shd w:val="clear" w:color="auto" w:fill="D9D9D9" w:themeFill="background1" w:themeFillShade="D9"/>
          </w:tcPr>
          <w:p w14:paraId="53A46175" w14:textId="77777777" w:rsidR="002C1266" w:rsidRPr="00FB4D49" w:rsidRDefault="002C1266" w:rsidP="002D0B33">
            <w:pPr>
              <w:pStyle w:val="Tabletext"/>
              <w:keepNext/>
              <w:keepLines/>
              <w:jc w:val="center"/>
            </w:pPr>
            <w:r w:rsidRPr="00FA3309">
              <w:t>1.53 [0.78, 2.98]; p=0.2131</w:t>
            </w:r>
          </w:p>
        </w:tc>
      </w:tr>
      <w:tr w:rsidR="002C1266" w:rsidRPr="00FB4D49" w14:paraId="3F7E0060" w14:textId="77777777">
        <w:tc>
          <w:tcPr>
            <w:tcW w:w="9017" w:type="dxa"/>
            <w:gridSpan w:val="5"/>
            <w:shd w:val="clear" w:color="auto" w:fill="auto"/>
          </w:tcPr>
          <w:p w14:paraId="5ED57F35" w14:textId="77777777" w:rsidR="002C1266" w:rsidRPr="009E3529" w:rsidRDefault="002C1266" w:rsidP="002D0B33">
            <w:pPr>
              <w:pStyle w:val="Tabletext"/>
              <w:keepNext/>
              <w:keepLines/>
              <w:rPr>
                <w:b/>
                <w:bCs/>
              </w:rPr>
            </w:pPr>
            <w:r w:rsidRPr="009E3529">
              <w:rPr>
                <w:b/>
                <w:bCs/>
              </w:rPr>
              <w:t>POST-SURGICAL SUBGROUP</w:t>
            </w:r>
          </w:p>
        </w:tc>
      </w:tr>
      <w:tr w:rsidR="002C1266" w:rsidRPr="00FB4D49" w14:paraId="5F81230A" w14:textId="77777777">
        <w:tc>
          <w:tcPr>
            <w:tcW w:w="9017" w:type="dxa"/>
            <w:gridSpan w:val="5"/>
            <w:shd w:val="clear" w:color="auto" w:fill="F2F2F2" w:themeFill="background1" w:themeFillShade="F2"/>
          </w:tcPr>
          <w:p w14:paraId="5FE140D5" w14:textId="77777777" w:rsidR="002C1266" w:rsidRPr="00F0207E" w:rsidRDefault="002C1266" w:rsidP="002D0B33">
            <w:pPr>
              <w:pStyle w:val="Tabletext"/>
              <w:keepNext/>
              <w:keepLines/>
              <w:rPr>
                <w:b/>
              </w:rPr>
            </w:pPr>
            <w:r w:rsidRPr="00F0207E">
              <w:rPr>
                <w:b/>
              </w:rPr>
              <w:t>≥1-point improvement from baseline in NPS</w:t>
            </w:r>
          </w:p>
        </w:tc>
      </w:tr>
      <w:tr w:rsidR="002C1266" w:rsidRPr="00FB4D49" w14:paraId="090A5495" w14:textId="77777777">
        <w:tc>
          <w:tcPr>
            <w:tcW w:w="1814" w:type="dxa"/>
            <w:shd w:val="clear" w:color="auto" w:fill="auto"/>
          </w:tcPr>
          <w:p w14:paraId="782A138A" w14:textId="77777777" w:rsidR="002C1266" w:rsidRPr="008C7EED" w:rsidRDefault="002C1266" w:rsidP="002D0B33">
            <w:pPr>
              <w:pStyle w:val="Tabletext"/>
              <w:keepNext/>
              <w:keepLines/>
            </w:pPr>
            <w:r w:rsidRPr="008C7EED">
              <w:t xml:space="preserve">OMA vs. PBO </w:t>
            </w:r>
          </w:p>
        </w:tc>
        <w:tc>
          <w:tcPr>
            <w:tcW w:w="1547" w:type="dxa"/>
            <w:shd w:val="clear" w:color="auto" w:fill="auto"/>
          </w:tcPr>
          <w:p w14:paraId="013C9E55" w14:textId="77777777" w:rsidR="002C1266" w:rsidRPr="008C7EED" w:rsidRDefault="002C1266" w:rsidP="002D0B33">
            <w:pPr>
              <w:pStyle w:val="Tabletext"/>
              <w:keepNext/>
              <w:keepLines/>
            </w:pPr>
            <w:r w:rsidRPr="008C7EED">
              <w:t>POLYP 1/2</w:t>
            </w:r>
            <w:r>
              <w:t xml:space="preserve"> </w:t>
            </w:r>
            <w:r>
              <w:rPr>
                <w:vertAlign w:val="superscript"/>
              </w:rPr>
              <w:t>d</w:t>
            </w:r>
            <w:r w:rsidRPr="008C7EED">
              <w:t xml:space="preserve"> </w:t>
            </w:r>
          </w:p>
        </w:tc>
        <w:tc>
          <w:tcPr>
            <w:tcW w:w="1817" w:type="dxa"/>
            <w:shd w:val="clear" w:color="auto" w:fill="auto"/>
          </w:tcPr>
          <w:p w14:paraId="0D92C679" w14:textId="77777777" w:rsidR="002C1266" w:rsidRPr="008C7EED" w:rsidRDefault="002C1266" w:rsidP="002D0B33">
            <w:pPr>
              <w:pStyle w:val="Tabletext"/>
              <w:keepNext/>
              <w:keepLines/>
              <w:jc w:val="center"/>
            </w:pPr>
            <w:r w:rsidRPr="008C7EED">
              <w:t>43/73 (58.9%)</w:t>
            </w:r>
          </w:p>
        </w:tc>
        <w:tc>
          <w:tcPr>
            <w:tcW w:w="1529" w:type="dxa"/>
            <w:shd w:val="clear" w:color="auto" w:fill="auto"/>
          </w:tcPr>
          <w:p w14:paraId="52D4CE26" w14:textId="77777777" w:rsidR="002C1266" w:rsidRPr="008C7EED" w:rsidRDefault="002C1266" w:rsidP="002D0B33">
            <w:pPr>
              <w:pStyle w:val="Tabletext"/>
              <w:keepNext/>
              <w:keepLines/>
              <w:jc w:val="center"/>
            </w:pPr>
            <w:r w:rsidRPr="008C7EED">
              <w:t>20/79 (25.3%)</w:t>
            </w:r>
          </w:p>
        </w:tc>
        <w:tc>
          <w:tcPr>
            <w:tcW w:w="2310" w:type="dxa"/>
            <w:shd w:val="clear" w:color="auto" w:fill="auto"/>
          </w:tcPr>
          <w:p w14:paraId="48F56401" w14:textId="77777777" w:rsidR="002C1266" w:rsidRPr="008C7EED" w:rsidRDefault="002C1266" w:rsidP="002D0B33">
            <w:pPr>
              <w:pStyle w:val="Tabletext"/>
              <w:keepNext/>
              <w:keepLines/>
              <w:jc w:val="center"/>
            </w:pPr>
            <w:r w:rsidRPr="008C7EED">
              <w:t>4.23 [2.12, 8.42]</w:t>
            </w:r>
          </w:p>
        </w:tc>
      </w:tr>
      <w:tr w:rsidR="002C1266" w:rsidRPr="00FB4D49" w14:paraId="0F49A23F" w14:textId="77777777">
        <w:tc>
          <w:tcPr>
            <w:tcW w:w="1814" w:type="dxa"/>
            <w:shd w:val="clear" w:color="auto" w:fill="auto"/>
          </w:tcPr>
          <w:p w14:paraId="6C5B7FEA" w14:textId="77777777" w:rsidR="002C1266" w:rsidRPr="008C7EED" w:rsidRDefault="002C1266" w:rsidP="002D0B33">
            <w:pPr>
              <w:pStyle w:val="Tabletext"/>
              <w:keepNext/>
              <w:keepLines/>
            </w:pPr>
            <w:r w:rsidRPr="008C7EED">
              <w:t xml:space="preserve">MEPO vs. PBO </w:t>
            </w:r>
          </w:p>
        </w:tc>
        <w:tc>
          <w:tcPr>
            <w:tcW w:w="1547" w:type="dxa"/>
            <w:shd w:val="clear" w:color="auto" w:fill="auto"/>
          </w:tcPr>
          <w:p w14:paraId="0D471F29" w14:textId="77777777" w:rsidR="002C1266" w:rsidRPr="008C7EED" w:rsidRDefault="002C1266" w:rsidP="002D0B33">
            <w:pPr>
              <w:pStyle w:val="Tabletext"/>
              <w:keepNext/>
              <w:keepLines/>
            </w:pPr>
            <w:r w:rsidRPr="008C7EED">
              <w:t xml:space="preserve">SYNAPSE </w:t>
            </w:r>
          </w:p>
        </w:tc>
        <w:tc>
          <w:tcPr>
            <w:tcW w:w="1817" w:type="dxa"/>
            <w:shd w:val="clear" w:color="auto" w:fill="auto"/>
          </w:tcPr>
          <w:p w14:paraId="7C8311C7" w14:textId="77777777" w:rsidR="002C1266" w:rsidRPr="008C7EED" w:rsidRDefault="002C1266" w:rsidP="002D0B33">
            <w:pPr>
              <w:pStyle w:val="Tabletext"/>
              <w:keepNext/>
              <w:keepLines/>
              <w:jc w:val="center"/>
            </w:pPr>
            <w:r w:rsidRPr="008C7EED">
              <w:t>104/206 (50.5%)</w:t>
            </w:r>
          </w:p>
        </w:tc>
        <w:tc>
          <w:tcPr>
            <w:tcW w:w="1529" w:type="dxa"/>
            <w:shd w:val="clear" w:color="auto" w:fill="auto"/>
          </w:tcPr>
          <w:p w14:paraId="4B4DEDBD" w14:textId="77777777" w:rsidR="002C1266" w:rsidRPr="008C7EED" w:rsidRDefault="002C1266" w:rsidP="002D0B33">
            <w:pPr>
              <w:pStyle w:val="Tabletext"/>
              <w:keepNext/>
              <w:keepLines/>
              <w:jc w:val="center"/>
            </w:pPr>
            <w:r w:rsidRPr="008C7EED">
              <w:t>57/201 (28.4%)</w:t>
            </w:r>
          </w:p>
        </w:tc>
        <w:tc>
          <w:tcPr>
            <w:tcW w:w="2310" w:type="dxa"/>
            <w:shd w:val="clear" w:color="auto" w:fill="auto"/>
          </w:tcPr>
          <w:p w14:paraId="07A63B9D" w14:textId="77777777" w:rsidR="002C1266" w:rsidRPr="008C7EED" w:rsidRDefault="002C1266" w:rsidP="002D0B33">
            <w:pPr>
              <w:pStyle w:val="Tabletext"/>
              <w:keepNext/>
              <w:keepLines/>
              <w:jc w:val="center"/>
            </w:pPr>
            <w:r w:rsidRPr="008C7EED">
              <w:t>2.58 [1.71, 3.88]</w:t>
            </w:r>
          </w:p>
        </w:tc>
      </w:tr>
      <w:tr w:rsidR="002C1266" w:rsidRPr="00FB4D49" w14:paraId="7599CCED" w14:textId="77777777">
        <w:tc>
          <w:tcPr>
            <w:tcW w:w="1814" w:type="dxa"/>
            <w:shd w:val="clear" w:color="auto" w:fill="D9D9D9" w:themeFill="background1" w:themeFillShade="D9"/>
          </w:tcPr>
          <w:p w14:paraId="16E204CF" w14:textId="77777777" w:rsidR="002C1266" w:rsidRPr="008C7EED" w:rsidRDefault="002C1266" w:rsidP="002D0B33">
            <w:pPr>
              <w:pStyle w:val="Tabletext"/>
              <w:keepNext/>
              <w:keepLines/>
            </w:pPr>
            <w:r w:rsidRPr="008C7EED">
              <w:t>ITC OMA vs. MEPO</w:t>
            </w:r>
          </w:p>
        </w:tc>
        <w:tc>
          <w:tcPr>
            <w:tcW w:w="4893" w:type="dxa"/>
            <w:gridSpan w:val="3"/>
            <w:shd w:val="clear" w:color="auto" w:fill="D9D9D9" w:themeFill="background1" w:themeFillShade="D9"/>
          </w:tcPr>
          <w:p w14:paraId="77DF3C55" w14:textId="77777777" w:rsidR="002C1266" w:rsidRPr="00FC6B59" w:rsidRDefault="002C1266" w:rsidP="002D0B33">
            <w:pPr>
              <w:pStyle w:val="Tabletext"/>
              <w:keepNext/>
              <w:keepLines/>
              <w:rPr>
                <w:lang w:val="pt-BR"/>
              </w:rPr>
            </w:pPr>
            <w:r w:rsidRPr="00FC6B59">
              <w:rPr>
                <w:lang w:val="pt-BR"/>
              </w:rPr>
              <w:t>POLYP 1/2 (N=73) vs. SYNAPSE (N=206)</w:t>
            </w:r>
          </w:p>
        </w:tc>
        <w:tc>
          <w:tcPr>
            <w:tcW w:w="2310" w:type="dxa"/>
            <w:shd w:val="clear" w:color="auto" w:fill="D9D9D9" w:themeFill="background1" w:themeFillShade="D9"/>
          </w:tcPr>
          <w:p w14:paraId="4A1A7F7D" w14:textId="77777777" w:rsidR="002C1266" w:rsidRPr="008C7EED" w:rsidRDefault="002C1266" w:rsidP="002D0B33">
            <w:pPr>
              <w:pStyle w:val="Tabletext"/>
              <w:keepNext/>
              <w:keepLines/>
              <w:jc w:val="center"/>
            </w:pPr>
            <w:r w:rsidRPr="008C7EED">
              <w:t>1.64 [0.74, 3.66]; p=0.227</w:t>
            </w:r>
          </w:p>
        </w:tc>
      </w:tr>
      <w:tr w:rsidR="002C1266" w:rsidRPr="00FB4D49" w14:paraId="4437A119" w14:textId="77777777">
        <w:tc>
          <w:tcPr>
            <w:tcW w:w="9017" w:type="dxa"/>
            <w:gridSpan w:val="5"/>
            <w:shd w:val="clear" w:color="auto" w:fill="F2F2F2" w:themeFill="background1" w:themeFillShade="F2"/>
          </w:tcPr>
          <w:p w14:paraId="28579D3B" w14:textId="77777777" w:rsidR="002C1266" w:rsidRPr="006C3D60" w:rsidRDefault="002C1266" w:rsidP="002D0B33">
            <w:pPr>
              <w:pStyle w:val="Tabletext"/>
              <w:keepNext/>
              <w:keepLines/>
              <w:rPr>
                <w:b/>
                <w:bCs/>
              </w:rPr>
            </w:pPr>
            <w:r w:rsidRPr="006C3D60">
              <w:rPr>
                <w:b/>
                <w:bCs/>
              </w:rPr>
              <w:t>≥2-point improvement from baseline in NPS</w:t>
            </w:r>
          </w:p>
        </w:tc>
      </w:tr>
      <w:tr w:rsidR="002C1266" w:rsidRPr="00FB4D49" w14:paraId="1FBEE530" w14:textId="77777777">
        <w:tc>
          <w:tcPr>
            <w:tcW w:w="1814" w:type="dxa"/>
            <w:shd w:val="clear" w:color="auto" w:fill="auto"/>
          </w:tcPr>
          <w:p w14:paraId="252C0C8F" w14:textId="77777777" w:rsidR="002C1266" w:rsidRPr="008C7EED" w:rsidRDefault="002C1266" w:rsidP="002D0B33">
            <w:pPr>
              <w:pStyle w:val="Tabletext"/>
              <w:keepNext/>
              <w:keepLines/>
            </w:pPr>
            <w:r w:rsidRPr="008C7EED">
              <w:t xml:space="preserve">OMA vs. PBO </w:t>
            </w:r>
          </w:p>
        </w:tc>
        <w:tc>
          <w:tcPr>
            <w:tcW w:w="1547" w:type="dxa"/>
            <w:shd w:val="clear" w:color="auto" w:fill="auto"/>
          </w:tcPr>
          <w:p w14:paraId="25EA8093" w14:textId="77777777" w:rsidR="002C1266" w:rsidRPr="008C7EED" w:rsidRDefault="002C1266" w:rsidP="002D0B33">
            <w:pPr>
              <w:pStyle w:val="Tabletext"/>
              <w:keepNext/>
              <w:keepLines/>
            </w:pPr>
            <w:r w:rsidRPr="008C7EED">
              <w:t>POLYP 1/2</w:t>
            </w:r>
            <w:r>
              <w:rPr>
                <w:vertAlign w:val="superscript"/>
              </w:rPr>
              <w:t xml:space="preserve"> d</w:t>
            </w:r>
          </w:p>
        </w:tc>
        <w:tc>
          <w:tcPr>
            <w:tcW w:w="1817" w:type="dxa"/>
            <w:shd w:val="clear" w:color="auto" w:fill="auto"/>
          </w:tcPr>
          <w:p w14:paraId="30534AD7" w14:textId="77777777" w:rsidR="002C1266" w:rsidRPr="008C7EED" w:rsidRDefault="002C1266" w:rsidP="002D0B33">
            <w:pPr>
              <w:pStyle w:val="Tabletext"/>
              <w:keepNext/>
              <w:keepLines/>
              <w:jc w:val="center"/>
            </w:pPr>
            <w:r w:rsidRPr="008C7EED">
              <w:t>27/73 (36.99%)</w:t>
            </w:r>
          </w:p>
        </w:tc>
        <w:tc>
          <w:tcPr>
            <w:tcW w:w="1529" w:type="dxa"/>
            <w:shd w:val="clear" w:color="auto" w:fill="auto"/>
          </w:tcPr>
          <w:p w14:paraId="066ADFDE" w14:textId="77777777" w:rsidR="002C1266" w:rsidRPr="008C7EED" w:rsidRDefault="002C1266" w:rsidP="002D0B33">
            <w:pPr>
              <w:pStyle w:val="Tabletext"/>
              <w:keepNext/>
              <w:keepLines/>
              <w:jc w:val="center"/>
            </w:pPr>
            <w:r w:rsidRPr="008C7EED">
              <w:t>10/79 (12.66%)</w:t>
            </w:r>
          </w:p>
        </w:tc>
        <w:tc>
          <w:tcPr>
            <w:tcW w:w="2310" w:type="dxa"/>
            <w:shd w:val="clear" w:color="auto" w:fill="auto"/>
          </w:tcPr>
          <w:p w14:paraId="4D1AFF3F" w14:textId="77777777" w:rsidR="002C1266" w:rsidRPr="008C7EED" w:rsidRDefault="002C1266" w:rsidP="002D0B33">
            <w:pPr>
              <w:pStyle w:val="Tabletext"/>
              <w:keepNext/>
              <w:keepLines/>
              <w:jc w:val="center"/>
            </w:pPr>
            <w:r w:rsidRPr="008C7EED">
              <w:t>4.05 [1.79, 9.16]</w:t>
            </w:r>
          </w:p>
        </w:tc>
      </w:tr>
      <w:tr w:rsidR="002C1266" w:rsidRPr="00FB4D49" w14:paraId="54501E14" w14:textId="77777777">
        <w:tc>
          <w:tcPr>
            <w:tcW w:w="1814" w:type="dxa"/>
            <w:shd w:val="clear" w:color="auto" w:fill="auto"/>
          </w:tcPr>
          <w:p w14:paraId="796B18FB" w14:textId="77777777" w:rsidR="002C1266" w:rsidRPr="008C7EED" w:rsidRDefault="002C1266" w:rsidP="002D0B33">
            <w:pPr>
              <w:pStyle w:val="Tabletext"/>
              <w:keepNext/>
              <w:keepLines/>
            </w:pPr>
            <w:r w:rsidRPr="008C7EED">
              <w:t xml:space="preserve">MEPO vs. PBO </w:t>
            </w:r>
          </w:p>
        </w:tc>
        <w:tc>
          <w:tcPr>
            <w:tcW w:w="1547" w:type="dxa"/>
            <w:shd w:val="clear" w:color="auto" w:fill="auto"/>
          </w:tcPr>
          <w:p w14:paraId="1CAA5E61" w14:textId="77777777" w:rsidR="002C1266" w:rsidRPr="008C7EED" w:rsidRDefault="002C1266" w:rsidP="002D0B33">
            <w:pPr>
              <w:pStyle w:val="Tabletext"/>
              <w:keepNext/>
              <w:keepLines/>
            </w:pPr>
            <w:r w:rsidRPr="008C7EED">
              <w:t xml:space="preserve">SYNAPSE </w:t>
            </w:r>
          </w:p>
        </w:tc>
        <w:tc>
          <w:tcPr>
            <w:tcW w:w="1817" w:type="dxa"/>
            <w:shd w:val="clear" w:color="auto" w:fill="auto"/>
          </w:tcPr>
          <w:p w14:paraId="4EF37931" w14:textId="77777777" w:rsidR="002C1266" w:rsidRPr="008C7EED" w:rsidRDefault="002C1266" w:rsidP="002D0B33">
            <w:pPr>
              <w:pStyle w:val="Tabletext"/>
              <w:keepNext/>
              <w:keepLines/>
              <w:jc w:val="center"/>
            </w:pPr>
            <w:r w:rsidRPr="008C7EED">
              <w:t>74/206 (35.92%)</w:t>
            </w:r>
          </w:p>
        </w:tc>
        <w:tc>
          <w:tcPr>
            <w:tcW w:w="1529" w:type="dxa"/>
            <w:shd w:val="clear" w:color="auto" w:fill="auto"/>
          </w:tcPr>
          <w:p w14:paraId="6D7D315A" w14:textId="77777777" w:rsidR="002C1266" w:rsidRPr="008C7EED" w:rsidRDefault="002C1266" w:rsidP="002D0B33">
            <w:pPr>
              <w:pStyle w:val="Tabletext"/>
              <w:keepNext/>
              <w:keepLines/>
              <w:jc w:val="center"/>
            </w:pPr>
            <w:r w:rsidRPr="008C7EED">
              <w:t>26/201 (12.94%)</w:t>
            </w:r>
          </w:p>
        </w:tc>
        <w:tc>
          <w:tcPr>
            <w:tcW w:w="2310" w:type="dxa"/>
            <w:shd w:val="clear" w:color="auto" w:fill="auto"/>
          </w:tcPr>
          <w:p w14:paraId="76DB40C1" w14:textId="77777777" w:rsidR="002C1266" w:rsidRPr="008C7EED" w:rsidRDefault="002C1266" w:rsidP="002D0B33">
            <w:pPr>
              <w:pStyle w:val="Tabletext"/>
              <w:keepNext/>
              <w:keepLines/>
              <w:jc w:val="center"/>
            </w:pPr>
            <w:r w:rsidRPr="008C7EED">
              <w:t>3.77 [2.29, 6.23]</w:t>
            </w:r>
          </w:p>
        </w:tc>
      </w:tr>
      <w:tr w:rsidR="002C1266" w:rsidRPr="00FB4D49" w14:paraId="1A298BEC" w14:textId="77777777">
        <w:tc>
          <w:tcPr>
            <w:tcW w:w="1814" w:type="dxa"/>
            <w:shd w:val="clear" w:color="auto" w:fill="D9D9D9" w:themeFill="background1" w:themeFillShade="D9"/>
          </w:tcPr>
          <w:p w14:paraId="209EC9BF" w14:textId="77777777" w:rsidR="002C1266" w:rsidRPr="008C7EED" w:rsidRDefault="002C1266" w:rsidP="002D0B33">
            <w:pPr>
              <w:pStyle w:val="Tabletext"/>
              <w:keepNext/>
              <w:keepLines/>
            </w:pPr>
            <w:r w:rsidRPr="008C7EED">
              <w:t>ITC OMA vs. MEPO</w:t>
            </w:r>
          </w:p>
        </w:tc>
        <w:tc>
          <w:tcPr>
            <w:tcW w:w="4893" w:type="dxa"/>
            <w:gridSpan w:val="3"/>
            <w:shd w:val="clear" w:color="auto" w:fill="D9D9D9" w:themeFill="background1" w:themeFillShade="D9"/>
          </w:tcPr>
          <w:p w14:paraId="06AE6E1F" w14:textId="77777777" w:rsidR="002C1266" w:rsidRPr="00FC6B59" w:rsidRDefault="002C1266" w:rsidP="002D0B33">
            <w:pPr>
              <w:pStyle w:val="Tabletext"/>
              <w:keepNext/>
              <w:keepLines/>
              <w:rPr>
                <w:lang w:val="pt-BR"/>
              </w:rPr>
            </w:pPr>
            <w:r w:rsidRPr="00FC6B59">
              <w:rPr>
                <w:lang w:val="pt-BR"/>
              </w:rPr>
              <w:t>POLYP 1/2 (N=73) vs. SYNAPSE (N=206)</w:t>
            </w:r>
          </w:p>
        </w:tc>
        <w:tc>
          <w:tcPr>
            <w:tcW w:w="2310" w:type="dxa"/>
            <w:shd w:val="clear" w:color="auto" w:fill="D9D9D9" w:themeFill="background1" w:themeFillShade="D9"/>
          </w:tcPr>
          <w:p w14:paraId="6CC3448B" w14:textId="77777777" w:rsidR="002C1266" w:rsidRPr="008C7EED" w:rsidRDefault="002C1266" w:rsidP="002D0B33">
            <w:pPr>
              <w:pStyle w:val="Tabletext"/>
              <w:keepNext/>
              <w:keepLines/>
              <w:jc w:val="center"/>
            </w:pPr>
            <w:r w:rsidRPr="008C7EED">
              <w:t>1.07 [0.41, 2.8]; p=0.8834</w:t>
            </w:r>
          </w:p>
        </w:tc>
      </w:tr>
      <w:tr w:rsidR="002C1266" w:rsidRPr="00FB4D49" w14:paraId="0CC39176" w14:textId="77777777">
        <w:tc>
          <w:tcPr>
            <w:tcW w:w="9017" w:type="dxa"/>
            <w:gridSpan w:val="5"/>
            <w:shd w:val="clear" w:color="auto" w:fill="F2F2F2" w:themeFill="background1" w:themeFillShade="F2"/>
          </w:tcPr>
          <w:p w14:paraId="46E9A74A" w14:textId="77777777" w:rsidR="002C1266" w:rsidRPr="006C3D60" w:rsidRDefault="002C1266" w:rsidP="002D0B33">
            <w:pPr>
              <w:pStyle w:val="Tabletext"/>
              <w:keepNext/>
              <w:keepLines/>
              <w:rPr>
                <w:b/>
                <w:bCs/>
              </w:rPr>
            </w:pPr>
            <w:r w:rsidRPr="006C3D60">
              <w:rPr>
                <w:b/>
                <w:bCs/>
              </w:rPr>
              <w:t xml:space="preserve">≥8.9 improvement from baseline in SNOT-22 </w:t>
            </w:r>
          </w:p>
        </w:tc>
      </w:tr>
      <w:tr w:rsidR="002C1266" w:rsidRPr="00FB4D49" w14:paraId="4E75B827" w14:textId="77777777">
        <w:tc>
          <w:tcPr>
            <w:tcW w:w="1814" w:type="dxa"/>
            <w:shd w:val="clear" w:color="auto" w:fill="auto"/>
          </w:tcPr>
          <w:p w14:paraId="45B00B99" w14:textId="77777777" w:rsidR="002C1266" w:rsidRPr="008C7EED" w:rsidRDefault="002C1266" w:rsidP="002D0B33">
            <w:pPr>
              <w:pStyle w:val="Tabletext"/>
              <w:keepNext/>
              <w:keepLines/>
            </w:pPr>
            <w:r w:rsidRPr="008C7EED">
              <w:t xml:space="preserve">OMA vs. PBO </w:t>
            </w:r>
          </w:p>
        </w:tc>
        <w:tc>
          <w:tcPr>
            <w:tcW w:w="1547" w:type="dxa"/>
            <w:shd w:val="clear" w:color="auto" w:fill="auto"/>
          </w:tcPr>
          <w:p w14:paraId="0DB9BB1C" w14:textId="77777777" w:rsidR="002C1266" w:rsidRPr="008C7EED" w:rsidRDefault="002C1266" w:rsidP="002D0B33">
            <w:pPr>
              <w:pStyle w:val="Tabletext"/>
              <w:keepNext/>
              <w:keepLines/>
            </w:pPr>
            <w:r w:rsidRPr="008C7EED">
              <w:t>POLYP 1/2</w:t>
            </w:r>
            <w:r>
              <w:rPr>
                <w:vertAlign w:val="superscript"/>
              </w:rPr>
              <w:t xml:space="preserve"> e</w:t>
            </w:r>
            <w:r w:rsidRPr="008C7EED">
              <w:t xml:space="preserve"> </w:t>
            </w:r>
          </w:p>
        </w:tc>
        <w:tc>
          <w:tcPr>
            <w:tcW w:w="1817" w:type="dxa"/>
            <w:shd w:val="clear" w:color="auto" w:fill="auto"/>
          </w:tcPr>
          <w:p w14:paraId="294BE270" w14:textId="77777777" w:rsidR="002C1266" w:rsidRPr="008C7EED" w:rsidRDefault="002C1266" w:rsidP="002D0B33">
            <w:pPr>
              <w:pStyle w:val="Tabletext"/>
              <w:keepNext/>
              <w:keepLines/>
              <w:jc w:val="center"/>
            </w:pPr>
            <w:r w:rsidRPr="008C7EED">
              <w:t>51/73 (69.86%)</w:t>
            </w:r>
          </w:p>
        </w:tc>
        <w:tc>
          <w:tcPr>
            <w:tcW w:w="1529" w:type="dxa"/>
            <w:shd w:val="clear" w:color="auto" w:fill="auto"/>
          </w:tcPr>
          <w:p w14:paraId="5F3A9E2E" w14:textId="77777777" w:rsidR="002C1266" w:rsidRPr="008C7EED" w:rsidRDefault="002C1266" w:rsidP="002D0B33">
            <w:pPr>
              <w:pStyle w:val="Tabletext"/>
              <w:keepNext/>
              <w:keepLines/>
              <w:jc w:val="center"/>
            </w:pPr>
            <w:r w:rsidRPr="008C7EED">
              <w:t>32/78 (41.03%)</w:t>
            </w:r>
          </w:p>
        </w:tc>
        <w:tc>
          <w:tcPr>
            <w:tcW w:w="2310" w:type="dxa"/>
            <w:shd w:val="clear" w:color="auto" w:fill="auto"/>
          </w:tcPr>
          <w:p w14:paraId="66D32D17" w14:textId="77777777" w:rsidR="002C1266" w:rsidRPr="008C7EED" w:rsidRDefault="002C1266" w:rsidP="002D0B33">
            <w:pPr>
              <w:pStyle w:val="Tabletext"/>
              <w:keepNext/>
              <w:keepLines/>
              <w:jc w:val="center"/>
            </w:pPr>
            <w:r w:rsidRPr="008C7EED">
              <w:t>3.33 [1.70, 6.53]</w:t>
            </w:r>
          </w:p>
        </w:tc>
      </w:tr>
      <w:tr w:rsidR="002C1266" w:rsidRPr="00FB4D49" w14:paraId="3BBDED5B" w14:textId="77777777">
        <w:tc>
          <w:tcPr>
            <w:tcW w:w="1814" w:type="dxa"/>
            <w:shd w:val="clear" w:color="auto" w:fill="auto"/>
          </w:tcPr>
          <w:p w14:paraId="1526801F" w14:textId="77777777" w:rsidR="002C1266" w:rsidRPr="008C7EED" w:rsidRDefault="002C1266" w:rsidP="002D0B33">
            <w:pPr>
              <w:pStyle w:val="Tabletext"/>
              <w:keepNext/>
              <w:keepLines/>
            </w:pPr>
            <w:r w:rsidRPr="008C7EED">
              <w:t xml:space="preserve">MEPO vs. PBO </w:t>
            </w:r>
          </w:p>
        </w:tc>
        <w:tc>
          <w:tcPr>
            <w:tcW w:w="1547" w:type="dxa"/>
            <w:shd w:val="clear" w:color="auto" w:fill="auto"/>
          </w:tcPr>
          <w:p w14:paraId="010DD179" w14:textId="77777777" w:rsidR="002C1266" w:rsidRPr="008C7EED" w:rsidRDefault="002C1266" w:rsidP="002D0B33">
            <w:pPr>
              <w:pStyle w:val="Tabletext"/>
              <w:keepNext/>
              <w:keepLines/>
            </w:pPr>
            <w:r w:rsidRPr="008C7EED">
              <w:t>SYNAPSE</w:t>
            </w:r>
            <w:r>
              <w:rPr>
                <w:vertAlign w:val="superscript"/>
              </w:rPr>
              <w:t xml:space="preserve"> c</w:t>
            </w:r>
            <w:r w:rsidRPr="008C7EED">
              <w:t xml:space="preserve"> </w:t>
            </w:r>
          </w:p>
        </w:tc>
        <w:tc>
          <w:tcPr>
            <w:tcW w:w="1817" w:type="dxa"/>
            <w:shd w:val="clear" w:color="auto" w:fill="auto"/>
          </w:tcPr>
          <w:p w14:paraId="0A29C8E1" w14:textId="77777777" w:rsidR="002C1266" w:rsidRPr="008C7EED" w:rsidRDefault="002C1266" w:rsidP="002D0B33">
            <w:pPr>
              <w:pStyle w:val="Tabletext"/>
              <w:keepNext/>
              <w:keepLines/>
              <w:jc w:val="center"/>
            </w:pPr>
            <w:r w:rsidRPr="008C7EED">
              <w:t>150/205 (73.17%)</w:t>
            </w:r>
          </w:p>
        </w:tc>
        <w:tc>
          <w:tcPr>
            <w:tcW w:w="1529" w:type="dxa"/>
            <w:shd w:val="clear" w:color="auto" w:fill="auto"/>
          </w:tcPr>
          <w:p w14:paraId="000C22E1" w14:textId="77777777" w:rsidR="002C1266" w:rsidRPr="008C7EED" w:rsidRDefault="002C1266" w:rsidP="002D0B33">
            <w:pPr>
              <w:pStyle w:val="Tabletext"/>
              <w:keepNext/>
              <w:keepLines/>
              <w:jc w:val="center"/>
            </w:pPr>
            <w:r w:rsidRPr="008C7EED">
              <w:t>106/198 (53.54%)</w:t>
            </w:r>
          </w:p>
        </w:tc>
        <w:tc>
          <w:tcPr>
            <w:tcW w:w="2310" w:type="dxa"/>
            <w:shd w:val="clear" w:color="auto" w:fill="auto"/>
          </w:tcPr>
          <w:p w14:paraId="6CA2C71F" w14:textId="77777777" w:rsidR="002C1266" w:rsidRPr="008C7EED" w:rsidRDefault="002C1266" w:rsidP="002D0B33">
            <w:pPr>
              <w:pStyle w:val="Tabletext"/>
              <w:keepNext/>
              <w:keepLines/>
              <w:jc w:val="center"/>
            </w:pPr>
            <w:r w:rsidRPr="008C7EED">
              <w:t>2.37 [1.56, 3.59]</w:t>
            </w:r>
          </w:p>
        </w:tc>
      </w:tr>
      <w:tr w:rsidR="002C1266" w:rsidRPr="00FB4D49" w14:paraId="4B59D26D" w14:textId="77777777">
        <w:tc>
          <w:tcPr>
            <w:tcW w:w="1814" w:type="dxa"/>
            <w:shd w:val="clear" w:color="auto" w:fill="D9D9D9" w:themeFill="background1" w:themeFillShade="D9"/>
          </w:tcPr>
          <w:p w14:paraId="004799F3" w14:textId="77777777" w:rsidR="002C1266" w:rsidRPr="008C7EED" w:rsidRDefault="002C1266" w:rsidP="002D0B33">
            <w:pPr>
              <w:pStyle w:val="Tabletext"/>
              <w:keepNext/>
              <w:keepLines/>
            </w:pPr>
            <w:r w:rsidRPr="008C7EED">
              <w:t>ITC OMA vs. MEPO</w:t>
            </w:r>
          </w:p>
        </w:tc>
        <w:tc>
          <w:tcPr>
            <w:tcW w:w="4893" w:type="dxa"/>
            <w:gridSpan w:val="3"/>
            <w:shd w:val="clear" w:color="auto" w:fill="D9D9D9" w:themeFill="background1" w:themeFillShade="D9"/>
          </w:tcPr>
          <w:p w14:paraId="55E9A33E" w14:textId="77777777" w:rsidR="002C1266" w:rsidRPr="00FC6B59" w:rsidRDefault="002C1266" w:rsidP="002D0B33">
            <w:pPr>
              <w:pStyle w:val="Tabletext"/>
              <w:keepNext/>
              <w:keepLines/>
              <w:rPr>
                <w:lang w:val="pt-BR"/>
              </w:rPr>
            </w:pPr>
            <w:r w:rsidRPr="00FC6B59">
              <w:rPr>
                <w:lang w:val="pt-BR"/>
              </w:rPr>
              <w:t>POLYP 1/2 (N=73) vs. SYNAPSE (N=205)</w:t>
            </w:r>
          </w:p>
        </w:tc>
        <w:tc>
          <w:tcPr>
            <w:tcW w:w="2310" w:type="dxa"/>
            <w:shd w:val="clear" w:color="auto" w:fill="D9D9D9" w:themeFill="background1" w:themeFillShade="D9"/>
          </w:tcPr>
          <w:p w14:paraId="7F28628E" w14:textId="77777777" w:rsidR="002C1266" w:rsidRPr="008C7EED" w:rsidRDefault="002C1266" w:rsidP="002D0B33">
            <w:pPr>
              <w:pStyle w:val="Tabletext"/>
              <w:keepNext/>
              <w:keepLines/>
              <w:jc w:val="center"/>
            </w:pPr>
            <w:r w:rsidRPr="008C7EED">
              <w:t>1.41 [0.64, 3.1]; p=0.3997</w:t>
            </w:r>
          </w:p>
        </w:tc>
      </w:tr>
      <w:tr w:rsidR="002C1266" w:rsidRPr="00FB4D49" w14:paraId="7471EAA1" w14:textId="77777777">
        <w:tc>
          <w:tcPr>
            <w:tcW w:w="9017" w:type="dxa"/>
            <w:gridSpan w:val="5"/>
            <w:shd w:val="clear" w:color="auto" w:fill="auto"/>
          </w:tcPr>
          <w:p w14:paraId="4FEA8EB7" w14:textId="77777777" w:rsidR="002C1266" w:rsidRPr="00FB4D49" w:rsidRDefault="002C1266" w:rsidP="002D0B33">
            <w:pPr>
              <w:pStyle w:val="Tabletext"/>
              <w:keepNext/>
              <w:keepLines/>
            </w:pPr>
            <w:r w:rsidRPr="009E3529">
              <w:rPr>
                <w:b/>
                <w:bCs/>
              </w:rPr>
              <w:t xml:space="preserve">POST-SURGICAL </w:t>
            </w:r>
            <w:r>
              <w:rPr>
                <w:b/>
                <w:bCs/>
              </w:rPr>
              <w:t xml:space="preserve">WITH </w:t>
            </w:r>
            <w:r w:rsidRPr="00375515">
              <w:rPr>
                <w:b/>
                <w:bCs/>
              </w:rPr>
              <w:t xml:space="preserve">BEC ≥300 </w:t>
            </w:r>
            <w:r>
              <w:rPr>
                <w:b/>
                <w:bCs/>
              </w:rPr>
              <w:t>CELLS</w:t>
            </w:r>
            <w:r w:rsidRPr="00375515">
              <w:rPr>
                <w:b/>
                <w:bCs/>
              </w:rPr>
              <w:t xml:space="preserve">/µL </w:t>
            </w:r>
            <w:r w:rsidRPr="009E3529">
              <w:rPr>
                <w:b/>
                <w:bCs/>
              </w:rPr>
              <w:t>SUBGROUP</w:t>
            </w:r>
          </w:p>
        </w:tc>
      </w:tr>
      <w:tr w:rsidR="002C1266" w:rsidRPr="00FB4D49" w14:paraId="149A1474" w14:textId="77777777">
        <w:tc>
          <w:tcPr>
            <w:tcW w:w="9017" w:type="dxa"/>
            <w:gridSpan w:val="5"/>
            <w:shd w:val="clear" w:color="auto" w:fill="F2F2F2" w:themeFill="background1" w:themeFillShade="F2"/>
          </w:tcPr>
          <w:p w14:paraId="51430EC2" w14:textId="77777777" w:rsidR="002C1266" w:rsidRPr="006C3D60" w:rsidRDefault="002C1266" w:rsidP="002D0B33">
            <w:pPr>
              <w:pStyle w:val="Tabletext"/>
              <w:keepNext/>
              <w:keepLines/>
              <w:rPr>
                <w:b/>
                <w:bCs/>
              </w:rPr>
            </w:pPr>
            <w:r w:rsidRPr="006C3D60">
              <w:rPr>
                <w:b/>
                <w:bCs/>
              </w:rPr>
              <w:t>≥1-point improvement from baseline in NPS</w:t>
            </w:r>
          </w:p>
        </w:tc>
      </w:tr>
      <w:tr w:rsidR="002C1266" w:rsidRPr="00FB4D49" w14:paraId="6DBE07BC" w14:textId="77777777">
        <w:tc>
          <w:tcPr>
            <w:tcW w:w="1814" w:type="dxa"/>
            <w:shd w:val="clear" w:color="auto" w:fill="auto"/>
          </w:tcPr>
          <w:p w14:paraId="760F4FCC" w14:textId="77777777" w:rsidR="002C1266" w:rsidRPr="00723709" w:rsidRDefault="002C1266" w:rsidP="002D0B33">
            <w:pPr>
              <w:pStyle w:val="Tabletext"/>
              <w:keepNext/>
              <w:keepLines/>
            </w:pPr>
            <w:r w:rsidRPr="00723709">
              <w:t xml:space="preserve">OMA vs. PBO </w:t>
            </w:r>
          </w:p>
        </w:tc>
        <w:tc>
          <w:tcPr>
            <w:tcW w:w="1547" w:type="dxa"/>
            <w:shd w:val="clear" w:color="auto" w:fill="auto"/>
          </w:tcPr>
          <w:p w14:paraId="44754503" w14:textId="77777777" w:rsidR="002C1266" w:rsidRPr="00723709" w:rsidRDefault="002C1266" w:rsidP="002D0B33">
            <w:pPr>
              <w:pStyle w:val="Tabletext"/>
              <w:keepNext/>
              <w:keepLines/>
            </w:pPr>
            <w:r w:rsidRPr="00723709">
              <w:t>POLYP 1/2</w:t>
            </w:r>
            <w:r>
              <w:t xml:space="preserve"> </w:t>
            </w:r>
            <w:r w:rsidRPr="00570584">
              <w:rPr>
                <w:vertAlign w:val="superscript"/>
              </w:rPr>
              <w:t>f</w:t>
            </w:r>
          </w:p>
        </w:tc>
        <w:tc>
          <w:tcPr>
            <w:tcW w:w="1817" w:type="dxa"/>
            <w:shd w:val="clear" w:color="auto" w:fill="auto"/>
          </w:tcPr>
          <w:p w14:paraId="61E56053" w14:textId="77777777" w:rsidR="002C1266" w:rsidRPr="00723709" w:rsidRDefault="002C1266" w:rsidP="002D0B33">
            <w:pPr>
              <w:pStyle w:val="Tabletext"/>
              <w:keepNext/>
              <w:keepLines/>
              <w:jc w:val="center"/>
            </w:pPr>
            <w:r w:rsidRPr="00723709">
              <w:t>17/34 (50.0%)</w:t>
            </w:r>
          </w:p>
        </w:tc>
        <w:tc>
          <w:tcPr>
            <w:tcW w:w="1529" w:type="dxa"/>
            <w:shd w:val="clear" w:color="auto" w:fill="auto"/>
          </w:tcPr>
          <w:p w14:paraId="37AD40FF" w14:textId="77777777" w:rsidR="002C1266" w:rsidRPr="00723709" w:rsidRDefault="002C1266" w:rsidP="002D0B33">
            <w:pPr>
              <w:pStyle w:val="Tabletext"/>
              <w:keepNext/>
              <w:keepLines/>
              <w:jc w:val="center"/>
            </w:pPr>
            <w:r w:rsidRPr="00723709">
              <w:t>12/46 (26.1%)</w:t>
            </w:r>
          </w:p>
        </w:tc>
        <w:tc>
          <w:tcPr>
            <w:tcW w:w="2310" w:type="dxa"/>
            <w:shd w:val="clear" w:color="auto" w:fill="auto"/>
          </w:tcPr>
          <w:p w14:paraId="0CA33F3F" w14:textId="77777777" w:rsidR="002C1266" w:rsidRPr="00723709" w:rsidRDefault="002C1266" w:rsidP="002D0B33">
            <w:pPr>
              <w:pStyle w:val="Tabletext"/>
              <w:keepNext/>
              <w:keepLines/>
              <w:jc w:val="center"/>
            </w:pPr>
            <w:r w:rsidRPr="00723709">
              <w:t>2.83 [1.11, 7.26]</w:t>
            </w:r>
          </w:p>
        </w:tc>
      </w:tr>
      <w:tr w:rsidR="002C1266" w:rsidRPr="00FB4D49" w14:paraId="26B9C857" w14:textId="77777777">
        <w:tc>
          <w:tcPr>
            <w:tcW w:w="1814" w:type="dxa"/>
            <w:shd w:val="clear" w:color="auto" w:fill="auto"/>
          </w:tcPr>
          <w:p w14:paraId="2E3BABD0" w14:textId="77777777" w:rsidR="002C1266" w:rsidRPr="00723709" w:rsidRDefault="002C1266" w:rsidP="002D0B33">
            <w:pPr>
              <w:pStyle w:val="Tabletext"/>
              <w:keepNext/>
              <w:keepLines/>
            </w:pPr>
            <w:r w:rsidRPr="00723709">
              <w:t xml:space="preserve">MEPO vs. PBO </w:t>
            </w:r>
          </w:p>
        </w:tc>
        <w:tc>
          <w:tcPr>
            <w:tcW w:w="1547" w:type="dxa"/>
            <w:shd w:val="clear" w:color="auto" w:fill="auto"/>
          </w:tcPr>
          <w:p w14:paraId="423B0F6C" w14:textId="77777777" w:rsidR="002C1266" w:rsidRPr="00723709" w:rsidRDefault="002C1266" w:rsidP="002D0B33">
            <w:pPr>
              <w:pStyle w:val="Tabletext"/>
              <w:keepNext/>
              <w:keepLines/>
            </w:pPr>
            <w:r w:rsidRPr="00723709">
              <w:t xml:space="preserve">SYNAPSE </w:t>
            </w:r>
          </w:p>
        </w:tc>
        <w:tc>
          <w:tcPr>
            <w:tcW w:w="1817" w:type="dxa"/>
            <w:shd w:val="clear" w:color="auto" w:fill="auto"/>
          </w:tcPr>
          <w:p w14:paraId="6ECB794C" w14:textId="77777777" w:rsidR="002C1266" w:rsidRPr="00723709" w:rsidRDefault="002C1266" w:rsidP="002D0B33">
            <w:pPr>
              <w:pStyle w:val="Tabletext"/>
              <w:keepNext/>
              <w:keepLines/>
              <w:jc w:val="center"/>
            </w:pPr>
            <w:r w:rsidRPr="00723709">
              <w:t>70/139 (50.4%)</w:t>
            </w:r>
          </w:p>
        </w:tc>
        <w:tc>
          <w:tcPr>
            <w:tcW w:w="1529" w:type="dxa"/>
            <w:shd w:val="clear" w:color="auto" w:fill="auto"/>
          </w:tcPr>
          <w:p w14:paraId="0EF95B5D" w14:textId="77777777" w:rsidR="002C1266" w:rsidRPr="00723709" w:rsidRDefault="002C1266" w:rsidP="002D0B33">
            <w:pPr>
              <w:pStyle w:val="Tabletext"/>
              <w:keepNext/>
              <w:keepLines/>
              <w:jc w:val="center"/>
            </w:pPr>
            <w:r w:rsidRPr="00723709">
              <w:t>39/139 (28.1%)</w:t>
            </w:r>
          </w:p>
        </w:tc>
        <w:tc>
          <w:tcPr>
            <w:tcW w:w="2310" w:type="dxa"/>
            <w:shd w:val="clear" w:color="auto" w:fill="auto"/>
          </w:tcPr>
          <w:p w14:paraId="0F32B0EA" w14:textId="77777777" w:rsidR="002C1266" w:rsidRPr="00723709" w:rsidRDefault="002C1266" w:rsidP="002D0B33">
            <w:pPr>
              <w:pStyle w:val="Tabletext"/>
              <w:keepNext/>
              <w:keepLines/>
              <w:jc w:val="center"/>
            </w:pPr>
            <w:r w:rsidRPr="00723709">
              <w:t>2.60 [1.58, 4.28]</w:t>
            </w:r>
          </w:p>
        </w:tc>
      </w:tr>
      <w:tr w:rsidR="002C1266" w:rsidRPr="00FB4D49" w14:paraId="3F8D7CB7" w14:textId="77777777">
        <w:tc>
          <w:tcPr>
            <w:tcW w:w="1814" w:type="dxa"/>
            <w:shd w:val="clear" w:color="auto" w:fill="D9D9D9" w:themeFill="background1" w:themeFillShade="D9"/>
          </w:tcPr>
          <w:p w14:paraId="40478873" w14:textId="77777777" w:rsidR="002C1266" w:rsidRPr="00723709" w:rsidRDefault="002C1266" w:rsidP="002D0B33">
            <w:pPr>
              <w:pStyle w:val="Tabletext"/>
              <w:keepNext/>
              <w:keepLines/>
            </w:pPr>
            <w:r w:rsidRPr="00723709">
              <w:t>ITC OMA vs. MEPO</w:t>
            </w:r>
          </w:p>
        </w:tc>
        <w:tc>
          <w:tcPr>
            <w:tcW w:w="4893" w:type="dxa"/>
            <w:gridSpan w:val="3"/>
            <w:shd w:val="clear" w:color="auto" w:fill="D9D9D9" w:themeFill="background1" w:themeFillShade="D9"/>
          </w:tcPr>
          <w:p w14:paraId="134A6B43" w14:textId="77777777" w:rsidR="002C1266" w:rsidRPr="00FC6B59" w:rsidRDefault="002C1266" w:rsidP="002D0B33">
            <w:pPr>
              <w:pStyle w:val="Tabletext"/>
              <w:keepNext/>
              <w:keepLines/>
              <w:rPr>
                <w:lang w:val="pt-BR"/>
              </w:rPr>
            </w:pPr>
            <w:r w:rsidRPr="00FC6B59">
              <w:rPr>
                <w:lang w:val="pt-BR"/>
              </w:rPr>
              <w:t>POLYP 1/2 (N=34) vs. SYNAPSE (N=139)</w:t>
            </w:r>
          </w:p>
        </w:tc>
        <w:tc>
          <w:tcPr>
            <w:tcW w:w="2310" w:type="dxa"/>
            <w:shd w:val="clear" w:color="auto" w:fill="D9D9D9" w:themeFill="background1" w:themeFillShade="D9"/>
          </w:tcPr>
          <w:p w14:paraId="2901A7C2" w14:textId="77777777" w:rsidR="002C1266" w:rsidRPr="00723709" w:rsidRDefault="002C1266" w:rsidP="002D0B33">
            <w:pPr>
              <w:pStyle w:val="Tabletext"/>
              <w:keepNext/>
              <w:keepLines/>
              <w:jc w:val="center"/>
            </w:pPr>
            <w:r w:rsidRPr="00723709">
              <w:t>1.09 [0.38, 3.15]; p=0.8758</w:t>
            </w:r>
          </w:p>
        </w:tc>
      </w:tr>
      <w:tr w:rsidR="002C1266" w:rsidRPr="00FB4D49" w14:paraId="53815149" w14:textId="77777777">
        <w:tc>
          <w:tcPr>
            <w:tcW w:w="9017" w:type="dxa"/>
            <w:gridSpan w:val="5"/>
            <w:shd w:val="clear" w:color="auto" w:fill="F2F2F2" w:themeFill="background1" w:themeFillShade="F2"/>
          </w:tcPr>
          <w:p w14:paraId="31F65E02" w14:textId="77777777" w:rsidR="002C1266" w:rsidRPr="006C3D60" w:rsidRDefault="002C1266" w:rsidP="002D0B33">
            <w:pPr>
              <w:pStyle w:val="Tabletext"/>
              <w:keepNext/>
              <w:keepLines/>
              <w:rPr>
                <w:b/>
                <w:bCs/>
              </w:rPr>
            </w:pPr>
            <w:r w:rsidRPr="006C3D60">
              <w:rPr>
                <w:b/>
                <w:bCs/>
              </w:rPr>
              <w:t>≥2-point improvement from baseline in NPS</w:t>
            </w:r>
          </w:p>
        </w:tc>
      </w:tr>
      <w:tr w:rsidR="002C1266" w:rsidRPr="00FB4D49" w14:paraId="6D600606" w14:textId="77777777">
        <w:trPr>
          <w:trHeight w:val="50"/>
        </w:trPr>
        <w:tc>
          <w:tcPr>
            <w:tcW w:w="1814" w:type="dxa"/>
            <w:shd w:val="clear" w:color="auto" w:fill="auto"/>
          </w:tcPr>
          <w:p w14:paraId="23184034" w14:textId="77777777" w:rsidR="002C1266" w:rsidRPr="00723709" w:rsidRDefault="002C1266" w:rsidP="002D0B33">
            <w:pPr>
              <w:pStyle w:val="Tabletext"/>
              <w:keepNext/>
              <w:keepLines/>
            </w:pPr>
            <w:r w:rsidRPr="00723709">
              <w:t xml:space="preserve">OMA vs. PBO </w:t>
            </w:r>
          </w:p>
        </w:tc>
        <w:tc>
          <w:tcPr>
            <w:tcW w:w="1547" w:type="dxa"/>
            <w:shd w:val="clear" w:color="auto" w:fill="auto"/>
          </w:tcPr>
          <w:p w14:paraId="7463C6D5" w14:textId="77777777" w:rsidR="002C1266" w:rsidRPr="00723709" w:rsidRDefault="002C1266" w:rsidP="002D0B33">
            <w:pPr>
              <w:pStyle w:val="Tabletext"/>
              <w:keepNext/>
              <w:keepLines/>
            </w:pPr>
            <w:r w:rsidRPr="00723709">
              <w:t>POLYP 1/2</w:t>
            </w:r>
            <w:r>
              <w:t xml:space="preserve"> </w:t>
            </w:r>
            <w:r w:rsidRPr="00570584">
              <w:rPr>
                <w:vertAlign w:val="superscript"/>
              </w:rPr>
              <w:t xml:space="preserve">f </w:t>
            </w:r>
          </w:p>
        </w:tc>
        <w:tc>
          <w:tcPr>
            <w:tcW w:w="1817" w:type="dxa"/>
            <w:shd w:val="clear" w:color="auto" w:fill="auto"/>
          </w:tcPr>
          <w:p w14:paraId="32CFBF35" w14:textId="77777777" w:rsidR="002C1266" w:rsidRPr="00723709" w:rsidRDefault="002C1266" w:rsidP="002D0B33">
            <w:pPr>
              <w:pStyle w:val="Tabletext"/>
              <w:keepNext/>
              <w:keepLines/>
              <w:jc w:val="center"/>
            </w:pPr>
            <w:r w:rsidRPr="00723709">
              <w:t>14/34 (41.18%)</w:t>
            </w:r>
          </w:p>
        </w:tc>
        <w:tc>
          <w:tcPr>
            <w:tcW w:w="1529" w:type="dxa"/>
            <w:shd w:val="clear" w:color="auto" w:fill="auto"/>
          </w:tcPr>
          <w:p w14:paraId="66E72865" w14:textId="77777777" w:rsidR="002C1266" w:rsidRPr="00723709" w:rsidRDefault="002C1266" w:rsidP="002D0B33">
            <w:pPr>
              <w:pStyle w:val="Tabletext"/>
              <w:keepNext/>
              <w:keepLines/>
              <w:jc w:val="center"/>
            </w:pPr>
            <w:r w:rsidRPr="00723709">
              <w:t>5/46 (10.87%)</w:t>
            </w:r>
          </w:p>
        </w:tc>
        <w:tc>
          <w:tcPr>
            <w:tcW w:w="2310" w:type="dxa"/>
            <w:shd w:val="clear" w:color="auto" w:fill="auto"/>
          </w:tcPr>
          <w:p w14:paraId="4D05AA38" w14:textId="77777777" w:rsidR="002C1266" w:rsidRPr="00723709" w:rsidRDefault="002C1266" w:rsidP="002D0B33">
            <w:pPr>
              <w:pStyle w:val="Tabletext"/>
              <w:keepNext/>
              <w:keepLines/>
              <w:jc w:val="center"/>
            </w:pPr>
            <w:r w:rsidRPr="00723709">
              <w:t>5.74 [1.81, 18.18]</w:t>
            </w:r>
          </w:p>
        </w:tc>
      </w:tr>
      <w:tr w:rsidR="002C1266" w:rsidRPr="00FB4D49" w14:paraId="6716C8E2" w14:textId="77777777">
        <w:tc>
          <w:tcPr>
            <w:tcW w:w="1814" w:type="dxa"/>
            <w:shd w:val="clear" w:color="auto" w:fill="auto"/>
          </w:tcPr>
          <w:p w14:paraId="17D412A9" w14:textId="77777777" w:rsidR="002C1266" w:rsidRPr="00723709" w:rsidRDefault="002C1266" w:rsidP="002D0B33">
            <w:pPr>
              <w:pStyle w:val="Tabletext"/>
              <w:keepNext/>
              <w:keepLines/>
            </w:pPr>
            <w:r w:rsidRPr="00723709">
              <w:t xml:space="preserve">MEPO vs. PBO </w:t>
            </w:r>
          </w:p>
        </w:tc>
        <w:tc>
          <w:tcPr>
            <w:tcW w:w="1547" w:type="dxa"/>
            <w:shd w:val="clear" w:color="auto" w:fill="auto"/>
          </w:tcPr>
          <w:p w14:paraId="3DDCA840" w14:textId="77777777" w:rsidR="002C1266" w:rsidRPr="00723709" w:rsidRDefault="002C1266" w:rsidP="002D0B33">
            <w:pPr>
              <w:pStyle w:val="Tabletext"/>
              <w:keepNext/>
              <w:keepLines/>
            </w:pPr>
            <w:r w:rsidRPr="00723709">
              <w:t xml:space="preserve">SYNAPSE </w:t>
            </w:r>
          </w:p>
        </w:tc>
        <w:tc>
          <w:tcPr>
            <w:tcW w:w="1817" w:type="dxa"/>
            <w:shd w:val="clear" w:color="auto" w:fill="auto"/>
          </w:tcPr>
          <w:p w14:paraId="552F6455" w14:textId="77777777" w:rsidR="002C1266" w:rsidRPr="00723709" w:rsidRDefault="002C1266" w:rsidP="002D0B33">
            <w:pPr>
              <w:pStyle w:val="Tabletext"/>
              <w:keepNext/>
              <w:keepLines/>
              <w:jc w:val="center"/>
            </w:pPr>
            <w:r w:rsidRPr="00723709">
              <w:t>50/139 (35.97%)</w:t>
            </w:r>
          </w:p>
        </w:tc>
        <w:tc>
          <w:tcPr>
            <w:tcW w:w="1529" w:type="dxa"/>
            <w:shd w:val="clear" w:color="auto" w:fill="auto"/>
          </w:tcPr>
          <w:p w14:paraId="1628FCDA" w14:textId="77777777" w:rsidR="002C1266" w:rsidRPr="00723709" w:rsidRDefault="002C1266" w:rsidP="002D0B33">
            <w:pPr>
              <w:pStyle w:val="Tabletext"/>
              <w:keepNext/>
              <w:keepLines/>
              <w:jc w:val="center"/>
            </w:pPr>
            <w:r w:rsidRPr="00723709">
              <w:t>17/139 (12.23%)</w:t>
            </w:r>
          </w:p>
        </w:tc>
        <w:tc>
          <w:tcPr>
            <w:tcW w:w="2310" w:type="dxa"/>
            <w:shd w:val="clear" w:color="auto" w:fill="auto"/>
          </w:tcPr>
          <w:p w14:paraId="3D790738" w14:textId="77777777" w:rsidR="002C1266" w:rsidRPr="00723709" w:rsidRDefault="002C1266" w:rsidP="002D0B33">
            <w:pPr>
              <w:pStyle w:val="Tabletext"/>
              <w:keepNext/>
              <w:keepLines/>
              <w:jc w:val="center"/>
            </w:pPr>
            <w:r w:rsidRPr="00723709">
              <w:t>4.03 [2.18, 7.45]</w:t>
            </w:r>
          </w:p>
        </w:tc>
      </w:tr>
      <w:tr w:rsidR="002C1266" w:rsidRPr="00FB4D49" w14:paraId="7FBFF976" w14:textId="77777777">
        <w:tc>
          <w:tcPr>
            <w:tcW w:w="1814" w:type="dxa"/>
            <w:shd w:val="clear" w:color="auto" w:fill="D9D9D9" w:themeFill="background1" w:themeFillShade="D9"/>
          </w:tcPr>
          <w:p w14:paraId="70256243" w14:textId="77777777" w:rsidR="002C1266" w:rsidRPr="00723709" w:rsidRDefault="002C1266" w:rsidP="002D0B33">
            <w:pPr>
              <w:pStyle w:val="Tabletext"/>
              <w:keepNext/>
              <w:keepLines/>
            </w:pPr>
            <w:r w:rsidRPr="00723709">
              <w:t>ITC OMA vs. MEPO</w:t>
            </w:r>
          </w:p>
        </w:tc>
        <w:tc>
          <w:tcPr>
            <w:tcW w:w="4893" w:type="dxa"/>
            <w:gridSpan w:val="3"/>
            <w:shd w:val="clear" w:color="auto" w:fill="D9D9D9" w:themeFill="background1" w:themeFillShade="D9"/>
          </w:tcPr>
          <w:p w14:paraId="65378E36" w14:textId="77777777" w:rsidR="002C1266" w:rsidRPr="00FC6B59" w:rsidRDefault="002C1266" w:rsidP="002D0B33">
            <w:pPr>
              <w:pStyle w:val="Tabletext"/>
              <w:keepNext/>
              <w:keepLines/>
              <w:rPr>
                <w:lang w:val="pt-BR"/>
              </w:rPr>
            </w:pPr>
            <w:r w:rsidRPr="00FC6B59">
              <w:rPr>
                <w:lang w:val="pt-BR"/>
              </w:rPr>
              <w:t>POLYP 1/2 (N=34) vs. SYNAPSE (N=139)</w:t>
            </w:r>
          </w:p>
        </w:tc>
        <w:tc>
          <w:tcPr>
            <w:tcW w:w="2310" w:type="dxa"/>
            <w:shd w:val="clear" w:color="auto" w:fill="D9D9D9" w:themeFill="background1" w:themeFillShade="D9"/>
          </w:tcPr>
          <w:p w14:paraId="1F57A0C9" w14:textId="77777777" w:rsidR="002C1266" w:rsidRPr="00723709" w:rsidRDefault="002C1266" w:rsidP="002D0B33">
            <w:pPr>
              <w:pStyle w:val="Tabletext"/>
              <w:keepNext/>
              <w:keepLines/>
              <w:jc w:val="center"/>
            </w:pPr>
            <w:r w:rsidRPr="00723709">
              <w:t>1.42 [0.39, 5.26]; p=0.5958</w:t>
            </w:r>
          </w:p>
        </w:tc>
      </w:tr>
      <w:tr w:rsidR="002C1266" w:rsidRPr="00FB4D49" w14:paraId="50E72D7F" w14:textId="77777777">
        <w:tc>
          <w:tcPr>
            <w:tcW w:w="9017" w:type="dxa"/>
            <w:gridSpan w:val="5"/>
            <w:shd w:val="clear" w:color="auto" w:fill="auto"/>
          </w:tcPr>
          <w:p w14:paraId="02D217C9" w14:textId="77777777" w:rsidR="002C1266" w:rsidRPr="00FB4D49" w:rsidRDefault="002C1266" w:rsidP="002D0B33">
            <w:pPr>
              <w:pStyle w:val="Tabletext"/>
              <w:keepNext/>
              <w:keepLines/>
            </w:pPr>
            <w:r>
              <w:rPr>
                <w:b/>
                <w:bCs/>
              </w:rPr>
              <w:t>RESTRICTION-BASED</w:t>
            </w:r>
            <w:r w:rsidRPr="009237BC">
              <w:rPr>
                <w:b/>
                <w:bCs/>
              </w:rPr>
              <w:t xml:space="preserve"> </w:t>
            </w:r>
            <w:r w:rsidRPr="009E3529">
              <w:rPr>
                <w:b/>
                <w:bCs/>
              </w:rPr>
              <w:t>SUBGROUP</w:t>
            </w:r>
          </w:p>
        </w:tc>
      </w:tr>
      <w:tr w:rsidR="002C1266" w:rsidRPr="00FB4D49" w14:paraId="74AF1F97" w14:textId="77777777">
        <w:tc>
          <w:tcPr>
            <w:tcW w:w="9017" w:type="dxa"/>
            <w:gridSpan w:val="5"/>
            <w:shd w:val="clear" w:color="auto" w:fill="F2F2F2" w:themeFill="background1" w:themeFillShade="F2"/>
          </w:tcPr>
          <w:p w14:paraId="4FC932CF" w14:textId="77777777" w:rsidR="002C1266" w:rsidRPr="006C3D60" w:rsidRDefault="002C1266" w:rsidP="002D0B33">
            <w:pPr>
              <w:pStyle w:val="Tabletext"/>
              <w:keepNext/>
              <w:keepLines/>
              <w:rPr>
                <w:b/>
                <w:bCs/>
              </w:rPr>
            </w:pPr>
            <w:r w:rsidRPr="006C3D60">
              <w:rPr>
                <w:b/>
                <w:bCs/>
              </w:rPr>
              <w:t>≥1-point improvement from baseline in NPS</w:t>
            </w:r>
          </w:p>
        </w:tc>
      </w:tr>
      <w:tr w:rsidR="002C1266" w:rsidRPr="00FB4D49" w14:paraId="33C82049" w14:textId="77777777">
        <w:tc>
          <w:tcPr>
            <w:tcW w:w="1814" w:type="dxa"/>
            <w:shd w:val="clear" w:color="auto" w:fill="auto"/>
          </w:tcPr>
          <w:p w14:paraId="7D5BCF60" w14:textId="77777777" w:rsidR="002C1266" w:rsidRPr="00636701" w:rsidRDefault="002C1266" w:rsidP="002D0B33">
            <w:pPr>
              <w:pStyle w:val="Tabletext"/>
              <w:keepNext/>
              <w:keepLines/>
            </w:pPr>
            <w:r w:rsidRPr="00636701">
              <w:t xml:space="preserve">OMA vs. PBO </w:t>
            </w:r>
          </w:p>
        </w:tc>
        <w:tc>
          <w:tcPr>
            <w:tcW w:w="1547" w:type="dxa"/>
            <w:shd w:val="clear" w:color="auto" w:fill="auto"/>
          </w:tcPr>
          <w:p w14:paraId="462F88E4" w14:textId="77777777" w:rsidR="002C1266" w:rsidRPr="00636701" w:rsidRDefault="002C1266" w:rsidP="002D0B33">
            <w:pPr>
              <w:pStyle w:val="Tabletext"/>
              <w:keepNext/>
              <w:keepLines/>
            </w:pPr>
            <w:r w:rsidRPr="00636701">
              <w:t>POLYP 1/2</w:t>
            </w:r>
            <w:r>
              <w:t xml:space="preserve"> </w:t>
            </w:r>
            <w:r w:rsidRPr="00A8595B">
              <w:rPr>
                <w:vertAlign w:val="superscript"/>
              </w:rPr>
              <w:t>g</w:t>
            </w:r>
          </w:p>
        </w:tc>
        <w:tc>
          <w:tcPr>
            <w:tcW w:w="1817" w:type="dxa"/>
            <w:shd w:val="clear" w:color="auto" w:fill="auto"/>
          </w:tcPr>
          <w:p w14:paraId="28A365C7" w14:textId="77777777" w:rsidR="002C1266" w:rsidRPr="00636701" w:rsidRDefault="002C1266" w:rsidP="002D0B33">
            <w:pPr>
              <w:pStyle w:val="Tabletext"/>
              <w:keepNext/>
              <w:keepLines/>
              <w:jc w:val="center"/>
            </w:pPr>
            <w:r w:rsidRPr="00636701">
              <w:t>43/73 (58.9%)</w:t>
            </w:r>
          </w:p>
        </w:tc>
        <w:tc>
          <w:tcPr>
            <w:tcW w:w="1529" w:type="dxa"/>
            <w:shd w:val="clear" w:color="auto" w:fill="auto"/>
          </w:tcPr>
          <w:p w14:paraId="1F8439B1" w14:textId="77777777" w:rsidR="002C1266" w:rsidRPr="00636701" w:rsidRDefault="002C1266" w:rsidP="002D0B33">
            <w:pPr>
              <w:pStyle w:val="Tabletext"/>
              <w:keepNext/>
              <w:keepLines/>
              <w:jc w:val="center"/>
            </w:pPr>
            <w:r w:rsidRPr="00636701">
              <w:t>20/79 (25.3%)</w:t>
            </w:r>
          </w:p>
        </w:tc>
        <w:tc>
          <w:tcPr>
            <w:tcW w:w="2310" w:type="dxa"/>
            <w:shd w:val="clear" w:color="auto" w:fill="auto"/>
          </w:tcPr>
          <w:p w14:paraId="2EA61032" w14:textId="77777777" w:rsidR="002C1266" w:rsidRPr="00636701" w:rsidRDefault="002C1266" w:rsidP="002D0B33">
            <w:pPr>
              <w:pStyle w:val="Tabletext"/>
              <w:keepNext/>
              <w:keepLines/>
              <w:jc w:val="center"/>
            </w:pPr>
            <w:r w:rsidRPr="00636701">
              <w:t>4.23 [2.12, 8.42]</w:t>
            </w:r>
          </w:p>
        </w:tc>
      </w:tr>
      <w:tr w:rsidR="002C1266" w:rsidRPr="00FB4D49" w14:paraId="6A0B706F" w14:textId="77777777">
        <w:tc>
          <w:tcPr>
            <w:tcW w:w="1814" w:type="dxa"/>
            <w:shd w:val="clear" w:color="auto" w:fill="auto"/>
          </w:tcPr>
          <w:p w14:paraId="1F8B6D5C" w14:textId="77777777" w:rsidR="002C1266" w:rsidRPr="00636701" w:rsidRDefault="002C1266" w:rsidP="002D0B33">
            <w:pPr>
              <w:pStyle w:val="Tabletext"/>
              <w:keepNext/>
              <w:keepLines/>
            </w:pPr>
            <w:r w:rsidRPr="00636701">
              <w:t xml:space="preserve">MEPO vs. PBO </w:t>
            </w:r>
          </w:p>
        </w:tc>
        <w:tc>
          <w:tcPr>
            <w:tcW w:w="1547" w:type="dxa"/>
            <w:shd w:val="clear" w:color="auto" w:fill="auto"/>
          </w:tcPr>
          <w:p w14:paraId="42EF17EC" w14:textId="77777777" w:rsidR="002C1266" w:rsidRPr="00636701" w:rsidRDefault="002C1266" w:rsidP="002D0B33">
            <w:pPr>
              <w:pStyle w:val="Tabletext"/>
              <w:keepNext/>
              <w:keepLines/>
            </w:pPr>
            <w:r w:rsidRPr="00636701">
              <w:t xml:space="preserve">SYNAPSE </w:t>
            </w:r>
          </w:p>
        </w:tc>
        <w:tc>
          <w:tcPr>
            <w:tcW w:w="1817" w:type="dxa"/>
            <w:shd w:val="clear" w:color="auto" w:fill="auto"/>
          </w:tcPr>
          <w:p w14:paraId="697586BC" w14:textId="77777777" w:rsidR="002C1266" w:rsidRPr="00636701" w:rsidRDefault="002C1266" w:rsidP="002D0B33">
            <w:pPr>
              <w:pStyle w:val="Tabletext"/>
              <w:keepNext/>
              <w:keepLines/>
              <w:jc w:val="center"/>
            </w:pPr>
            <w:r w:rsidRPr="00636701">
              <w:t>70/139 (50.4%)</w:t>
            </w:r>
          </w:p>
        </w:tc>
        <w:tc>
          <w:tcPr>
            <w:tcW w:w="1529" w:type="dxa"/>
            <w:shd w:val="clear" w:color="auto" w:fill="auto"/>
          </w:tcPr>
          <w:p w14:paraId="5CBEB782" w14:textId="77777777" w:rsidR="002C1266" w:rsidRPr="00636701" w:rsidRDefault="002C1266" w:rsidP="002D0B33">
            <w:pPr>
              <w:pStyle w:val="Tabletext"/>
              <w:keepNext/>
              <w:keepLines/>
              <w:jc w:val="center"/>
            </w:pPr>
            <w:r w:rsidRPr="00636701">
              <w:t>39/139 (28.1%)</w:t>
            </w:r>
          </w:p>
        </w:tc>
        <w:tc>
          <w:tcPr>
            <w:tcW w:w="2310" w:type="dxa"/>
            <w:shd w:val="clear" w:color="auto" w:fill="auto"/>
          </w:tcPr>
          <w:p w14:paraId="1B92CE92" w14:textId="77777777" w:rsidR="002C1266" w:rsidRPr="00636701" w:rsidRDefault="002C1266" w:rsidP="002D0B33">
            <w:pPr>
              <w:pStyle w:val="Tabletext"/>
              <w:keepNext/>
              <w:keepLines/>
              <w:jc w:val="center"/>
            </w:pPr>
            <w:r w:rsidRPr="00636701">
              <w:t>2.60 [1.58, 4.28]</w:t>
            </w:r>
          </w:p>
        </w:tc>
      </w:tr>
      <w:tr w:rsidR="002C1266" w:rsidRPr="00FB4D49" w14:paraId="49A3D69D" w14:textId="77777777">
        <w:tc>
          <w:tcPr>
            <w:tcW w:w="1814" w:type="dxa"/>
            <w:shd w:val="clear" w:color="auto" w:fill="D9D9D9" w:themeFill="background1" w:themeFillShade="D9"/>
          </w:tcPr>
          <w:p w14:paraId="53E53168" w14:textId="77777777" w:rsidR="002C1266" w:rsidRPr="00636701" w:rsidRDefault="002C1266" w:rsidP="002D0B33">
            <w:pPr>
              <w:pStyle w:val="Tabletext"/>
              <w:keepNext/>
              <w:keepLines/>
            </w:pPr>
            <w:r w:rsidRPr="00636701">
              <w:t>ITC OMA vs. MEPO</w:t>
            </w:r>
          </w:p>
        </w:tc>
        <w:tc>
          <w:tcPr>
            <w:tcW w:w="4893" w:type="dxa"/>
            <w:gridSpan w:val="3"/>
            <w:shd w:val="clear" w:color="auto" w:fill="D9D9D9" w:themeFill="background1" w:themeFillShade="D9"/>
          </w:tcPr>
          <w:p w14:paraId="1AA54FE1" w14:textId="77777777" w:rsidR="002C1266" w:rsidRPr="00FC6B59" w:rsidRDefault="002C1266" w:rsidP="002D0B33">
            <w:pPr>
              <w:pStyle w:val="Tabletext"/>
              <w:keepNext/>
              <w:keepLines/>
              <w:rPr>
                <w:lang w:val="pt-BR"/>
              </w:rPr>
            </w:pPr>
            <w:r w:rsidRPr="00FC6B59">
              <w:rPr>
                <w:lang w:val="pt-BR"/>
              </w:rPr>
              <w:t>POLYP 1/2 (N=73) vs. SYNAPSE (N=139)</w:t>
            </w:r>
          </w:p>
        </w:tc>
        <w:tc>
          <w:tcPr>
            <w:tcW w:w="2310" w:type="dxa"/>
            <w:shd w:val="clear" w:color="auto" w:fill="D9D9D9" w:themeFill="background1" w:themeFillShade="D9"/>
          </w:tcPr>
          <w:p w14:paraId="52F63032" w14:textId="77777777" w:rsidR="002C1266" w:rsidRPr="00636701" w:rsidRDefault="002C1266" w:rsidP="002D0B33">
            <w:pPr>
              <w:pStyle w:val="Tabletext"/>
              <w:keepNext/>
              <w:keepLines/>
              <w:jc w:val="center"/>
            </w:pPr>
            <w:r w:rsidRPr="00636701">
              <w:t>1.63 [0.69, 3.81]; p=0.2622</w:t>
            </w:r>
          </w:p>
        </w:tc>
      </w:tr>
      <w:tr w:rsidR="002C1266" w:rsidRPr="00FB4D49" w14:paraId="4F76FB56" w14:textId="77777777">
        <w:tc>
          <w:tcPr>
            <w:tcW w:w="9017" w:type="dxa"/>
            <w:gridSpan w:val="5"/>
            <w:shd w:val="clear" w:color="auto" w:fill="F2F2F2" w:themeFill="background1" w:themeFillShade="F2"/>
          </w:tcPr>
          <w:p w14:paraId="2D6D26D1" w14:textId="77777777" w:rsidR="002C1266" w:rsidRPr="006C3D60" w:rsidRDefault="002C1266" w:rsidP="002D0B33">
            <w:pPr>
              <w:pStyle w:val="Tabletext"/>
              <w:keepNext/>
              <w:keepLines/>
              <w:rPr>
                <w:b/>
                <w:bCs/>
              </w:rPr>
            </w:pPr>
            <w:r w:rsidRPr="006C3D60">
              <w:rPr>
                <w:b/>
                <w:bCs/>
              </w:rPr>
              <w:t>≥2-point improvement from baseline in NPS</w:t>
            </w:r>
          </w:p>
        </w:tc>
      </w:tr>
      <w:tr w:rsidR="002C1266" w:rsidRPr="00FB4D49" w14:paraId="24E86FA2" w14:textId="77777777">
        <w:tc>
          <w:tcPr>
            <w:tcW w:w="1814" w:type="dxa"/>
            <w:shd w:val="clear" w:color="auto" w:fill="auto"/>
          </w:tcPr>
          <w:p w14:paraId="22950329" w14:textId="77777777" w:rsidR="002C1266" w:rsidRPr="00636701" w:rsidRDefault="002C1266" w:rsidP="002D0B33">
            <w:pPr>
              <w:pStyle w:val="Tabletext"/>
              <w:keepNext/>
              <w:keepLines/>
            </w:pPr>
            <w:r w:rsidRPr="00636701">
              <w:t xml:space="preserve">OMA vs. PBO </w:t>
            </w:r>
          </w:p>
        </w:tc>
        <w:tc>
          <w:tcPr>
            <w:tcW w:w="1547" w:type="dxa"/>
            <w:shd w:val="clear" w:color="auto" w:fill="auto"/>
          </w:tcPr>
          <w:p w14:paraId="49A70B78" w14:textId="77777777" w:rsidR="002C1266" w:rsidRPr="00636701" w:rsidRDefault="002C1266" w:rsidP="002D0B33">
            <w:pPr>
              <w:pStyle w:val="Tabletext"/>
              <w:keepNext/>
              <w:keepLines/>
            </w:pPr>
            <w:r w:rsidRPr="00636701">
              <w:t>POLYP 1/2</w:t>
            </w:r>
            <w:r w:rsidRPr="00A8595B">
              <w:rPr>
                <w:vertAlign w:val="superscript"/>
              </w:rPr>
              <w:t xml:space="preserve"> g</w:t>
            </w:r>
          </w:p>
        </w:tc>
        <w:tc>
          <w:tcPr>
            <w:tcW w:w="1817" w:type="dxa"/>
            <w:shd w:val="clear" w:color="auto" w:fill="auto"/>
          </w:tcPr>
          <w:p w14:paraId="286FD0B0" w14:textId="77777777" w:rsidR="002C1266" w:rsidRPr="00636701" w:rsidRDefault="002C1266" w:rsidP="002D0B33">
            <w:pPr>
              <w:pStyle w:val="Tabletext"/>
              <w:keepNext/>
              <w:keepLines/>
              <w:jc w:val="center"/>
            </w:pPr>
            <w:r w:rsidRPr="00636701">
              <w:t>27/73 (36.99%)</w:t>
            </w:r>
          </w:p>
        </w:tc>
        <w:tc>
          <w:tcPr>
            <w:tcW w:w="1529" w:type="dxa"/>
            <w:shd w:val="clear" w:color="auto" w:fill="auto"/>
          </w:tcPr>
          <w:p w14:paraId="64A5BE76" w14:textId="77777777" w:rsidR="002C1266" w:rsidRPr="00636701" w:rsidRDefault="002C1266" w:rsidP="002D0B33">
            <w:pPr>
              <w:pStyle w:val="Tabletext"/>
              <w:keepNext/>
              <w:keepLines/>
              <w:jc w:val="center"/>
            </w:pPr>
            <w:r w:rsidRPr="00636701">
              <w:t>10/79 (12.66%)</w:t>
            </w:r>
          </w:p>
        </w:tc>
        <w:tc>
          <w:tcPr>
            <w:tcW w:w="2310" w:type="dxa"/>
            <w:shd w:val="clear" w:color="auto" w:fill="auto"/>
          </w:tcPr>
          <w:p w14:paraId="45889C7E" w14:textId="77777777" w:rsidR="002C1266" w:rsidRPr="00636701" w:rsidRDefault="002C1266" w:rsidP="002D0B33">
            <w:pPr>
              <w:pStyle w:val="Tabletext"/>
              <w:keepNext/>
              <w:keepLines/>
              <w:jc w:val="center"/>
            </w:pPr>
            <w:r w:rsidRPr="00636701">
              <w:t>4.05 [1.79, 9.16]</w:t>
            </w:r>
          </w:p>
        </w:tc>
      </w:tr>
      <w:tr w:rsidR="002C1266" w:rsidRPr="00FB4D49" w14:paraId="7CF2071A" w14:textId="77777777">
        <w:tc>
          <w:tcPr>
            <w:tcW w:w="1814" w:type="dxa"/>
            <w:shd w:val="clear" w:color="auto" w:fill="auto"/>
          </w:tcPr>
          <w:p w14:paraId="040F55E0" w14:textId="77777777" w:rsidR="002C1266" w:rsidRPr="00636701" w:rsidRDefault="002C1266" w:rsidP="002D0B33">
            <w:pPr>
              <w:pStyle w:val="Tabletext"/>
              <w:keepNext/>
              <w:keepLines/>
            </w:pPr>
            <w:r w:rsidRPr="00636701">
              <w:t xml:space="preserve">MEPO vs. PBO </w:t>
            </w:r>
          </w:p>
        </w:tc>
        <w:tc>
          <w:tcPr>
            <w:tcW w:w="1547" w:type="dxa"/>
            <w:shd w:val="clear" w:color="auto" w:fill="auto"/>
          </w:tcPr>
          <w:p w14:paraId="5B5E1271" w14:textId="77777777" w:rsidR="002C1266" w:rsidRPr="00636701" w:rsidRDefault="002C1266" w:rsidP="002D0B33">
            <w:pPr>
              <w:pStyle w:val="Tabletext"/>
              <w:keepNext/>
              <w:keepLines/>
            </w:pPr>
            <w:r w:rsidRPr="00636701">
              <w:t xml:space="preserve">SYNAPSE </w:t>
            </w:r>
          </w:p>
        </w:tc>
        <w:tc>
          <w:tcPr>
            <w:tcW w:w="1817" w:type="dxa"/>
            <w:shd w:val="clear" w:color="auto" w:fill="auto"/>
          </w:tcPr>
          <w:p w14:paraId="42F66F5D" w14:textId="77777777" w:rsidR="002C1266" w:rsidRPr="00636701" w:rsidRDefault="002C1266" w:rsidP="002D0B33">
            <w:pPr>
              <w:pStyle w:val="Tabletext"/>
              <w:keepNext/>
              <w:keepLines/>
              <w:jc w:val="center"/>
            </w:pPr>
            <w:r w:rsidRPr="00636701">
              <w:t>50/139 (35.97%)</w:t>
            </w:r>
          </w:p>
        </w:tc>
        <w:tc>
          <w:tcPr>
            <w:tcW w:w="1529" w:type="dxa"/>
            <w:shd w:val="clear" w:color="auto" w:fill="auto"/>
          </w:tcPr>
          <w:p w14:paraId="031B155C" w14:textId="77777777" w:rsidR="002C1266" w:rsidRPr="00636701" w:rsidRDefault="002C1266" w:rsidP="002D0B33">
            <w:pPr>
              <w:pStyle w:val="Tabletext"/>
              <w:keepNext/>
              <w:keepLines/>
              <w:jc w:val="center"/>
            </w:pPr>
            <w:r w:rsidRPr="00636701">
              <w:t>17/139 (12.23%)</w:t>
            </w:r>
          </w:p>
        </w:tc>
        <w:tc>
          <w:tcPr>
            <w:tcW w:w="2310" w:type="dxa"/>
            <w:shd w:val="clear" w:color="auto" w:fill="auto"/>
          </w:tcPr>
          <w:p w14:paraId="410F2457" w14:textId="77777777" w:rsidR="002C1266" w:rsidRPr="00636701" w:rsidRDefault="002C1266" w:rsidP="002D0B33">
            <w:pPr>
              <w:pStyle w:val="Tabletext"/>
              <w:keepNext/>
              <w:keepLines/>
              <w:jc w:val="center"/>
            </w:pPr>
            <w:r w:rsidRPr="00636701">
              <w:t>4.03 [2.18, 7.45]</w:t>
            </w:r>
          </w:p>
        </w:tc>
      </w:tr>
      <w:tr w:rsidR="002C1266" w:rsidRPr="00FB4D49" w14:paraId="0E11E6DE" w14:textId="77777777">
        <w:tc>
          <w:tcPr>
            <w:tcW w:w="1814" w:type="dxa"/>
            <w:shd w:val="clear" w:color="auto" w:fill="D9D9D9" w:themeFill="background1" w:themeFillShade="D9"/>
          </w:tcPr>
          <w:p w14:paraId="6C077E0F" w14:textId="77777777" w:rsidR="002C1266" w:rsidRPr="00636701" w:rsidRDefault="002C1266" w:rsidP="002D0B33">
            <w:pPr>
              <w:pStyle w:val="Tabletext"/>
              <w:keepNext/>
              <w:keepLines/>
            </w:pPr>
            <w:r w:rsidRPr="00636701">
              <w:t>ITC OMA vs. MEPO</w:t>
            </w:r>
          </w:p>
        </w:tc>
        <w:tc>
          <w:tcPr>
            <w:tcW w:w="4893" w:type="dxa"/>
            <w:gridSpan w:val="3"/>
            <w:shd w:val="clear" w:color="auto" w:fill="D9D9D9" w:themeFill="background1" w:themeFillShade="D9"/>
          </w:tcPr>
          <w:p w14:paraId="767BEAF9" w14:textId="77777777" w:rsidR="002C1266" w:rsidRPr="00FC6B59" w:rsidRDefault="002C1266" w:rsidP="002D0B33">
            <w:pPr>
              <w:pStyle w:val="Tabletext"/>
              <w:keepNext/>
              <w:keepLines/>
              <w:rPr>
                <w:lang w:val="pt-BR"/>
              </w:rPr>
            </w:pPr>
            <w:r w:rsidRPr="00FC6B59">
              <w:rPr>
                <w:lang w:val="pt-BR"/>
              </w:rPr>
              <w:t>POLYP 1/2 (N=73) vs. SYNAPSE (N=139)</w:t>
            </w:r>
          </w:p>
        </w:tc>
        <w:tc>
          <w:tcPr>
            <w:tcW w:w="2310" w:type="dxa"/>
            <w:shd w:val="clear" w:color="auto" w:fill="D9D9D9" w:themeFill="background1" w:themeFillShade="D9"/>
          </w:tcPr>
          <w:p w14:paraId="0AF25775" w14:textId="77777777" w:rsidR="002C1266" w:rsidRPr="00636701" w:rsidRDefault="002C1266" w:rsidP="002D0B33">
            <w:pPr>
              <w:pStyle w:val="Tabletext"/>
              <w:keepNext/>
              <w:keepLines/>
              <w:jc w:val="center"/>
            </w:pPr>
            <w:r w:rsidRPr="00636701">
              <w:t>1.01 [0.36, 2.79]; p=0.9924</w:t>
            </w:r>
          </w:p>
        </w:tc>
      </w:tr>
    </w:tbl>
    <w:p w14:paraId="5FD29170" w14:textId="77777777" w:rsidR="002C1266" w:rsidRPr="007B0E64" w:rsidRDefault="002C1266" w:rsidP="002D0B33">
      <w:pPr>
        <w:pStyle w:val="TableFigureFooter"/>
        <w:keepNext/>
        <w:jc w:val="both"/>
      </w:pPr>
      <w:r w:rsidRPr="007B0E64">
        <w:t>Source: Table 2.37, Table 2.39, Table 2.41, Table 2.43, pp118-123 of the submission.</w:t>
      </w:r>
    </w:p>
    <w:p w14:paraId="2C2257C5" w14:textId="7B0DD4EB" w:rsidR="002C1266" w:rsidRPr="007B0E64" w:rsidRDefault="002C1266" w:rsidP="002D0B33">
      <w:pPr>
        <w:pStyle w:val="TableFigureFooter"/>
        <w:jc w:val="both"/>
      </w:pPr>
      <w:r w:rsidRPr="2BCE08C6">
        <w:lastRenderedPageBreak/>
        <w:t xml:space="preserve">BEC, blood eosinophil count; CI, confidence interval; ITC, indirect treatment comparison; ITT, intention-to-treat; MEPO, mepolizumab; n, number of participants; N, total participants in group; NPS, nasal polyp score; OMA, omalizumab; </w:t>
      </w:r>
      <w:proofErr w:type="gramStart"/>
      <w:r w:rsidRPr="2BCE08C6">
        <w:t>OR,</w:t>
      </w:r>
      <w:proofErr w:type="gramEnd"/>
      <w:r w:rsidRPr="2BCE08C6">
        <w:t xml:space="preserve"> odds ratio; PBO, placebo; SNOT-22, </w:t>
      </w:r>
      <w:proofErr w:type="spellStart"/>
      <w:r w:rsidRPr="2BCE08C6">
        <w:t>sino</w:t>
      </w:r>
      <w:proofErr w:type="spellEnd"/>
      <w:r w:rsidRPr="2BCE08C6">
        <w:t>-nasal outcomes test-22</w:t>
      </w:r>
      <w:r w:rsidR="00B603E8">
        <w:t>; SoC, standard of care</w:t>
      </w:r>
      <w:r w:rsidRPr="2BCE08C6">
        <w:t xml:space="preserve">. </w:t>
      </w:r>
    </w:p>
    <w:p w14:paraId="3C8DF17D" w14:textId="77777777" w:rsidR="002C1266" w:rsidRPr="007B0E64" w:rsidRDefault="002C1266" w:rsidP="002D0B33">
      <w:pPr>
        <w:pStyle w:val="TableFigureFooter"/>
        <w:jc w:val="both"/>
      </w:pPr>
      <w:r w:rsidRPr="00960721">
        <w:rPr>
          <w:vertAlign w:val="superscript"/>
        </w:rPr>
        <w:t>a</w:t>
      </w:r>
      <w:r w:rsidRPr="007B0E64">
        <w:t xml:space="preserve"> n=6 omalizumab-treated patients and n=2 placebo-treated patients with missing values were not included in the analyses.</w:t>
      </w:r>
    </w:p>
    <w:p w14:paraId="2C7628D8" w14:textId="77777777" w:rsidR="002C1266" w:rsidRPr="007B0E64" w:rsidRDefault="002C1266" w:rsidP="002D0B33">
      <w:pPr>
        <w:pStyle w:val="TableFigureFooter"/>
        <w:jc w:val="both"/>
      </w:pPr>
      <w:r w:rsidRPr="00960721">
        <w:rPr>
          <w:vertAlign w:val="superscript"/>
        </w:rPr>
        <w:t>b</w:t>
      </w:r>
      <w:r w:rsidRPr="007B0E64">
        <w:t xml:space="preserve"> n=6 omalizumab-treated patients and n=3 placebo-treated patients with missing values were not included in the analyses.</w:t>
      </w:r>
    </w:p>
    <w:p w14:paraId="4C09B78A" w14:textId="77777777" w:rsidR="002C1266" w:rsidRPr="007B0E64" w:rsidRDefault="002C1266" w:rsidP="002D0B33">
      <w:pPr>
        <w:pStyle w:val="TableFigureFooter"/>
        <w:jc w:val="both"/>
      </w:pPr>
      <w:r w:rsidRPr="00960721">
        <w:rPr>
          <w:vertAlign w:val="superscript"/>
        </w:rPr>
        <w:t>c</w:t>
      </w:r>
      <w:r w:rsidRPr="007B0E64">
        <w:t xml:space="preserve"> n=1 mepolizumab-treated patients and n=3 placebo-treated patients with missing values were not included in the analyses.</w:t>
      </w:r>
    </w:p>
    <w:p w14:paraId="2BD31781" w14:textId="77777777" w:rsidR="002C1266" w:rsidRPr="007B0E64" w:rsidRDefault="002C1266" w:rsidP="002D0B33">
      <w:pPr>
        <w:pStyle w:val="TableFigureFooter"/>
        <w:jc w:val="both"/>
      </w:pPr>
      <w:r w:rsidRPr="00960721">
        <w:rPr>
          <w:vertAlign w:val="superscript"/>
        </w:rPr>
        <w:t>d</w:t>
      </w:r>
      <w:r w:rsidRPr="007B0E64">
        <w:t xml:space="preserve"> n=5 omalizumab-treated patients and n=1 placebo-treated patients with missing values were not included in the analyses.</w:t>
      </w:r>
    </w:p>
    <w:p w14:paraId="5C3978B1" w14:textId="77777777" w:rsidR="002C1266" w:rsidRPr="007B0E64" w:rsidRDefault="002C1266" w:rsidP="002D0B33">
      <w:pPr>
        <w:pStyle w:val="TableFigureFooter"/>
        <w:jc w:val="both"/>
      </w:pPr>
      <w:r w:rsidRPr="00960721">
        <w:rPr>
          <w:vertAlign w:val="superscript"/>
        </w:rPr>
        <w:t>e</w:t>
      </w:r>
      <w:r w:rsidRPr="007B0E64">
        <w:t xml:space="preserve"> n=5 omalizumab-treated patients and n=2 placebo-treated patients with missing values were not included in the analyses. </w:t>
      </w:r>
    </w:p>
    <w:p w14:paraId="23D80D6C" w14:textId="77777777" w:rsidR="002C1266" w:rsidRPr="007B0E64" w:rsidRDefault="002C1266" w:rsidP="002D0B33">
      <w:pPr>
        <w:pStyle w:val="TableFigureFooter"/>
        <w:jc w:val="both"/>
      </w:pPr>
      <w:r w:rsidRPr="00960721">
        <w:rPr>
          <w:vertAlign w:val="superscript"/>
        </w:rPr>
        <w:t xml:space="preserve">f </w:t>
      </w:r>
      <w:r w:rsidRPr="007B0E64">
        <w:t xml:space="preserve">n=1 omalizumab-treated patient and n=1 placebo-treated patients with missing values were not included in the analyses. </w:t>
      </w:r>
    </w:p>
    <w:p w14:paraId="3287AA06" w14:textId="77777777" w:rsidR="002C1266" w:rsidRPr="00532B98" w:rsidRDefault="002C1266" w:rsidP="002D0B33">
      <w:pPr>
        <w:pStyle w:val="TableFigureFooter"/>
        <w:jc w:val="both"/>
      </w:pPr>
      <w:r w:rsidRPr="00960721">
        <w:rPr>
          <w:vertAlign w:val="superscript"/>
        </w:rPr>
        <w:t>g</w:t>
      </w:r>
      <w:r w:rsidRPr="007B0E64">
        <w:t xml:space="preserve"> n=5 omalizumab-treated patients and n=1 placebo-treated patients with missing values were not </w:t>
      </w:r>
      <w:r w:rsidRPr="00532B98">
        <w:t>included in the analyses.</w:t>
      </w:r>
    </w:p>
    <w:p w14:paraId="19926E17" w14:textId="7E6E3D22" w:rsidR="002C1266" w:rsidRPr="007B0E64" w:rsidRDefault="002C1266" w:rsidP="002D0B33">
      <w:pPr>
        <w:pStyle w:val="TableFigureFooter"/>
        <w:jc w:val="both"/>
      </w:pPr>
      <w:r w:rsidRPr="00532B98">
        <w:t>Note: the pooled analyses derived from the IPD may differ to the meta-analysed results of the POLYP studies presented in Section 2.5,</w:t>
      </w:r>
      <w:r w:rsidRPr="007B0E64">
        <w:t xml:space="preserve"> which reflect adjusted analyses derived from the POLYP CSRs.</w:t>
      </w:r>
    </w:p>
    <w:p w14:paraId="21962DE4" w14:textId="13F4EDDE" w:rsidR="002C1266" w:rsidRPr="007B0E64" w:rsidRDefault="002C1266" w:rsidP="002D0B33">
      <w:pPr>
        <w:pStyle w:val="TableFigureFooter"/>
        <w:jc w:val="both"/>
      </w:pPr>
      <w:r w:rsidRPr="2BCE08C6">
        <w:t>No additional analyses were performed to control for covariates on these outcomes (</w:t>
      </w:r>
      <w:r w:rsidR="0062380A" w:rsidRPr="2BCE08C6">
        <w:t>i.e.</w:t>
      </w:r>
      <w:r w:rsidRPr="2BCE08C6">
        <w:t>., unadjusted).</w:t>
      </w:r>
    </w:p>
    <w:p w14:paraId="196B4CE3" w14:textId="77777777" w:rsidR="002C1266" w:rsidRPr="007B0E64" w:rsidRDefault="002C1266" w:rsidP="002D0B33">
      <w:pPr>
        <w:pStyle w:val="TableFigureFooter"/>
        <w:jc w:val="both"/>
      </w:pPr>
      <w:r w:rsidRPr="007B0E64">
        <w:t>Meta-analyses were conducted online using Review manager.</w:t>
      </w:r>
    </w:p>
    <w:p w14:paraId="447157C3" w14:textId="77777777" w:rsidR="002C1266" w:rsidRDefault="002C1266" w:rsidP="002C1266">
      <w:pPr>
        <w:pStyle w:val="3-BodyText"/>
      </w:pPr>
      <w:r w:rsidRPr="00C42FA5">
        <w:t>The ITC of POLYP 1/2 and SYNAPSE based on the ITT populations and post-surgical subgroups reported no statistically significant differences between omalizumab and mepolizumab for all three responder outcomes: ≥1-point improvement from baseline in NPS, ≥2-point improvement from baseline in NPS</w:t>
      </w:r>
      <w:r>
        <w:t xml:space="preserve">, </w:t>
      </w:r>
      <w:r w:rsidRPr="00C42FA5">
        <w:t>and ≥8.9-point improvement from baseline in SNOT-22</w:t>
      </w:r>
      <w:r>
        <w:t>.</w:t>
      </w:r>
    </w:p>
    <w:p w14:paraId="4B40AFA0" w14:textId="1FDE5E75" w:rsidR="002C1266" w:rsidRDefault="002C1266" w:rsidP="002C1266">
      <w:pPr>
        <w:pStyle w:val="3-BodyText"/>
      </w:pPr>
      <w:r w:rsidRPr="2BCE08C6">
        <w:t>There were also no statistically significant differences observed for the post-surgical + BEC ≥300 cells/µL subgroup and restriction-based subgroup for the ≥1-point improvement from baseline in NPS and ≥2-point improvement from baseline in NPS.</w:t>
      </w:r>
    </w:p>
    <w:p w14:paraId="0B9E7A86" w14:textId="67963A1C" w:rsidR="002C1266" w:rsidRPr="00B453BB" w:rsidRDefault="002C1266" w:rsidP="002C1266">
      <w:pPr>
        <w:pStyle w:val="3-BodyText"/>
      </w:pPr>
      <w:r w:rsidRPr="2BCE08C6">
        <w:t xml:space="preserve">The sensitivity analyses of the ITC of POLYP 1/2 and meta-analysed results of the SYNAPSE/MERIT trials based on the ITT populations also demonstrated no statistically significant difference between omalizumab and mepolizumab in ≥1-point </w:t>
      </w:r>
      <w:r w:rsidRPr="00B453BB">
        <w:t>improvement from baseline in NPS.</w:t>
      </w:r>
    </w:p>
    <w:p w14:paraId="59CF21A6" w14:textId="553CC4B5" w:rsidR="002C1266" w:rsidRPr="0048711D" w:rsidRDefault="002C1266" w:rsidP="002C1266">
      <w:pPr>
        <w:pStyle w:val="3-BodyText"/>
      </w:pPr>
      <w:r w:rsidRPr="00B453BB">
        <w:t>The rates</w:t>
      </w:r>
      <w:r w:rsidR="00A302FD" w:rsidRPr="00B453BB">
        <w:t xml:space="preserve"> of responders</w:t>
      </w:r>
      <w:r w:rsidRPr="00B453BB">
        <w:t xml:space="preserve"> in the </w:t>
      </w:r>
      <w:r w:rsidR="00B603E8" w:rsidRPr="00B453BB">
        <w:t>SoC (placebo)</w:t>
      </w:r>
      <w:r w:rsidRPr="00B453BB">
        <w:t xml:space="preserve"> arms </w:t>
      </w:r>
      <w:r w:rsidRPr="00704AC1">
        <w:t xml:space="preserve">were </w:t>
      </w:r>
      <w:r w:rsidR="00133C0C" w:rsidRPr="00704AC1">
        <w:t>approximately 2</w:t>
      </w:r>
      <w:r w:rsidR="00B453BB" w:rsidRPr="00704AC1">
        <w:t>8</w:t>
      </w:r>
      <w:r w:rsidR="00133C0C" w:rsidRPr="004537B6">
        <w:t xml:space="preserve">% </w:t>
      </w:r>
      <w:r w:rsidR="00246C89" w:rsidRPr="004537B6">
        <w:t>but</w:t>
      </w:r>
      <w:r w:rsidR="00246C89" w:rsidRPr="00B453BB">
        <w:t xml:space="preserve"> were </w:t>
      </w:r>
      <w:r w:rsidRPr="00B453BB">
        <w:t>comparable between the POLYP and SYNAPSE trials for ≥1-point improvement and ≥2</w:t>
      </w:r>
      <w:r w:rsidR="002D0B33">
        <w:noBreakHyphen/>
      </w:r>
      <w:r w:rsidRPr="00B453BB">
        <w:t xml:space="preserve">point improvement from baseline in NPS, however there was a higher event rate in the SYNAPSE </w:t>
      </w:r>
      <w:r w:rsidR="00B603E8" w:rsidRPr="00B453BB">
        <w:t>SoC (placebo)</w:t>
      </w:r>
      <w:r w:rsidRPr="00B453BB">
        <w:t xml:space="preserve"> arm for the ≥8.9-point improvement from baseline in SNOT-22 compared to POLYP trials (53% vs 41%). Meanwhile, the</w:t>
      </w:r>
      <w:r w:rsidRPr="2BCE08C6">
        <w:t xml:space="preserve"> event rate in the MERIT </w:t>
      </w:r>
      <w:r w:rsidR="00313736">
        <w:t>SoC (</w:t>
      </w:r>
      <w:r w:rsidRPr="2BCE08C6">
        <w:t>placebo</w:t>
      </w:r>
      <w:r w:rsidR="00313736">
        <w:t>)</w:t>
      </w:r>
      <w:r w:rsidRPr="2BCE08C6">
        <w:t xml:space="preserve"> arm for ≥1 point improvement from baseline in NPS was higher compared with the other trials (37.8% vs 28.4-28.7%). </w:t>
      </w:r>
      <w:r w:rsidRPr="0048711D">
        <w:t>This is likely due to the differences in patient baseline characteristics.</w:t>
      </w:r>
    </w:p>
    <w:p w14:paraId="7A4AB544" w14:textId="1884B361" w:rsidR="002C1266" w:rsidRPr="001744DF" w:rsidRDefault="002C1266" w:rsidP="2BCE08C6">
      <w:pPr>
        <w:pStyle w:val="3-BodyText"/>
      </w:pPr>
      <w:r w:rsidRPr="001744DF">
        <w:t>The systematic review (Papacharalampous et al. 2024)</w:t>
      </w:r>
      <w:r w:rsidRPr="001744DF">
        <w:rPr>
          <w:rStyle w:val="FootnoteReference"/>
        </w:rPr>
        <w:footnoteReference w:id="12"/>
      </w:r>
      <w:r w:rsidRPr="001744DF">
        <w:t xml:space="preserve"> highlighted that across the included trials and most recent systematic reviews, meta-analyses and ITCs, dupilumab showed greater improvements in all clinical and self-reported endpoints of interest, followed by omalizumab and mepolizumab. </w:t>
      </w:r>
    </w:p>
    <w:p w14:paraId="1F18FB59" w14:textId="75E4C063" w:rsidR="002C1266" w:rsidRPr="001744DF" w:rsidRDefault="002C1266" w:rsidP="2BCE08C6">
      <w:pPr>
        <w:pStyle w:val="3-BodyText"/>
      </w:pPr>
      <w:r w:rsidRPr="001744DF">
        <w:lastRenderedPageBreak/>
        <w:t xml:space="preserve">The systematic review (Papacharalampous et al. 2024) results </w:t>
      </w:r>
      <w:r w:rsidR="000C765B">
        <w:t>we</w:t>
      </w:r>
      <w:r w:rsidR="000C765B" w:rsidRPr="001744DF">
        <w:t xml:space="preserve">re </w:t>
      </w:r>
      <w:r w:rsidRPr="001744DF">
        <w:t xml:space="preserve">illustrated through an example of one of the review’s largest recent network meta-analysis for treatment of </w:t>
      </w:r>
      <w:proofErr w:type="spellStart"/>
      <w:r w:rsidRPr="001744DF">
        <w:t>CRSwNP</w:t>
      </w:r>
      <w:proofErr w:type="spellEnd"/>
      <w:r w:rsidRPr="001744DF">
        <w:t xml:space="preserve"> with biologics (Cai et al, 2022).</w:t>
      </w:r>
      <w:r w:rsidRPr="001744DF">
        <w:rPr>
          <w:rStyle w:val="FootnoteReference"/>
        </w:rPr>
        <w:footnoteReference w:id="13"/>
      </w:r>
      <w:r w:rsidRPr="001744DF">
        <w:t xml:space="preserve"> Results of the indirect comparison using Bucher method for analysis of mean difference in NPS favoured omalizumab over </w:t>
      </w:r>
      <w:r w:rsidR="00B603E8" w:rsidRPr="001744DF">
        <w:t>SoC (placebo)</w:t>
      </w:r>
      <w:r w:rsidRPr="001744DF">
        <w:t xml:space="preserve"> and showed no difference between mepolizumab and omalizumab at 24</w:t>
      </w:r>
      <w:r w:rsidR="002D0B33">
        <w:t> </w:t>
      </w:r>
      <w:r w:rsidRPr="001744DF">
        <w:t xml:space="preserve">weeks </w:t>
      </w:r>
      <w:r w:rsidR="00AC68F0" w:rsidRPr="001744DF">
        <w:t>(</w:t>
      </w:r>
      <w:r w:rsidR="00AC68F0" w:rsidRPr="001744DF">
        <w:fldChar w:fldCharType="begin"/>
      </w:r>
      <w:r w:rsidR="00AC68F0" w:rsidRPr="001744DF">
        <w:instrText xml:space="preserve"> REF _Ref193273864 \h  \* MERGEFORMAT </w:instrText>
      </w:r>
      <w:r w:rsidR="00AC68F0" w:rsidRPr="001744DF">
        <w:fldChar w:fldCharType="separate"/>
      </w:r>
      <w:r w:rsidR="00CE52BF" w:rsidRPr="2BCE08C6">
        <w:t xml:space="preserve">Figure </w:t>
      </w:r>
      <w:r w:rsidR="00CE52BF">
        <w:rPr>
          <w:noProof/>
        </w:rPr>
        <w:t>1</w:t>
      </w:r>
      <w:r w:rsidR="00AC68F0" w:rsidRPr="001744DF">
        <w:fldChar w:fldCharType="end"/>
      </w:r>
      <w:r w:rsidRPr="001744DF">
        <w:t>). Results are shown for comparison rather than as endorsement of rigor or approach used.</w:t>
      </w:r>
    </w:p>
    <w:p w14:paraId="1C6F52BC" w14:textId="7896949D" w:rsidR="002C1266" w:rsidRDefault="002C1266" w:rsidP="2BCE08C6">
      <w:pPr>
        <w:pStyle w:val="Caption"/>
        <w:rPr>
          <w:i/>
          <w:iCs/>
        </w:rPr>
      </w:pPr>
      <w:bookmarkStart w:id="43" w:name="_Ref193273864"/>
      <w:r w:rsidRPr="2BCE08C6">
        <w:t xml:space="preserve">Figure </w:t>
      </w:r>
      <w:r w:rsidR="006C08C0">
        <w:fldChar w:fldCharType="begin"/>
      </w:r>
      <w:r w:rsidR="006C08C0">
        <w:instrText xml:space="preserve"> SEQ Figure \* ARABIC </w:instrText>
      </w:r>
      <w:r w:rsidR="006C08C0">
        <w:fldChar w:fldCharType="separate"/>
      </w:r>
      <w:r w:rsidR="00CE52BF">
        <w:rPr>
          <w:noProof/>
        </w:rPr>
        <w:t>1</w:t>
      </w:r>
      <w:r w:rsidR="006C08C0">
        <w:rPr>
          <w:noProof/>
        </w:rPr>
        <w:fldChar w:fldCharType="end"/>
      </w:r>
      <w:bookmarkEnd w:id="43"/>
      <w:r w:rsidRPr="2BCE08C6">
        <w:t xml:space="preserve">: Results of the ITC (Cai et al, 2022) of mean difference in NPS at 24 weeks for treatment of </w:t>
      </w:r>
      <w:proofErr w:type="spellStart"/>
      <w:r w:rsidRPr="2BCE08C6">
        <w:t>CRSwNP</w:t>
      </w:r>
      <w:proofErr w:type="spellEnd"/>
      <w:r w:rsidRPr="2BCE08C6">
        <w:t xml:space="preserve"> with biologics</w:t>
      </w:r>
    </w:p>
    <w:p w14:paraId="75C5C21F" w14:textId="77777777" w:rsidR="002C1266" w:rsidRDefault="002C1266" w:rsidP="002D0B33">
      <w:pPr>
        <w:pStyle w:val="3-BodyText"/>
        <w:keepNext/>
        <w:numPr>
          <w:ilvl w:val="0"/>
          <w:numId w:val="0"/>
        </w:numPr>
        <w:spacing w:before="0" w:after="0"/>
        <w:ind w:left="720"/>
        <w:rPr>
          <w:i/>
          <w:iCs/>
        </w:rPr>
      </w:pPr>
      <w:r>
        <w:rPr>
          <w:noProof/>
        </w:rPr>
        <w:drawing>
          <wp:inline distT="0" distB="0" distL="0" distR="0" wp14:anchorId="247F3B69" wp14:editId="6704EA67">
            <wp:extent cx="4418380" cy="4562025"/>
            <wp:effectExtent l="0" t="0" r="1270" b="0"/>
            <wp:docPr id="1491142491" name="Picture 1" descr="Figure 1: Results of the ITC (Cai et al, 2022) of mean difference in NPS at 24 weeks for treatment of CRSwNP with biolog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42491" name="Picture 1" descr="Figure 1: Results of the ITC (Cai et al, 2022) of mean difference in NPS at 24 weeks for treatment of CRSwNP with biologics"/>
                    <pic:cNvPicPr/>
                  </pic:nvPicPr>
                  <pic:blipFill rotWithShape="1">
                    <a:blip r:embed="rId14"/>
                    <a:srcRect l="11347" t="34578" r="75291" b="19874"/>
                    <a:stretch/>
                  </pic:blipFill>
                  <pic:spPr bwMode="auto">
                    <a:xfrm>
                      <a:off x="0" y="0"/>
                      <a:ext cx="4418380" cy="4562025"/>
                    </a:xfrm>
                    <a:prstGeom prst="rect">
                      <a:avLst/>
                    </a:prstGeom>
                    <a:ln>
                      <a:noFill/>
                    </a:ln>
                    <a:extLst>
                      <a:ext uri="{53640926-AAD7-44D8-BBD7-CCE9431645EC}">
                        <a14:shadowObscured xmlns:a14="http://schemas.microsoft.com/office/drawing/2010/main"/>
                      </a:ext>
                    </a:extLst>
                  </pic:spPr>
                </pic:pic>
              </a:graphicData>
            </a:graphic>
          </wp:inline>
        </w:drawing>
      </w:r>
    </w:p>
    <w:p w14:paraId="3EB51892" w14:textId="5E77E75C" w:rsidR="002C1266" w:rsidRPr="00AB354B" w:rsidRDefault="002C1266" w:rsidP="00022C1B">
      <w:pPr>
        <w:pStyle w:val="TableFigureFooter"/>
        <w:rPr>
          <w:lang w:val="fr-CA"/>
        </w:rPr>
      </w:pPr>
      <w:r w:rsidRPr="00AB354B">
        <w:rPr>
          <w:lang w:val="fr-CA"/>
        </w:rPr>
        <w:t xml:space="preserve">Source: Cai et al, 2022 Figure 3A. </w:t>
      </w:r>
    </w:p>
    <w:p w14:paraId="447C75E0" w14:textId="5A326C8F" w:rsidR="002C1266" w:rsidRPr="00241B01" w:rsidRDefault="002C1266" w:rsidP="00022C1B">
      <w:pPr>
        <w:pStyle w:val="TableFigureFooter"/>
        <w:rPr>
          <w:i/>
          <w:iCs/>
        </w:rPr>
      </w:pPr>
      <w:r w:rsidRPr="2BCE08C6">
        <w:t xml:space="preserve">CI, confidence interval; EOF, end of follow up; MD, mean difference; NPS nasal polyp score.  </w:t>
      </w:r>
    </w:p>
    <w:p w14:paraId="75C2EE3C" w14:textId="791E4E9C" w:rsidR="002C1266" w:rsidRPr="00B6639B" w:rsidRDefault="002C1266" w:rsidP="2BCE08C6">
      <w:pPr>
        <w:pStyle w:val="3-BodyText"/>
        <w:rPr>
          <w:i/>
          <w:iCs/>
        </w:rPr>
      </w:pPr>
      <w:r w:rsidRPr="001744DF">
        <w:t>However, several important methodological limitations were noted in the systematic review (Papacharalampous et al. 2024) particularly in relation to heterogeneity across</w:t>
      </w:r>
      <w:r w:rsidRPr="2BCE08C6">
        <w:rPr>
          <w:i/>
          <w:iCs/>
        </w:rPr>
        <w:t xml:space="preserve"> </w:t>
      </w:r>
      <w:r w:rsidRPr="001744DF">
        <w:t xml:space="preserve">trial populations in terms of inclusion criteria, endpoints selection, methodology, and </w:t>
      </w:r>
      <w:r w:rsidRPr="001744DF">
        <w:lastRenderedPageBreak/>
        <w:t>data extraction, which made indirect comparative assessment of biologics challenging and problematic. The publication noted that this along with the associated inherent lack of external validity and lack of causality of existing comparison analyses were the main reasons for the relatively low level of evidence. The authors suggested that techniques such as the matching adjusted indirect comparison (MAIC) and Bayesian method provides a more rigorous assessment compared to standard ITCs such as the Bucher's indirect comparison formula.</w:t>
      </w:r>
    </w:p>
    <w:p w14:paraId="523A6829" w14:textId="77777777" w:rsidR="002C1266" w:rsidRPr="0098262F" w:rsidRDefault="002C1266" w:rsidP="002C1266">
      <w:pPr>
        <w:pStyle w:val="4-SubsectionHeading"/>
      </w:pPr>
      <w:bookmarkStart w:id="44" w:name="_Toc22897642"/>
      <w:bookmarkStart w:id="45" w:name="_Toc193290746"/>
      <w:r w:rsidRPr="0098262F">
        <w:t>Comparative harms</w:t>
      </w:r>
      <w:bookmarkEnd w:id="44"/>
      <w:bookmarkEnd w:id="45"/>
    </w:p>
    <w:p w14:paraId="25BACA2F" w14:textId="77777777" w:rsidR="002C1266" w:rsidRPr="001B05A3" w:rsidRDefault="002C1266" w:rsidP="002C1266">
      <w:pPr>
        <w:pStyle w:val="5-SubsectionSubheading"/>
      </w:pPr>
      <w:bookmarkStart w:id="46" w:name="_Toc193290747"/>
      <w:r>
        <w:t>Direct comparison of omalizumab versus SoC (placebo)</w:t>
      </w:r>
      <w:bookmarkEnd w:id="46"/>
      <w:r w:rsidRPr="00456281">
        <w:t xml:space="preserve"> </w:t>
      </w:r>
    </w:p>
    <w:p w14:paraId="09EB2606" w14:textId="5078665B" w:rsidR="002C1266" w:rsidRPr="00657BD8" w:rsidRDefault="002C1266" w:rsidP="002C1266">
      <w:pPr>
        <w:pStyle w:val="3-BodyText"/>
        <w:rPr>
          <w:color w:val="0066FF"/>
        </w:rPr>
      </w:pPr>
      <w:r>
        <w:t xml:space="preserve">The key safety outcomes occurring in patients treated with omalizumab versus </w:t>
      </w:r>
      <w:r w:rsidR="00B603E8">
        <w:t>SoC (placebo)</w:t>
      </w:r>
      <w:r>
        <w:t xml:space="preserve"> in the POLYP trials, including meta-analyses results, are summarised in </w:t>
      </w:r>
      <w:r>
        <w:fldChar w:fldCharType="begin"/>
      </w:r>
      <w:r>
        <w:instrText xml:space="preserve"> REF _Ref190211396 \h </w:instrText>
      </w:r>
      <w:r>
        <w:fldChar w:fldCharType="separate"/>
      </w:r>
      <w:r w:rsidR="00CE52BF">
        <w:t xml:space="preserve">Table </w:t>
      </w:r>
      <w:r w:rsidR="00CE52BF">
        <w:rPr>
          <w:noProof/>
        </w:rPr>
        <w:t>9</w:t>
      </w:r>
      <w:r>
        <w:fldChar w:fldCharType="end"/>
      </w:r>
      <w:r>
        <w:t>.</w:t>
      </w:r>
    </w:p>
    <w:p w14:paraId="1D1E6975" w14:textId="70B73815" w:rsidR="002C1266" w:rsidRDefault="002C1266" w:rsidP="002C1266">
      <w:pPr>
        <w:pStyle w:val="Caption"/>
      </w:pPr>
      <w:bookmarkStart w:id="47" w:name="_Ref190211396"/>
      <w:r>
        <w:t xml:space="preserve">Table </w:t>
      </w:r>
      <w:r>
        <w:fldChar w:fldCharType="begin"/>
      </w:r>
      <w:r>
        <w:instrText>SEQ Table \* ARABIC</w:instrText>
      </w:r>
      <w:r>
        <w:fldChar w:fldCharType="separate"/>
      </w:r>
      <w:r w:rsidR="00CE52BF">
        <w:rPr>
          <w:noProof/>
        </w:rPr>
        <w:t>9</w:t>
      </w:r>
      <w:r>
        <w:fldChar w:fldCharType="end"/>
      </w:r>
      <w:bookmarkEnd w:id="47"/>
      <w:r>
        <w:t>: K</w:t>
      </w:r>
      <w:r w:rsidRPr="00BF2DEC">
        <w:t>ey safety outcomes of the POLYP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1291"/>
        <w:gridCol w:w="1589"/>
        <w:gridCol w:w="1592"/>
        <w:gridCol w:w="1573"/>
      </w:tblGrid>
      <w:tr w:rsidR="002C1266" w:rsidRPr="00B97C7F" w14:paraId="0C67914B" w14:textId="77777777">
        <w:trPr>
          <w:trHeight w:val="322"/>
          <w:tblHeader/>
        </w:trPr>
        <w:tc>
          <w:tcPr>
            <w:tcW w:w="862" w:type="pct"/>
            <w:vMerge w:val="restart"/>
            <w:shd w:val="clear" w:color="auto" w:fill="auto"/>
          </w:tcPr>
          <w:p w14:paraId="32C0669A" w14:textId="77777777" w:rsidR="002C1266" w:rsidRPr="00B97C7F" w:rsidRDefault="002C1266">
            <w:pPr>
              <w:pStyle w:val="Tabletext"/>
              <w:rPr>
                <w:b/>
                <w:bCs/>
              </w:rPr>
            </w:pPr>
            <w:r w:rsidRPr="00B97C7F">
              <w:rPr>
                <w:b/>
                <w:bCs/>
              </w:rPr>
              <w:t>Trial ID</w:t>
            </w:r>
          </w:p>
        </w:tc>
        <w:tc>
          <w:tcPr>
            <w:tcW w:w="786" w:type="pct"/>
            <w:vMerge w:val="restart"/>
            <w:shd w:val="clear" w:color="auto" w:fill="auto"/>
          </w:tcPr>
          <w:p w14:paraId="1A2CE529" w14:textId="77777777" w:rsidR="002C1266" w:rsidRPr="00B97C7F" w:rsidRDefault="002C1266" w:rsidP="00860264">
            <w:pPr>
              <w:pStyle w:val="Tabletext"/>
              <w:jc w:val="center"/>
              <w:rPr>
                <w:b/>
                <w:bCs/>
              </w:rPr>
            </w:pPr>
            <w:r w:rsidRPr="00B97C7F">
              <w:rPr>
                <w:b/>
                <w:bCs/>
              </w:rPr>
              <w:t>Omalizumab</w:t>
            </w:r>
          </w:p>
        </w:tc>
        <w:tc>
          <w:tcPr>
            <w:tcW w:w="716" w:type="pct"/>
            <w:vMerge w:val="restart"/>
            <w:shd w:val="clear" w:color="auto" w:fill="auto"/>
          </w:tcPr>
          <w:p w14:paraId="476006BF" w14:textId="115D3EA4" w:rsidR="002C1266" w:rsidRPr="00B97C7F" w:rsidRDefault="00B603E8" w:rsidP="00860264">
            <w:pPr>
              <w:pStyle w:val="Tabletext"/>
              <w:jc w:val="center"/>
              <w:rPr>
                <w:b/>
                <w:bCs/>
              </w:rPr>
            </w:pPr>
            <w:r>
              <w:rPr>
                <w:b/>
                <w:bCs/>
              </w:rPr>
              <w:t>SoC (placebo)</w:t>
            </w:r>
          </w:p>
        </w:tc>
        <w:tc>
          <w:tcPr>
            <w:tcW w:w="2636" w:type="pct"/>
            <w:gridSpan w:val="3"/>
            <w:shd w:val="clear" w:color="auto" w:fill="auto"/>
          </w:tcPr>
          <w:p w14:paraId="49EFB7B6" w14:textId="65A809F4" w:rsidR="002C1266" w:rsidRPr="00B97C7F" w:rsidRDefault="002C1266" w:rsidP="00860264">
            <w:pPr>
              <w:pStyle w:val="Tabletext"/>
              <w:jc w:val="center"/>
              <w:rPr>
                <w:b/>
                <w:bCs/>
              </w:rPr>
            </w:pPr>
            <w:r w:rsidRPr="00B97C7F">
              <w:rPr>
                <w:b/>
                <w:bCs/>
              </w:rPr>
              <w:t xml:space="preserve">Omalizumab vs </w:t>
            </w:r>
            <w:r w:rsidR="00B603E8">
              <w:rPr>
                <w:b/>
                <w:bCs/>
              </w:rPr>
              <w:t>SoC (placebo)</w:t>
            </w:r>
          </w:p>
        </w:tc>
      </w:tr>
      <w:tr w:rsidR="002C1266" w:rsidRPr="00B97C7F" w14:paraId="3BDB5B6C" w14:textId="77777777">
        <w:trPr>
          <w:tblHeader/>
        </w:trPr>
        <w:tc>
          <w:tcPr>
            <w:tcW w:w="862" w:type="pct"/>
            <w:vMerge/>
            <w:shd w:val="clear" w:color="auto" w:fill="auto"/>
          </w:tcPr>
          <w:p w14:paraId="7C3DAB5B" w14:textId="77777777" w:rsidR="002C1266" w:rsidRPr="00B97C7F" w:rsidRDefault="002C1266">
            <w:pPr>
              <w:pStyle w:val="Tabletext"/>
              <w:rPr>
                <w:b/>
                <w:bCs/>
              </w:rPr>
            </w:pPr>
          </w:p>
        </w:tc>
        <w:tc>
          <w:tcPr>
            <w:tcW w:w="786" w:type="pct"/>
            <w:vMerge/>
            <w:shd w:val="clear" w:color="auto" w:fill="auto"/>
          </w:tcPr>
          <w:p w14:paraId="64E3BC57" w14:textId="77777777" w:rsidR="002C1266" w:rsidRPr="00B97C7F" w:rsidRDefault="002C1266" w:rsidP="00860264">
            <w:pPr>
              <w:pStyle w:val="Tabletext"/>
              <w:jc w:val="center"/>
              <w:rPr>
                <w:b/>
                <w:bCs/>
              </w:rPr>
            </w:pPr>
          </w:p>
        </w:tc>
        <w:tc>
          <w:tcPr>
            <w:tcW w:w="716" w:type="pct"/>
            <w:vMerge/>
            <w:shd w:val="clear" w:color="auto" w:fill="auto"/>
          </w:tcPr>
          <w:p w14:paraId="0FBD403B" w14:textId="77777777" w:rsidR="002C1266" w:rsidRPr="00B97C7F" w:rsidRDefault="002C1266" w:rsidP="00860264">
            <w:pPr>
              <w:pStyle w:val="Tabletext"/>
              <w:jc w:val="center"/>
              <w:rPr>
                <w:b/>
                <w:bCs/>
              </w:rPr>
            </w:pPr>
          </w:p>
        </w:tc>
        <w:tc>
          <w:tcPr>
            <w:tcW w:w="881" w:type="pct"/>
            <w:shd w:val="clear" w:color="auto" w:fill="auto"/>
          </w:tcPr>
          <w:p w14:paraId="6A55DD1D" w14:textId="77777777" w:rsidR="002C1266" w:rsidRPr="00B97C7F" w:rsidRDefault="002C1266" w:rsidP="00860264">
            <w:pPr>
              <w:pStyle w:val="Tabletext"/>
              <w:jc w:val="center"/>
              <w:rPr>
                <w:b/>
                <w:bCs/>
              </w:rPr>
            </w:pPr>
            <w:r w:rsidRPr="00B97C7F">
              <w:rPr>
                <w:b/>
                <w:bCs/>
              </w:rPr>
              <w:t>OR [95% CI]</w:t>
            </w:r>
          </w:p>
        </w:tc>
        <w:tc>
          <w:tcPr>
            <w:tcW w:w="883" w:type="pct"/>
            <w:shd w:val="clear" w:color="auto" w:fill="auto"/>
          </w:tcPr>
          <w:p w14:paraId="7B109EE3" w14:textId="77777777" w:rsidR="002C1266" w:rsidRPr="00B97C7F" w:rsidRDefault="002C1266" w:rsidP="00860264">
            <w:pPr>
              <w:pStyle w:val="Tabletext"/>
              <w:jc w:val="center"/>
              <w:rPr>
                <w:b/>
                <w:bCs/>
              </w:rPr>
            </w:pPr>
            <w:r w:rsidRPr="00B97C7F">
              <w:rPr>
                <w:b/>
                <w:bCs/>
              </w:rPr>
              <w:t>RR [95% CI]</w:t>
            </w:r>
          </w:p>
        </w:tc>
        <w:tc>
          <w:tcPr>
            <w:tcW w:w="872" w:type="pct"/>
            <w:shd w:val="clear" w:color="auto" w:fill="auto"/>
          </w:tcPr>
          <w:p w14:paraId="47AC663F" w14:textId="77777777" w:rsidR="002C1266" w:rsidRPr="00B97C7F" w:rsidRDefault="002C1266" w:rsidP="00860264">
            <w:pPr>
              <w:pStyle w:val="Tabletext"/>
              <w:jc w:val="center"/>
              <w:rPr>
                <w:b/>
                <w:bCs/>
              </w:rPr>
            </w:pPr>
            <w:r w:rsidRPr="00B97C7F">
              <w:rPr>
                <w:b/>
                <w:bCs/>
              </w:rPr>
              <w:t>RD [95% CI]</w:t>
            </w:r>
          </w:p>
        </w:tc>
      </w:tr>
      <w:tr w:rsidR="002C1266" w:rsidRPr="00B97C7F" w14:paraId="1C3B6CFB" w14:textId="77777777">
        <w:tc>
          <w:tcPr>
            <w:tcW w:w="5000" w:type="pct"/>
            <w:gridSpan w:val="6"/>
            <w:shd w:val="clear" w:color="auto" w:fill="auto"/>
          </w:tcPr>
          <w:p w14:paraId="694F2496" w14:textId="77777777" w:rsidR="002C1266" w:rsidRPr="00B97C7F" w:rsidRDefault="002C1266">
            <w:pPr>
              <w:pStyle w:val="Tabletext"/>
              <w:rPr>
                <w:b/>
                <w:bCs/>
              </w:rPr>
            </w:pPr>
            <w:r w:rsidRPr="00B97C7F">
              <w:rPr>
                <w:b/>
                <w:bCs/>
              </w:rPr>
              <w:t>Overall safety profile</w:t>
            </w:r>
          </w:p>
        </w:tc>
      </w:tr>
      <w:tr w:rsidR="002C1266" w:rsidRPr="00B97C7F" w14:paraId="11F8DDD6" w14:textId="77777777">
        <w:tc>
          <w:tcPr>
            <w:tcW w:w="5000" w:type="pct"/>
            <w:gridSpan w:val="6"/>
            <w:shd w:val="clear" w:color="auto" w:fill="auto"/>
          </w:tcPr>
          <w:p w14:paraId="2ED08E89" w14:textId="77777777" w:rsidR="002C1266" w:rsidRPr="00B97C7F" w:rsidRDefault="002C1266">
            <w:pPr>
              <w:pStyle w:val="Tabletext"/>
              <w:rPr>
                <w:b/>
                <w:bCs/>
              </w:rPr>
            </w:pPr>
            <w:r w:rsidRPr="00B97C7F">
              <w:rPr>
                <w:b/>
                <w:bCs/>
              </w:rPr>
              <w:t>≥1 treatment emergent AE, n</w:t>
            </w:r>
            <w:r>
              <w:rPr>
                <w:b/>
                <w:bCs/>
              </w:rPr>
              <w:t>/N</w:t>
            </w:r>
            <w:r w:rsidRPr="00B97C7F">
              <w:rPr>
                <w:b/>
                <w:bCs/>
              </w:rPr>
              <w:t xml:space="preserve"> (%)</w:t>
            </w:r>
          </w:p>
        </w:tc>
      </w:tr>
      <w:tr w:rsidR="002C1266" w:rsidRPr="00B97C7F" w14:paraId="14BB0379" w14:textId="77777777">
        <w:tc>
          <w:tcPr>
            <w:tcW w:w="862" w:type="pct"/>
            <w:shd w:val="clear" w:color="auto" w:fill="auto"/>
          </w:tcPr>
          <w:p w14:paraId="136319D6" w14:textId="77777777" w:rsidR="002C1266" w:rsidRPr="00B97C7F" w:rsidRDefault="002C1266">
            <w:pPr>
              <w:pStyle w:val="Tabletext"/>
            </w:pPr>
            <w:r w:rsidRPr="00B97C7F">
              <w:t>POLYP 1</w:t>
            </w:r>
          </w:p>
        </w:tc>
        <w:tc>
          <w:tcPr>
            <w:tcW w:w="786" w:type="pct"/>
            <w:shd w:val="clear" w:color="auto" w:fill="auto"/>
          </w:tcPr>
          <w:p w14:paraId="5BE2D7F8" w14:textId="77777777" w:rsidR="002C1266" w:rsidRPr="00B97C7F" w:rsidRDefault="002C1266">
            <w:pPr>
              <w:pStyle w:val="Tabletext"/>
              <w:jc w:val="center"/>
            </w:pPr>
            <w:r w:rsidRPr="00B97C7F">
              <w:t>36/72 (50.0)</w:t>
            </w:r>
          </w:p>
        </w:tc>
        <w:tc>
          <w:tcPr>
            <w:tcW w:w="716" w:type="pct"/>
            <w:shd w:val="clear" w:color="auto" w:fill="auto"/>
          </w:tcPr>
          <w:p w14:paraId="28842BE6" w14:textId="77777777" w:rsidR="002C1266" w:rsidRPr="00B97C7F" w:rsidRDefault="002C1266">
            <w:pPr>
              <w:pStyle w:val="Tabletext"/>
              <w:jc w:val="center"/>
            </w:pPr>
            <w:r w:rsidRPr="00B97C7F">
              <w:t>41/66 (62.1)</w:t>
            </w:r>
          </w:p>
        </w:tc>
        <w:tc>
          <w:tcPr>
            <w:tcW w:w="881" w:type="pct"/>
            <w:shd w:val="clear" w:color="auto" w:fill="auto"/>
          </w:tcPr>
          <w:p w14:paraId="7194D21F" w14:textId="77777777" w:rsidR="002C1266" w:rsidRPr="00B97C7F" w:rsidRDefault="002C1266">
            <w:pPr>
              <w:pStyle w:val="Tabletext"/>
              <w:jc w:val="center"/>
            </w:pPr>
            <w:r w:rsidRPr="00B97C7F">
              <w:t>0.61 [0.31, 1.20]</w:t>
            </w:r>
          </w:p>
        </w:tc>
        <w:tc>
          <w:tcPr>
            <w:tcW w:w="883" w:type="pct"/>
            <w:shd w:val="clear" w:color="auto" w:fill="auto"/>
          </w:tcPr>
          <w:p w14:paraId="754DD89C" w14:textId="77777777" w:rsidR="002C1266" w:rsidRPr="00B97C7F" w:rsidRDefault="002C1266">
            <w:pPr>
              <w:pStyle w:val="Tabletext"/>
              <w:jc w:val="center"/>
            </w:pPr>
            <w:r w:rsidRPr="00B97C7F">
              <w:t>0.80 [0.60, 1.08]</w:t>
            </w:r>
          </w:p>
        </w:tc>
        <w:tc>
          <w:tcPr>
            <w:tcW w:w="872" w:type="pct"/>
            <w:shd w:val="clear" w:color="auto" w:fill="auto"/>
          </w:tcPr>
          <w:p w14:paraId="467BC17F" w14:textId="77777777" w:rsidR="002C1266" w:rsidRPr="00B97C7F" w:rsidRDefault="002C1266">
            <w:pPr>
              <w:pStyle w:val="Tabletext"/>
              <w:jc w:val="center"/>
            </w:pPr>
            <w:r w:rsidRPr="00B97C7F">
              <w:t>-0.12 [-0.29, 0.04]</w:t>
            </w:r>
          </w:p>
        </w:tc>
      </w:tr>
      <w:tr w:rsidR="002C1266" w:rsidRPr="00B97C7F" w14:paraId="4EE92F31" w14:textId="77777777">
        <w:tc>
          <w:tcPr>
            <w:tcW w:w="862" w:type="pct"/>
            <w:shd w:val="clear" w:color="auto" w:fill="auto"/>
          </w:tcPr>
          <w:p w14:paraId="658106BB" w14:textId="77777777" w:rsidR="002C1266" w:rsidRPr="00B97C7F" w:rsidRDefault="002C1266">
            <w:pPr>
              <w:pStyle w:val="Tabletext"/>
            </w:pPr>
            <w:r w:rsidRPr="00B97C7F">
              <w:t>POLYP 2</w:t>
            </w:r>
          </w:p>
        </w:tc>
        <w:tc>
          <w:tcPr>
            <w:tcW w:w="786" w:type="pct"/>
            <w:shd w:val="clear" w:color="auto" w:fill="auto"/>
          </w:tcPr>
          <w:p w14:paraId="21EC229B" w14:textId="77777777" w:rsidR="002C1266" w:rsidRPr="00B97C7F" w:rsidRDefault="002C1266">
            <w:pPr>
              <w:pStyle w:val="Tabletext"/>
              <w:jc w:val="center"/>
            </w:pPr>
            <w:r w:rsidRPr="00B97C7F">
              <w:t>32/63 (50.8)</w:t>
            </w:r>
          </w:p>
        </w:tc>
        <w:tc>
          <w:tcPr>
            <w:tcW w:w="716" w:type="pct"/>
            <w:shd w:val="clear" w:color="auto" w:fill="auto"/>
          </w:tcPr>
          <w:p w14:paraId="7AF852A5" w14:textId="77777777" w:rsidR="002C1266" w:rsidRPr="00B97C7F" w:rsidRDefault="002C1266">
            <w:pPr>
              <w:pStyle w:val="Tabletext"/>
              <w:jc w:val="center"/>
            </w:pPr>
            <w:r w:rsidRPr="00B97C7F">
              <w:t>35/64 (54.7)</w:t>
            </w:r>
          </w:p>
        </w:tc>
        <w:tc>
          <w:tcPr>
            <w:tcW w:w="881" w:type="pct"/>
            <w:shd w:val="clear" w:color="auto" w:fill="auto"/>
          </w:tcPr>
          <w:p w14:paraId="238788F1" w14:textId="77777777" w:rsidR="002C1266" w:rsidRPr="00B97C7F" w:rsidRDefault="002C1266">
            <w:pPr>
              <w:pStyle w:val="Tabletext"/>
              <w:jc w:val="center"/>
            </w:pPr>
            <w:r w:rsidRPr="00B97C7F">
              <w:t>0.86 [0.43, 1.72]</w:t>
            </w:r>
          </w:p>
        </w:tc>
        <w:tc>
          <w:tcPr>
            <w:tcW w:w="883" w:type="pct"/>
            <w:shd w:val="clear" w:color="auto" w:fill="auto"/>
          </w:tcPr>
          <w:p w14:paraId="219D48EA" w14:textId="77777777" w:rsidR="002C1266" w:rsidRPr="00B97C7F" w:rsidRDefault="002C1266">
            <w:pPr>
              <w:pStyle w:val="Tabletext"/>
              <w:jc w:val="center"/>
            </w:pPr>
            <w:r w:rsidRPr="00B97C7F">
              <w:t>0.93 [0.67, 1.29]</w:t>
            </w:r>
          </w:p>
        </w:tc>
        <w:tc>
          <w:tcPr>
            <w:tcW w:w="872" w:type="pct"/>
            <w:shd w:val="clear" w:color="auto" w:fill="auto"/>
          </w:tcPr>
          <w:p w14:paraId="2A02F7CD" w14:textId="77777777" w:rsidR="002C1266" w:rsidRPr="00B97C7F" w:rsidRDefault="002C1266">
            <w:pPr>
              <w:pStyle w:val="Tabletext"/>
              <w:jc w:val="center"/>
            </w:pPr>
            <w:r w:rsidRPr="00B97C7F">
              <w:t>-0.04 [-0.21, 0.13]</w:t>
            </w:r>
          </w:p>
        </w:tc>
      </w:tr>
      <w:tr w:rsidR="002C1266" w:rsidRPr="00B97C7F" w14:paraId="599813C5" w14:textId="77777777">
        <w:tc>
          <w:tcPr>
            <w:tcW w:w="862" w:type="pct"/>
            <w:shd w:val="clear" w:color="auto" w:fill="auto"/>
          </w:tcPr>
          <w:p w14:paraId="62C43BB9" w14:textId="77777777" w:rsidR="002C1266" w:rsidRPr="00B97C7F" w:rsidRDefault="002C1266">
            <w:pPr>
              <w:pStyle w:val="Tabletext"/>
            </w:pPr>
            <w:r w:rsidRPr="00B97C7F">
              <w:t>Meta-analysis</w:t>
            </w:r>
          </w:p>
        </w:tc>
        <w:tc>
          <w:tcPr>
            <w:tcW w:w="786" w:type="pct"/>
            <w:shd w:val="clear" w:color="auto" w:fill="auto"/>
          </w:tcPr>
          <w:p w14:paraId="1D3408A4" w14:textId="77777777" w:rsidR="002C1266" w:rsidRPr="00B97C7F" w:rsidRDefault="002C1266">
            <w:pPr>
              <w:pStyle w:val="Tabletext"/>
              <w:jc w:val="center"/>
            </w:pPr>
            <w:r w:rsidRPr="00B97C7F">
              <w:t>68/135 (50.4)</w:t>
            </w:r>
          </w:p>
        </w:tc>
        <w:tc>
          <w:tcPr>
            <w:tcW w:w="716" w:type="pct"/>
            <w:shd w:val="clear" w:color="auto" w:fill="auto"/>
          </w:tcPr>
          <w:p w14:paraId="703C4CA6" w14:textId="77777777" w:rsidR="002C1266" w:rsidRPr="00B97C7F" w:rsidRDefault="002C1266">
            <w:pPr>
              <w:pStyle w:val="Tabletext"/>
              <w:jc w:val="center"/>
            </w:pPr>
            <w:r w:rsidRPr="00B97C7F">
              <w:t>76/130 (58.5)</w:t>
            </w:r>
          </w:p>
        </w:tc>
        <w:tc>
          <w:tcPr>
            <w:tcW w:w="881" w:type="pct"/>
            <w:shd w:val="clear" w:color="auto" w:fill="auto"/>
          </w:tcPr>
          <w:p w14:paraId="54556AAC" w14:textId="77777777" w:rsidR="002C1266" w:rsidRPr="00B97C7F" w:rsidRDefault="002C1266">
            <w:pPr>
              <w:pStyle w:val="Tabletext"/>
              <w:jc w:val="center"/>
            </w:pPr>
            <w:r w:rsidRPr="00B97C7F">
              <w:t>0.72 [0.44, 1.17]; p=0.18</w:t>
            </w:r>
          </w:p>
        </w:tc>
        <w:tc>
          <w:tcPr>
            <w:tcW w:w="883" w:type="pct"/>
            <w:shd w:val="clear" w:color="auto" w:fill="auto"/>
          </w:tcPr>
          <w:p w14:paraId="6BEA37C0" w14:textId="77777777" w:rsidR="002C1266" w:rsidRPr="00B97C7F" w:rsidRDefault="002C1266">
            <w:pPr>
              <w:pStyle w:val="Tabletext"/>
              <w:jc w:val="center"/>
            </w:pPr>
            <w:r w:rsidRPr="00B97C7F">
              <w:t>0.86 [0.69, 1.07]; p=0.18</w:t>
            </w:r>
          </w:p>
        </w:tc>
        <w:tc>
          <w:tcPr>
            <w:tcW w:w="872" w:type="pct"/>
            <w:shd w:val="clear" w:color="auto" w:fill="auto"/>
          </w:tcPr>
          <w:p w14:paraId="1369B6D7" w14:textId="77777777" w:rsidR="002C1266" w:rsidRPr="00B97C7F" w:rsidRDefault="002C1266">
            <w:pPr>
              <w:pStyle w:val="Tabletext"/>
              <w:jc w:val="center"/>
            </w:pPr>
            <w:r w:rsidRPr="00B97C7F">
              <w:t>-0.08 [-0.20, 0.04]; p=0.18</w:t>
            </w:r>
          </w:p>
        </w:tc>
      </w:tr>
      <w:tr w:rsidR="002C1266" w:rsidRPr="00B97C7F" w14:paraId="44BFCB4C" w14:textId="77777777">
        <w:tc>
          <w:tcPr>
            <w:tcW w:w="2364" w:type="pct"/>
            <w:gridSpan w:val="3"/>
            <w:shd w:val="clear" w:color="auto" w:fill="D9D9D9" w:themeFill="background1" w:themeFillShade="D9"/>
          </w:tcPr>
          <w:p w14:paraId="3A3B5937" w14:textId="77777777" w:rsidR="002C1266" w:rsidRPr="00B97C7F" w:rsidRDefault="002C1266">
            <w:pPr>
              <w:pStyle w:val="Tabletext"/>
            </w:pPr>
            <w:r w:rsidRPr="00B97C7F">
              <w:t>Heterogeneity (I</w:t>
            </w:r>
            <w:r w:rsidRPr="00B97C7F">
              <w:rPr>
                <w:vertAlign w:val="superscript"/>
              </w:rPr>
              <w:t>2</w:t>
            </w:r>
            <w:r w:rsidRPr="00B97C7F">
              <w:t>); p-value</w:t>
            </w:r>
          </w:p>
        </w:tc>
        <w:tc>
          <w:tcPr>
            <w:tcW w:w="881" w:type="pct"/>
            <w:shd w:val="clear" w:color="auto" w:fill="D9D9D9" w:themeFill="background1" w:themeFillShade="D9"/>
          </w:tcPr>
          <w:p w14:paraId="11DA54FF" w14:textId="77777777" w:rsidR="002C1266" w:rsidRPr="00B97C7F" w:rsidRDefault="002C1266">
            <w:pPr>
              <w:pStyle w:val="Tabletext"/>
              <w:jc w:val="center"/>
            </w:pPr>
            <w:r w:rsidRPr="00B97C7F">
              <w:t>I</w:t>
            </w:r>
            <w:r w:rsidRPr="00B97C7F">
              <w:rPr>
                <w:vertAlign w:val="superscript"/>
              </w:rPr>
              <w:t>2</w:t>
            </w:r>
            <w:r w:rsidRPr="00B97C7F">
              <w:t>=0%; p=0.50</w:t>
            </w:r>
          </w:p>
        </w:tc>
        <w:tc>
          <w:tcPr>
            <w:tcW w:w="883" w:type="pct"/>
            <w:shd w:val="clear" w:color="auto" w:fill="D9D9D9" w:themeFill="background1" w:themeFillShade="D9"/>
          </w:tcPr>
          <w:p w14:paraId="7FFB6F15" w14:textId="77777777" w:rsidR="002C1266" w:rsidRPr="00B97C7F" w:rsidRDefault="002C1266">
            <w:pPr>
              <w:pStyle w:val="Tabletext"/>
              <w:jc w:val="center"/>
            </w:pPr>
            <w:r w:rsidRPr="00B97C7F">
              <w:t>I</w:t>
            </w:r>
            <w:r w:rsidRPr="00B97C7F">
              <w:rPr>
                <w:vertAlign w:val="superscript"/>
              </w:rPr>
              <w:t>2</w:t>
            </w:r>
            <w:r w:rsidRPr="00B97C7F">
              <w:t>=0%; p=0.53</w:t>
            </w:r>
          </w:p>
        </w:tc>
        <w:tc>
          <w:tcPr>
            <w:tcW w:w="872" w:type="pct"/>
            <w:shd w:val="clear" w:color="auto" w:fill="D9D9D9" w:themeFill="background1" w:themeFillShade="D9"/>
          </w:tcPr>
          <w:p w14:paraId="6BE17E86" w14:textId="77777777" w:rsidR="002C1266" w:rsidRPr="00B97C7F" w:rsidRDefault="002C1266">
            <w:pPr>
              <w:pStyle w:val="Tabletext"/>
              <w:jc w:val="center"/>
            </w:pPr>
            <w:r w:rsidRPr="00B97C7F">
              <w:t>I</w:t>
            </w:r>
            <w:r w:rsidRPr="00B97C7F">
              <w:rPr>
                <w:vertAlign w:val="superscript"/>
              </w:rPr>
              <w:t>2</w:t>
            </w:r>
            <w:r w:rsidRPr="00B97C7F">
              <w:t>=0%; p=0.50</w:t>
            </w:r>
          </w:p>
        </w:tc>
      </w:tr>
      <w:tr w:rsidR="002C1266" w:rsidRPr="00B97C7F" w14:paraId="147B18EF" w14:textId="77777777">
        <w:tc>
          <w:tcPr>
            <w:tcW w:w="5000" w:type="pct"/>
            <w:gridSpan w:val="6"/>
            <w:shd w:val="clear" w:color="auto" w:fill="auto"/>
          </w:tcPr>
          <w:p w14:paraId="0CE6FCC0" w14:textId="77777777" w:rsidR="002C1266" w:rsidRPr="00B97C7F" w:rsidRDefault="002C1266">
            <w:pPr>
              <w:pStyle w:val="Tabletext"/>
              <w:rPr>
                <w:b/>
                <w:bCs/>
              </w:rPr>
            </w:pPr>
            <w:r w:rsidRPr="00B97C7F">
              <w:rPr>
                <w:b/>
                <w:bCs/>
              </w:rPr>
              <w:t>≥1 SAE, n</w:t>
            </w:r>
            <w:r>
              <w:rPr>
                <w:b/>
                <w:bCs/>
              </w:rPr>
              <w:t>/N</w:t>
            </w:r>
            <w:r w:rsidRPr="00B97C7F">
              <w:rPr>
                <w:b/>
                <w:bCs/>
              </w:rPr>
              <w:t xml:space="preserve"> (%)</w:t>
            </w:r>
          </w:p>
        </w:tc>
      </w:tr>
      <w:tr w:rsidR="002C1266" w:rsidRPr="00B97C7F" w14:paraId="02BF27F2" w14:textId="77777777">
        <w:tc>
          <w:tcPr>
            <w:tcW w:w="862" w:type="pct"/>
            <w:shd w:val="clear" w:color="auto" w:fill="auto"/>
          </w:tcPr>
          <w:p w14:paraId="517851BB" w14:textId="77777777" w:rsidR="002C1266" w:rsidRPr="00B97C7F" w:rsidRDefault="002C1266">
            <w:pPr>
              <w:pStyle w:val="Tabletext"/>
            </w:pPr>
            <w:r w:rsidRPr="00B97C7F">
              <w:t>POLYP 1</w:t>
            </w:r>
          </w:p>
        </w:tc>
        <w:tc>
          <w:tcPr>
            <w:tcW w:w="786" w:type="pct"/>
            <w:shd w:val="clear" w:color="auto" w:fill="auto"/>
          </w:tcPr>
          <w:p w14:paraId="0FE442A9" w14:textId="77777777" w:rsidR="002C1266" w:rsidRPr="00B97C7F" w:rsidRDefault="002C1266">
            <w:pPr>
              <w:pStyle w:val="Tabletext"/>
              <w:jc w:val="center"/>
            </w:pPr>
            <w:r w:rsidRPr="00B97C7F">
              <w:t>0/72 (0.0)</w:t>
            </w:r>
          </w:p>
        </w:tc>
        <w:tc>
          <w:tcPr>
            <w:tcW w:w="716" w:type="pct"/>
            <w:shd w:val="clear" w:color="auto" w:fill="auto"/>
          </w:tcPr>
          <w:p w14:paraId="42DE0B10" w14:textId="77777777" w:rsidR="002C1266" w:rsidRPr="00B97C7F" w:rsidRDefault="002C1266">
            <w:pPr>
              <w:pStyle w:val="Tabletext"/>
              <w:jc w:val="center"/>
            </w:pPr>
            <w:r w:rsidRPr="00B97C7F">
              <w:t>1/66 (1.5)</w:t>
            </w:r>
          </w:p>
        </w:tc>
        <w:tc>
          <w:tcPr>
            <w:tcW w:w="881" w:type="pct"/>
            <w:shd w:val="clear" w:color="auto" w:fill="auto"/>
          </w:tcPr>
          <w:p w14:paraId="5B5B2B18" w14:textId="77777777" w:rsidR="002C1266" w:rsidRPr="00B97C7F" w:rsidRDefault="002C1266">
            <w:pPr>
              <w:pStyle w:val="Tabletext"/>
              <w:jc w:val="center"/>
            </w:pPr>
            <w:r w:rsidRPr="00B97C7F">
              <w:t>0.30 [0.01, 7.52]</w:t>
            </w:r>
          </w:p>
        </w:tc>
        <w:tc>
          <w:tcPr>
            <w:tcW w:w="883" w:type="pct"/>
            <w:shd w:val="clear" w:color="auto" w:fill="auto"/>
          </w:tcPr>
          <w:p w14:paraId="53912018" w14:textId="77777777" w:rsidR="002C1266" w:rsidRPr="00B97C7F" w:rsidRDefault="002C1266">
            <w:pPr>
              <w:pStyle w:val="Tabletext"/>
              <w:jc w:val="center"/>
            </w:pPr>
            <w:r w:rsidRPr="00B97C7F">
              <w:t>0.31 [0.01, 7.38]</w:t>
            </w:r>
          </w:p>
        </w:tc>
        <w:tc>
          <w:tcPr>
            <w:tcW w:w="872" w:type="pct"/>
            <w:shd w:val="clear" w:color="auto" w:fill="auto"/>
          </w:tcPr>
          <w:p w14:paraId="01891389" w14:textId="77777777" w:rsidR="002C1266" w:rsidRPr="00B97C7F" w:rsidRDefault="002C1266">
            <w:pPr>
              <w:pStyle w:val="Tabletext"/>
              <w:jc w:val="center"/>
            </w:pPr>
            <w:r w:rsidRPr="00B97C7F">
              <w:t>-0.02 [-0.06, 0.03]</w:t>
            </w:r>
          </w:p>
        </w:tc>
      </w:tr>
      <w:tr w:rsidR="002C1266" w:rsidRPr="00B97C7F" w14:paraId="08160746" w14:textId="77777777">
        <w:tc>
          <w:tcPr>
            <w:tcW w:w="862" w:type="pct"/>
            <w:shd w:val="clear" w:color="auto" w:fill="auto"/>
          </w:tcPr>
          <w:p w14:paraId="7A6C12BA" w14:textId="77777777" w:rsidR="002C1266" w:rsidRPr="00B97C7F" w:rsidRDefault="002C1266">
            <w:pPr>
              <w:pStyle w:val="Tabletext"/>
            </w:pPr>
            <w:r w:rsidRPr="00B97C7F">
              <w:t>POLYP 2</w:t>
            </w:r>
          </w:p>
        </w:tc>
        <w:tc>
          <w:tcPr>
            <w:tcW w:w="786" w:type="pct"/>
            <w:shd w:val="clear" w:color="auto" w:fill="auto"/>
          </w:tcPr>
          <w:p w14:paraId="1F176E88" w14:textId="77777777" w:rsidR="002C1266" w:rsidRPr="00B97C7F" w:rsidRDefault="002C1266">
            <w:pPr>
              <w:pStyle w:val="Tabletext"/>
              <w:jc w:val="center"/>
            </w:pPr>
            <w:r w:rsidRPr="00B97C7F">
              <w:t>3/63 (4.8)</w:t>
            </w:r>
          </w:p>
        </w:tc>
        <w:tc>
          <w:tcPr>
            <w:tcW w:w="716" w:type="pct"/>
            <w:shd w:val="clear" w:color="auto" w:fill="auto"/>
          </w:tcPr>
          <w:p w14:paraId="60F8136C" w14:textId="77777777" w:rsidR="002C1266" w:rsidRPr="00B97C7F" w:rsidRDefault="002C1266">
            <w:pPr>
              <w:pStyle w:val="Tabletext"/>
              <w:jc w:val="center"/>
            </w:pPr>
            <w:r w:rsidRPr="00B97C7F">
              <w:t>1/64 (1.6)</w:t>
            </w:r>
          </w:p>
        </w:tc>
        <w:tc>
          <w:tcPr>
            <w:tcW w:w="881" w:type="pct"/>
            <w:shd w:val="clear" w:color="auto" w:fill="auto"/>
          </w:tcPr>
          <w:p w14:paraId="280E0308" w14:textId="77777777" w:rsidR="002C1266" w:rsidRPr="00B97C7F" w:rsidRDefault="002C1266">
            <w:pPr>
              <w:pStyle w:val="Tabletext"/>
              <w:jc w:val="center"/>
            </w:pPr>
            <w:r w:rsidRPr="00B97C7F">
              <w:t>3.15 [0.32, 31.13]</w:t>
            </w:r>
          </w:p>
        </w:tc>
        <w:tc>
          <w:tcPr>
            <w:tcW w:w="883" w:type="pct"/>
            <w:shd w:val="clear" w:color="auto" w:fill="auto"/>
          </w:tcPr>
          <w:p w14:paraId="3C9719DB" w14:textId="77777777" w:rsidR="002C1266" w:rsidRPr="00B97C7F" w:rsidRDefault="002C1266">
            <w:pPr>
              <w:pStyle w:val="Tabletext"/>
              <w:jc w:val="center"/>
            </w:pPr>
            <w:r w:rsidRPr="00B97C7F">
              <w:t>3.05 [0.33, 28.52]</w:t>
            </w:r>
          </w:p>
        </w:tc>
        <w:tc>
          <w:tcPr>
            <w:tcW w:w="872" w:type="pct"/>
            <w:shd w:val="clear" w:color="auto" w:fill="auto"/>
          </w:tcPr>
          <w:p w14:paraId="0BC7B922" w14:textId="77777777" w:rsidR="002C1266" w:rsidRPr="00B97C7F" w:rsidRDefault="002C1266">
            <w:pPr>
              <w:pStyle w:val="Tabletext"/>
              <w:jc w:val="center"/>
            </w:pPr>
            <w:r w:rsidRPr="00B97C7F">
              <w:t>0.03 [-0.03, 0.09]</w:t>
            </w:r>
          </w:p>
        </w:tc>
      </w:tr>
      <w:tr w:rsidR="002C1266" w:rsidRPr="00B97C7F" w14:paraId="6343C22E" w14:textId="77777777">
        <w:tc>
          <w:tcPr>
            <w:tcW w:w="862" w:type="pct"/>
            <w:shd w:val="clear" w:color="auto" w:fill="auto"/>
          </w:tcPr>
          <w:p w14:paraId="5021CB91" w14:textId="77777777" w:rsidR="002C1266" w:rsidRPr="00B97C7F" w:rsidRDefault="002C1266">
            <w:pPr>
              <w:pStyle w:val="Tabletext"/>
            </w:pPr>
            <w:r w:rsidRPr="00B97C7F">
              <w:t>Meta-analysis</w:t>
            </w:r>
          </w:p>
        </w:tc>
        <w:tc>
          <w:tcPr>
            <w:tcW w:w="786" w:type="pct"/>
            <w:shd w:val="clear" w:color="auto" w:fill="auto"/>
          </w:tcPr>
          <w:p w14:paraId="3B8B49ED" w14:textId="77777777" w:rsidR="002C1266" w:rsidRPr="00B97C7F" w:rsidRDefault="002C1266">
            <w:pPr>
              <w:pStyle w:val="Tabletext"/>
              <w:jc w:val="center"/>
            </w:pPr>
            <w:r w:rsidRPr="00B97C7F">
              <w:t>3/135 (2.2)</w:t>
            </w:r>
          </w:p>
        </w:tc>
        <w:tc>
          <w:tcPr>
            <w:tcW w:w="716" w:type="pct"/>
            <w:shd w:val="clear" w:color="auto" w:fill="auto"/>
          </w:tcPr>
          <w:p w14:paraId="699FD12D" w14:textId="77777777" w:rsidR="002C1266" w:rsidRPr="00B97C7F" w:rsidRDefault="002C1266">
            <w:pPr>
              <w:pStyle w:val="Tabletext"/>
              <w:jc w:val="center"/>
            </w:pPr>
            <w:r w:rsidRPr="00B97C7F">
              <w:t>2/130 (1.5)</w:t>
            </w:r>
          </w:p>
        </w:tc>
        <w:tc>
          <w:tcPr>
            <w:tcW w:w="881" w:type="pct"/>
            <w:shd w:val="clear" w:color="auto" w:fill="auto"/>
          </w:tcPr>
          <w:p w14:paraId="3328A183" w14:textId="77777777" w:rsidR="002C1266" w:rsidRPr="00B97C7F" w:rsidRDefault="002C1266">
            <w:pPr>
              <w:pStyle w:val="Tabletext"/>
              <w:jc w:val="center"/>
            </w:pPr>
            <w:r w:rsidRPr="00B97C7F">
              <w:t>1.29 [0.14, 12.07]; p=0.82</w:t>
            </w:r>
          </w:p>
        </w:tc>
        <w:tc>
          <w:tcPr>
            <w:tcW w:w="883" w:type="pct"/>
            <w:shd w:val="clear" w:color="auto" w:fill="auto"/>
          </w:tcPr>
          <w:p w14:paraId="38C8E33A" w14:textId="77777777" w:rsidR="002C1266" w:rsidRPr="00B97C7F" w:rsidRDefault="002C1266">
            <w:pPr>
              <w:pStyle w:val="Tabletext"/>
              <w:jc w:val="center"/>
            </w:pPr>
            <w:r w:rsidRPr="00B97C7F">
              <w:t>1.29 [0.15, 11.43]; p=0.82</w:t>
            </w:r>
          </w:p>
        </w:tc>
        <w:tc>
          <w:tcPr>
            <w:tcW w:w="872" w:type="pct"/>
            <w:shd w:val="clear" w:color="auto" w:fill="auto"/>
          </w:tcPr>
          <w:p w14:paraId="0DC1EA3C" w14:textId="77777777" w:rsidR="002C1266" w:rsidRPr="00B97C7F" w:rsidRDefault="002C1266">
            <w:pPr>
              <w:pStyle w:val="Tabletext"/>
              <w:jc w:val="center"/>
            </w:pPr>
            <w:r w:rsidRPr="00B97C7F">
              <w:t>0.00 [-0.04, 0.05]; p=0.89</w:t>
            </w:r>
          </w:p>
        </w:tc>
      </w:tr>
      <w:tr w:rsidR="002C1266" w:rsidRPr="00B97C7F" w14:paraId="61C25730" w14:textId="77777777">
        <w:tc>
          <w:tcPr>
            <w:tcW w:w="2364" w:type="pct"/>
            <w:gridSpan w:val="3"/>
            <w:shd w:val="clear" w:color="auto" w:fill="D9D9D9" w:themeFill="background1" w:themeFillShade="D9"/>
          </w:tcPr>
          <w:p w14:paraId="397D5C5E" w14:textId="77777777" w:rsidR="002C1266" w:rsidRPr="00B97C7F" w:rsidRDefault="002C1266">
            <w:pPr>
              <w:pStyle w:val="Tabletext"/>
            </w:pPr>
            <w:r w:rsidRPr="00B97C7F">
              <w:t>Heterogeneity (I</w:t>
            </w:r>
            <w:r w:rsidRPr="00B97C7F">
              <w:rPr>
                <w:vertAlign w:val="superscript"/>
              </w:rPr>
              <w:t>2</w:t>
            </w:r>
            <w:r w:rsidRPr="00B97C7F">
              <w:t>); p-value</w:t>
            </w:r>
          </w:p>
        </w:tc>
        <w:tc>
          <w:tcPr>
            <w:tcW w:w="881" w:type="pct"/>
            <w:shd w:val="clear" w:color="auto" w:fill="D9D9D9" w:themeFill="background1" w:themeFillShade="D9"/>
          </w:tcPr>
          <w:p w14:paraId="194D4D14" w14:textId="77777777" w:rsidR="002C1266" w:rsidRPr="00B97C7F" w:rsidRDefault="002C1266">
            <w:pPr>
              <w:pStyle w:val="Tabletext"/>
              <w:jc w:val="center"/>
            </w:pPr>
            <w:r w:rsidRPr="00B97C7F">
              <w:t>I</w:t>
            </w:r>
            <w:r w:rsidRPr="00B97C7F">
              <w:rPr>
                <w:vertAlign w:val="superscript"/>
              </w:rPr>
              <w:t>2</w:t>
            </w:r>
            <w:r w:rsidRPr="00B97C7F">
              <w:t>=26%; p=0.24</w:t>
            </w:r>
          </w:p>
        </w:tc>
        <w:tc>
          <w:tcPr>
            <w:tcW w:w="883" w:type="pct"/>
            <w:shd w:val="clear" w:color="auto" w:fill="D9D9D9" w:themeFill="background1" w:themeFillShade="D9"/>
          </w:tcPr>
          <w:p w14:paraId="4592C451" w14:textId="77777777" w:rsidR="002C1266" w:rsidRPr="00B97C7F" w:rsidRDefault="002C1266">
            <w:pPr>
              <w:pStyle w:val="Tabletext"/>
              <w:jc w:val="center"/>
            </w:pPr>
            <w:r w:rsidRPr="00B97C7F">
              <w:t>I</w:t>
            </w:r>
            <w:r w:rsidRPr="00B97C7F">
              <w:rPr>
                <w:vertAlign w:val="superscript"/>
              </w:rPr>
              <w:t>2</w:t>
            </w:r>
            <w:r w:rsidRPr="00B97C7F">
              <w:t>=26%; p=0.25</w:t>
            </w:r>
          </w:p>
        </w:tc>
        <w:tc>
          <w:tcPr>
            <w:tcW w:w="872" w:type="pct"/>
            <w:shd w:val="clear" w:color="auto" w:fill="D9D9D9" w:themeFill="background1" w:themeFillShade="D9"/>
          </w:tcPr>
          <w:p w14:paraId="2A823F47" w14:textId="77777777" w:rsidR="002C1266" w:rsidRPr="00B97C7F" w:rsidRDefault="002C1266">
            <w:pPr>
              <w:pStyle w:val="Tabletext"/>
              <w:jc w:val="center"/>
            </w:pPr>
            <w:r w:rsidRPr="00B97C7F">
              <w:t>I</w:t>
            </w:r>
            <w:r w:rsidRPr="00B97C7F">
              <w:rPr>
                <w:vertAlign w:val="superscript"/>
              </w:rPr>
              <w:t>2</w:t>
            </w:r>
            <w:r w:rsidRPr="00B97C7F">
              <w:t>=46%; p=0.17</w:t>
            </w:r>
          </w:p>
        </w:tc>
      </w:tr>
      <w:tr w:rsidR="002C1266" w:rsidRPr="00B97C7F" w14:paraId="14FFE7D9" w14:textId="77777777">
        <w:tc>
          <w:tcPr>
            <w:tcW w:w="5000" w:type="pct"/>
            <w:gridSpan w:val="6"/>
            <w:shd w:val="clear" w:color="auto" w:fill="auto"/>
          </w:tcPr>
          <w:p w14:paraId="7797C8D1" w14:textId="77777777" w:rsidR="002C1266" w:rsidRPr="00B97C7F" w:rsidRDefault="002C1266">
            <w:pPr>
              <w:pStyle w:val="Tabletext"/>
              <w:rPr>
                <w:b/>
                <w:bCs/>
              </w:rPr>
            </w:pPr>
            <w:r w:rsidRPr="00B97C7F">
              <w:rPr>
                <w:b/>
                <w:bCs/>
              </w:rPr>
              <w:t>Treatment-related AE, n</w:t>
            </w:r>
            <w:r>
              <w:rPr>
                <w:b/>
                <w:bCs/>
              </w:rPr>
              <w:t>/N</w:t>
            </w:r>
            <w:r w:rsidRPr="00B97C7F">
              <w:rPr>
                <w:b/>
                <w:bCs/>
              </w:rPr>
              <w:t xml:space="preserve"> (%)</w:t>
            </w:r>
          </w:p>
        </w:tc>
      </w:tr>
      <w:tr w:rsidR="002C1266" w:rsidRPr="00B97C7F" w14:paraId="5E10203B" w14:textId="77777777">
        <w:tc>
          <w:tcPr>
            <w:tcW w:w="862" w:type="pct"/>
            <w:shd w:val="clear" w:color="auto" w:fill="auto"/>
          </w:tcPr>
          <w:p w14:paraId="386E354B" w14:textId="77777777" w:rsidR="002C1266" w:rsidRPr="00B97C7F" w:rsidRDefault="002C1266">
            <w:pPr>
              <w:pStyle w:val="Tabletext"/>
            </w:pPr>
            <w:r w:rsidRPr="00B97C7F">
              <w:t>POLYP 1</w:t>
            </w:r>
          </w:p>
        </w:tc>
        <w:tc>
          <w:tcPr>
            <w:tcW w:w="786" w:type="pct"/>
            <w:shd w:val="clear" w:color="auto" w:fill="auto"/>
          </w:tcPr>
          <w:p w14:paraId="76FF4054" w14:textId="77777777" w:rsidR="002C1266" w:rsidRPr="00B97C7F" w:rsidRDefault="002C1266">
            <w:pPr>
              <w:pStyle w:val="Tabletext"/>
              <w:jc w:val="center"/>
            </w:pPr>
            <w:r w:rsidRPr="00B97C7F">
              <w:t>3/72 (4.2)</w:t>
            </w:r>
          </w:p>
        </w:tc>
        <w:tc>
          <w:tcPr>
            <w:tcW w:w="716" w:type="pct"/>
            <w:shd w:val="clear" w:color="auto" w:fill="auto"/>
          </w:tcPr>
          <w:p w14:paraId="3953DEA9" w14:textId="77777777" w:rsidR="002C1266" w:rsidRPr="00B97C7F" w:rsidRDefault="002C1266">
            <w:pPr>
              <w:pStyle w:val="Tabletext"/>
              <w:jc w:val="center"/>
            </w:pPr>
            <w:r w:rsidRPr="00B97C7F">
              <w:t>1/66 (1.5)</w:t>
            </w:r>
          </w:p>
        </w:tc>
        <w:tc>
          <w:tcPr>
            <w:tcW w:w="881" w:type="pct"/>
            <w:shd w:val="clear" w:color="auto" w:fill="auto"/>
          </w:tcPr>
          <w:p w14:paraId="6191D4E1" w14:textId="77777777" w:rsidR="002C1266" w:rsidRPr="00B97C7F" w:rsidRDefault="002C1266">
            <w:pPr>
              <w:pStyle w:val="Tabletext"/>
              <w:jc w:val="center"/>
            </w:pPr>
            <w:r w:rsidRPr="00B97C7F">
              <w:t>2.83 [0.29, 27.86]</w:t>
            </w:r>
          </w:p>
        </w:tc>
        <w:tc>
          <w:tcPr>
            <w:tcW w:w="883" w:type="pct"/>
            <w:shd w:val="clear" w:color="auto" w:fill="auto"/>
          </w:tcPr>
          <w:p w14:paraId="32A0B3A0" w14:textId="77777777" w:rsidR="002C1266" w:rsidRPr="00B97C7F" w:rsidRDefault="002C1266">
            <w:pPr>
              <w:pStyle w:val="Tabletext"/>
              <w:jc w:val="center"/>
            </w:pPr>
            <w:r w:rsidRPr="00B97C7F">
              <w:t>2.75 [0.29, 25.79]</w:t>
            </w:r>
          </w:p>
        </w:tc>
        <w:tc>
          <w:tcPr>
            <w:tcW w:w="872" w:type="pct"/>
            <w:shd w:val="clear" w:color="auto" w:fill="auto"/>
          </w:tcPr>
          <w:p w14:paraId="5A17CC94" w14:textId="77777777" w:rsidR="002C1266" w:rsidRPr="00B97C7F" w:rsidRDefault="002C1266">
            <w:pPr>
              <w:pStyle w:val="Tabletext"/>
              <w:jc w:val="center"/>
            </w:pPr>
            <w:r w:rsidRPr="00B97C7F">
              <w:t>0.03 [-0.03, 0.08]</w:t>
            </w:r>
          </w:p>
        </w:tc>
      </w:tr>
      <w:tr w:rsidR="002C1266" w:rsidRPr="00B97C7F" w14:paraId="7AFE8894" w14:textId="77777777">
        <w:tc>
          <w:tcPr>
            <w:tcW w:w="862" w:type="pct"/>
            <w:shd w:val="clear" w:color="auto" w:fill="auto"/>
          </w:tcPr>
          <w:p w14:paraId="2BB168CD" w14:textId="77777777" w:rsidR="002C1266" w:rsidRPr="00B97C7F" w:rsidRDefault="002C1266">
            <w:pPr>
              <w:pStyle w:val="Tabletext"/>
            </w:pPr>
            <w:r w:rsidRPr="00B97C7F">
              <w:t>POLYP 2</w:t>
            </w:r>
          </w:p>
        </w:tc>
        <w:tc>
          <w:tcPr>
            <w:tcW w:w="786" w:type="pct"/>
            <w:shd w:val="clear" w:color="auto" w:fill="auto"/>
          </w:tcPr>
          <w:p w14:paraId="500E537E" w14:textId="77777777" w:rsidR="002C1266" w:rsidRPr="00B97C7F" w:rsidRDefault="002C1266">
            <w:pPr>
              <w:pStyle w:val="Tabletext"/>
              <w:jc w:val="center"/>
            </w:pPr>
            <w:r w:rsidRPr="00B97C7F">
              <w:t>6/63 (9.5)</w:t>
            </w:r>
          </w:p>
        </w:tc>
        <w:tc>
          <w:tcPr>
            <w:tcW w:w="716" w:type="pct"/>
            <w:shd w:val="clear" w:color="auto" w:fill="auto"/>
          </w:tcPr>
          <w:p w14:paraId="50A5EC81" w14:textId="77777777" w:rsidR="002C1266" w:rsidRPr="00B97C7F" w:rsidRDefault="002C1266">
            <w:pPr>
              <w:pStyle w:val="Tabletext"/>
              <w:jc w:val="center"/>
            </w:pPr>
            <w:r w:rsidRPr="00B97C7F">
              <w:t>4/64 (6.3)</w:t>
            </w:r>
          </w:p>
        </w:tc>
        <w:tc>
          <w:tcPr>
            <w:tcW w:w="881" w:type="pct"/>
            <w:shd w:val="clear" w:color="auto" w:fill="auto"/>
          </w:tcPr>
          <w:p w14:paraId="086EE1A4" w14:textId="77777777" w:rsidR="002C1266" w:rsidRPr="00B97C7F" w:rsidRDefault="002C1266">
            <w:pPr>
              <w:pStyle w:val="Tabletext"/>
              <w:jc w:val="center"/>
            </w:pPr>
            <w:r w:rsidRPr="00B97C7F">
              <w:t>1.58 [0.42, 5.89]</w:t>
            </w:r>
          </w:p>
        </w:tc>
        <w:tc>
          <w:tcPr>
            <w:tcW w:w="883" w:type="pct"/>
            <w:shd w:val="clear" w:color="auto" w:fill="auto"/>
          </w:tcPr>
          <w:p w14:paraId="20D2FCB7" w14:textId="77777777" w:rsidR="002C1266" w:rsidRPr="00B97C7F" w:rsidRDefault="002C1266">
            <w:pPr>
              <w:pStyle w:val="Tabletext"/>
              <w:jc w:val="center"/>
            </w:pPr>
            <w:r w:rsidRPr="00B97C7F">
              <w:t>1.52 [0.45, 5.14]</w:t>
            </w:r>
          </w:p>
        </w:tc>
        <w:tc>
          <w:tcPr>
            <w:tcW w:w="872" w:type="pct"/>
            <w:shd w:val="clear" w:color="auto" w:fill="auto"/>
          </w:tcPr>
          <w:p w14:paraId="5935AB6E" w14:textId="77777777" w:rsidR="002C1266" w:rsidRPr="00B97C7F" w:rsidRDefault="002C1266">
            <w:pPr>
              <w:pStyle w:val="Tabletext"/>
              <w:jc w:val="center"/>
            </w:pPr>
            <w:r w:rsidRPr="00B97C7F">
              <w:t>0.03 [-0.06, 0.13]</w:t>
            </w:r>
          </w:p>
        </w:tc>
      </w:tr>
      <w:tr w:rsidR="002C1266" w:rsidRPr="00B97C7F" w14:paraId="2B51DEBC" w14:textId="77777777">
        <w:tc>
          <w:tcPr>
            <w:tcW w:w="862" w:type="pct"/>
            <w:shd w:val="clear" w:color="auto" w:fill="auto"/>
          </w:tcPr>
          <w:p w14:paraId="11CA8C01" w14:textId="77777777" w:rsidR="002C1266" w:rsidRPr="00B97C7F" w:rsidRDefault="002C1266">
            <w:pPr>
              <w:pStyle w:val="Tabletext"/>
            </w:pPr>
            <w:r w:rsidRPr="00B97C7F">
              <w:t>Meta-analysis</w:t>
            </w:r>
          </w:p>
        </w:tc>
        <w:tc>
          <w:tcPr>
            <w:tcW w:w="786" w:type="pct"/>
            <w:shd w:val="clear" w:color="auto" w:fill="auto"/>
          </w:tcPr>
          <w:p w14:paraId="2269CE1E" w14:textId="77777777" w:rsidR="002C1266" w:rsidRPr="00B97C7F" w:rsidRDefault="002C1266">
            <w:pPr>
              <w:pStyle w:val="Tabletext"/>
              <w:jc w:val="center"/>
            </w:pPr>
            <w:r w:rsidRPr="00B97C7F">
              <w:t>9/135 (6.7)</w:t>
            </w:r>
          </w:p>
        </w:tc>
        <w:tc>
          <w:tcPr>
            <w:tcW w:w="716" w:type="pct"/>
            <w:shd w:val="clear" w:color="auto" w:fill="auto"/>
          </w:tcPr>
          <w:p w14:paraId="501520E0" w14:textId="77777777" w:rsidR="002C1266" w:rsidRPr="00B97C7F" w:rsidRDefault="002C1266">
            <w:pPr>
              <w:pStyle w:val="Tabletext"/>
              <w:jc w:val="center"/>
            </w:pPr>
            <w:r w:rsidRPr="00B97C7F">
              <w:t>5/130 (3.8)</w:t>
            </w:r>
          </w:p>
        </w:tc>
        <w:tc>
          <w:tcPr>
            <w:tcW w:w="881" w:type="pct"/>
            <w:shd w:val="clear" w:color="auto" w:fill="auto"/>
          </w:tcPr>
          <w:p w14:paraId="559B1242" w14:textId="77777777" w:rsidR="002C1266" w:rsidRPr="00B97C7F" w:rsidRDefault="002C1266">
            <w:pPr>
              <w:pStyle w:val="Tabletext"/>
              <w:jc w:val="center"/>
            </w:pPr>
            <w:r w:rsidRPr="00B97C7F">
              <w:t>1.82 [0.58, 5.71]; p=0.30</w:t>
            </w:r>
          </w:p>
        </w:tc>
        <w:tc>
          <w:tcPr>
            <w:tcW w:w="883" w:type="pct"/>
            <w:shd w:val="clear" w:color="auto" w:fill="auto"/>
          </w:tcPr>
          <w:p w14:paraId="3918427F" w14:textId="77777777" w:rsidR="002C1266" w:rsidRPr="00B97C7F" w:rsidRDefault="002C1266">
            <w:pPr>
              <w:pStyle w:val="Tabletext"/>
              <w:jc w:val="center"/>
            </w:pPr>
            <w:r w:rsidRPr="00B97C7F">
              <w:t>1.74 [0.60, 5.08]; p=0.31</w:t>
            </w:r>
          </w:p>
        </w:tc>
        <w:tc>
          <w:tcPr>
            <w:tcW w:w="872" w:type="pct"/>
            <w:shd w:val="clear" w:color="auto" w:fill="auto"/>
          </w:tcPr>
          <w:p w14:paraId="72BBD7C7" w14:textId="77777777" w:rsidR="002C1266" w:rsidRPr="00B97C7F" w:rsidRDefault="002C1266">
            <w:pPr>
              <w:pStyle w:val="Tabletext"/>
              <w:jc w:val="center"/>
            </w:pPr>
            <w:r w:rsidRPr="00B97C7F">
              <w:t>0.03 [-0.02, 0.08]; p=0.24</w:t>
            </w:r>
          </w:p>
        </w:tc>
      </w:tr>
      <w:tr w:rsidR="002C1266" w:rsidRPr="00B97C7F" w14:paraId="010D1D89" w14:textId="77777777">
        <w:tc>
          <w:tcPr>
            <w:tcW w:w="2364" w:type="pct"/>
            <w:gridSpan w:val="3"/>
            <w:shd w:val="clear" w:color="auto" w:fill="D9D9D9" w:themeFill="background1" w:themeFillShade="D9"/>
          </w:tcPr>
          <w:p w14:paraId="7EDAAC6F" w14:textId="77777777" w:rsidR="002C1266" w:rsidRPr="00B97C7F" w:rsidRDefault="002C1266">
            <w:pPr>
              <w:pStyle w:val="Tabletext"/>
            </w:pPr>
            <w:r w:rsidRPr="00B97C7F">
              <w:t>Heterogeneity (I</w:t>
            </w:r>
            <w:r w:rsidRPr="00B97C7F">
              <w:rPr>
                <w:vertAlign w:val="superscript"/>
              </w:rPr>
              <w:t>2</w:t>
            </w:r>
            <w:r w:rsidRPr="00B97C7F">
              <w:t>); p-value</w:t>
            </w:r>
          </w:p>
        </w:tc>
        <w:tc>
          <w:tcPr>
            <w:tcW w:w="881" w:type="pct"/>
            <w:shd w:val="clear" w:color="auto" w:fill="D9D9D9" w:themeFill="background1" w:themeFillShade="D9"/>
          </w:tcPr>
          <w:p w14:paraId="26160BDF" w14:textId="77777777" w:rsidR="002C1266" w:rsidRPr="00B97C7F" w:rsidRDefault="002C1266">
            <w:pPr>
              <w:pStyle w:val="Tabletext"/>
              <w:jc w:val="center"/>
            </w:pPr>
            <w:r w:rsidRPr="00B97C7F">
              <w:t>I</w:t>
            </w:r>
            <w:r w:rsidRPr="00B97C7F">
              <w:rPr>
                <w:vertAlign w:val="superscript"/>
              </w:rPr>
              <w:t>2</w:t>
            </w:r>
            <w:r w:rsidRPr="00B97C7F">
              <w:t>=0%; p=0.67</w:t>
            </w:r>
          </w:p>
        </w:tc>
        <w:tc>
          <w:tcPr>
            <w:tcW w:w="883" w:type="pct"/>
            <w:shd w:val="clear" w:color="auto" w:fill="D9D9D9" w:themeFill="background1" w:themeFillShade="D9"/>
          </w:tcPr>
          <w:p w14:paraId="36D23311" w14:textId="77777777" w:rsidR="002C1266" w:rsidRPr="00B97C7F" w:rsidRDefault="002C1266">
            <w:pPr>
              <w:pStyle w:val="Tabletext"/>
              <w:jc w:val="center"/>
            </w:pPr>
            <w:r w:rsidRPr="00B97C7F">
              <w:t>I</w:t>
            </w:r>
            <w:r w:rsidRPr="00B97C7F">
              <w:rPr>
                <w:vertAlign w:val="superscript"/>
              </w:rPr>
              <w:t>2</w:t>
            </w:r>
            <w:r w:rsidRPr="00B97C7F">
              <w:t>=0%; p=0.65</w:t>
            </w:r>
          </w:p>
        </w:tc>
        <w:tc>
          <w:tcPr>
            <w:tcW w:w="872" w:type="pct"/>
            <w:shd w:val="clear" w:color="auto" w:fill="D9D9D9" w:themeFill="background1" w:themeFillShade="D9"/>
          </w:tcPr>
          <w:p w14:paraId="38FDF0D6" w14:textId="77777777" w:rsidR="002C1266" w:rsidRPr="00B97C7F" w:rsidRDefault="002C1266">
            <w:pPr>
              <w:pStyle w:val="Tabletext"/>
              <w:jc w:val="center"/>
            </w:pPr>
            <w:r w:rsidRPr="00B97C7F">
              <w:t>I</w:t>
            </w:r>
            <w:r w:rsidRPr="00B97C7F">
              <w:rPr>
                <w:vertAlign w:val="superscript"/>
              </w:rPr>
              <w:t>2</w:t>
            </w:r>
            <w:r w:rsidRPr="00B97C7F">
              <w:t>=0%; p=0.90</w:t>
            </w:r>
          </w:p>
        </w:tc>
      </w:tr>
      <w:tr w:rsidR="002C1266" w:rsidRPr="00B97C7F" w14:paraId="06CDF706" w14:textId="77777777">
        <w:tc>
          <w:tcPr>
            <w:tcW w:w="5000" w:type="pct"/>
            <w:gridSpan w:val="6"/>
            <w:shd w:val="clear" w:color="auto" w:fill="auto"/>
          </w:tcPr>
          <w:p w14:paraId="6F32B170" w14:textId="77777777" w:rsidR="002C1266" w:rsidRPr="00603215" w:rsidRDefault="002C1266">
            <w:pPr>
              <w:pStyle w:val="Tabletext"/>
              <w:rPr>
                <w:b/>
                <w:bCs/>
              </w:rPr>
            </w:pPr>
            <w:r w:rsidRPr="00603215">
              <w:rPr>
                <w:b/>
                <w:bCs/>
              </w:rPr>
              <w:t>≥1 AE leading to discontinuation of study drug, n</w:t>
            </w:r>
            <w:r>
              <w:rPr>
                <w:b/>
                <w:bCs/>
              </w:rPr>
              <w:t>/N</w:t>
            </w:r>
            <w:r w:rsidRPr="00603215">
              <w:rPr>
                <w:b/>
                <w:bCs/>
              </w:rPr>
              <w:t xml:space="preserve"> (%)</w:t>
            </w:r>
          </w:p>
        </w:tc>
      </w:tr>
      <w:tr w:rsidR="002C1266" w:rsidRPr="00B97C7F" w14:paraId="2FF2409A" w14:textId="77777777">
        <w:tc>
          <w:tcPr>
            <w:tcW w:w="862" w:type="pct"/>
            <w:shd w:val="clear" w:color="auto" w:fill="auto"/>
          </w:tcPr>
          <w:p w14:paraId="268A5E66" w14:textId="77777777" w:rsidR="002C1266" w:rsidRPr="00B97C7F" w:rsidRDefault="002C1266">
            <w:pPr>
              <w:pStyle w:val="Tabletext"/>
            </w:pPr>
            <w:r w:rsidRPr="00B97C7F">
              <w:t>POLYP 1</w:t>
            </w:r>
          </w:p>
        </w:tc>
        <w:tc>
          <w:tcPr>
            <w:tcW w:w="786" w:type="pct"/>
            <w:shd w:val="clear" w:color="auto" w:fill="auto"/>
          </w:tcPr>
          <w:p w14:paraId="255431E5" w14:textId="77777777" w:rsidR="002C1266" w:rsidRPr="00B97C7F" w:rsidRDefault="002C1266">
            <w:pPr>
              <w:pStyle w:val="Tabletext"/>
              <w:jc w:val="center"/>
            </w:pPr>
            <w:r w:rsidRPr="00B97C7F">
              <w:t>0/72 (0.0)</w:t>
            </w:r>
          </w:p>
        </w:tc>
        <w:tc>
          <w:tcPr>
            <w:tcW w:w="716" w:type="pct"/>
            <w:shd w:val="clear" w:color="auto" w:fill="auto"/>
          </w:tcPr>
          <w:p w14:paraId="2A0AD291" w14:textId="77777777" w:rsidR="002C1266" w:rsidRPr="00B97C7F" w:rsidRDefault="002C1266">
            <w:pPr>
              <w:pStyle w:val="Tabletext"/>
              <w:jc w:val="center"/>
            </w:pPr>
            <w:r w:rsidRPr="00B97C7F">
              <w:t>1/66 (1.5)</w:t>
            </w:r>
          </w:p>
        </w:tc>
        <w:tc>
          <w:tcPr>
            <w:tcW w:w="881" w:type="pct"/>
            <w:shd w:val="clear" w:color="auto" w:fill="auto"/>
          </w:tcPr>
          <w:p w14:paraId="7C3CDD3D" w14:textId="77777777" w:rsidR="002C1266" w:rsidRPr="00B97C7F" w:rsidRDefault="002C1266">
            <w:pPr>
              <w:pStyle w:val="Tabletext"/>
              <w:jc w:val="center"/>
            </w:pPr>
            <w:r w:rsidRPr="00B97C7F">
              <w:t>0.30 [0.01, 7.52]</w:t>
            </w:r>
          </w:p>
        </w:tc>
        <w:tc>
          <w:tcPr>
            <w:tcW w:w="883" w:type="pct"/>
            <w:shd w:val="clear" w:color="auto" w:fill="auto"/>
          </w:tcPr>
          <w:p w14:paraId="460061D3" w14:textId="77777777" w:rsidR="002C1266" w:rsidRPr="00B97C7F" w:rsidRDefault="002C1266">
            <w:pPr>
              <w:pStyle w:val="Tabletext"/>
              <w:jc w:val="center"/>
            </w:pPr>
            <w:r w:rsidRPr="00B97C7F">
              <w:t>0.31 [0.01, 7.38]</w:t>
            </w:r>
          </w:p>
        </w:tc>
        <w:tc>
          <w:tcPr>
            <w:tcW w:w="872" w:type="pct"/>
            <w:shd w:val="clear" w:color="auto" w:fill="auto"/>
          </w:tcPr>
          <w:p w14:paraId="17B5AE73" w14:textId="77777777" w:rsidR="002C1266" w:rsidRPr="00B97C7F" w:rsidRDefault="002C1266">
            <w:pPr>
              <w:pStyle w:val="Tabletext"/>
              <w:jc w:val="center"/>
            </w:pPr>
            <w:r w:rsidRPr="00B97C7F">
              <w:t>-0.02 [-0.06, 0.03]</w:t>
            </w:r>
          </w:p>
        </w:tc>
      </w:tr>
      <w:tr w:rsidR="002C1266" w:rsidRPr="00B97C7F" w14:paraId="1E678669" w14:textId="77777777">
        <w:tc>
          <w:tcPr>
            <w:tcW w:w="862" w:type="pct"/>
            <w:shd w:val="clear" w:color="auto" w:fill="auto"/>
          </w:tcPr>
          <w:p w14:paraId="7BA53114" w14:textId="77777777" w:rsidR="002C1266" w:rsidRPr="00B97C7F" w:rsidRDefault="002C1266">
            <w:pPr>
              <w:pStyle w:val="Tabletext"/>
            </w:pPr>
            <w:r w:rsidRPr="00B97C7F">
              <w:t>POLYP 2</w:t>
            </w:r>
          </w:p>
        </w:tc>
        <w:tc>
          <w:tcPr>
            <w:tcW w:w="786" w:type="pct"/>
            <w:shd w:val="clear" w:color="auto" w:fill="auto"/>
          </w:tcPr>
          <w:p w14:paraId="0B58C401" w14:textId="77777777" w:rsidR="002C1266" w:rsidRPr="00B97C7F" w:rsidRDefault="002C1266">
            <w:pPr>
              <w:pStyle w:val="Tabletext"/>
              <w:jc w:val="center"/>
            </w:pPr>
            <w:r w:rsidRPr="00B97C7F">
              <w:t>0/63 (0.0)</w:t>
            </w:r>
          </w:p>
        </w:tc>
        <w:tc>
          <w:tcPr>
            <w:tcW w:w="716" w:type="pct"/>
            <w:shd w:val="clear" w:color="auto" w:fill="auto"/>
          </w:tcPr>
          <w:p w14:paraId="67641807" w14:textId="77777777" w:rsidR="002C1266" w:rsidRPr="00B97C7F" w:rsidRDefault="002C1266">
            <w:pPr>
              <w:pStyle w:val="Tabletext"/>
              <w:jc w:val="center"/>
            </w:pPr>
            <w:r w:rsidRPr="00B97C7F">
              <w:t>0/64 (0.0)</w:t>
            </w:r>
          </w:p>
        </w:tc>
        <w:tc>
          <w:tcPr>
            <w:tcW w:w="881" w:type="pct"/>
            <w:shd w:val="clear" w:color="auto" w:fill="auto"/>
          </w:tcPr>
          <w:p w14:paraId="05FAB131" w14:textId="77777777" w:rsidR="002C1266" w:rsidRPr="00B97C7F" w:rsidRDefault="002C1266">
            <w:pPr>
              <w:pStyle w:val="Tabletext"/>
              <w:jc w:val="center"/>
            </w:pPr>
            <w:r w:rsidRPr="00B97C7F">
              <w:t>NE</w:t>
            </w:r>
          </w:p>
        </w:tc>
        <w:tc>
          <w:tcPr>
            <w:tcW w:w="883" w:type="pct"/>
            <w:shd w:val="clear" w:color="auto" w:fill="auto"/>
          </w:tcPr>
          <w:p w14:paraId="7D6C66CF" w14:textId="77777777" w:rsidR="002C1266" w:rsidRPr="00B97C7F" w:rsidRDefault="002C1266">
            <w:pPr>
              <w:pStyle w:val="Tabletext"/>
              <w:jc w:val="center"/>
            </w:pPr>
            <w:r w:rsidRPr="00B97C7F">
              <w:t>NE</w:t>
            </w:r>
          </w:p>
        </w:tc>
        <w:tc>
          <w:tcPr>
            <w:tcW w:w="872" w:type="pct"/>
            <w:shd w:val="clear" w:color="auto" w:fill="auto"/>
          </w:tcPr>
          <w:p w14:paraId="42B11460" w14:textId="77777777" w:rsidR="002C1266" w:rsidRPr="00B97C7F" w:rsidRDefault="002C1266">
            <w:pPr>
              <w:pStyle w:val="Tabletext"/>
              <w:jc w:val="center"/>
            </w:pPr>
            <w:r w:rsidRPr="00B97C7F">
              <w:t>0.00 [-0.03, 0.03]</w:t>
            </w:r>
          </w:p>
        </w:tc>
      </w:tr>
      <w:tr w:rsidR="002C1266" w:rsidRPr="00B97C7F" w14:paraId="2A93F59E" w14:textId="77777777">
        <w:tc>
          <w:tcPr>
            <w:tcW w:w="862" w:type="pct"/>
            <w:shd w:val="clear" w:color="auto" w:fill="auto"/>
          </w:tcPr>
          <w:p w14:paraId="049C3454" w14:textId="77777777" w:rsidR="002C1266" w:rsidRPr="00B97C7F" w:rsidRDefault="002C1266">
            <w:pPr>
              <w:pStyle w:val="Tabletext"/>
            </w:pPr>
            <w:r w:rsidRPr="00B97C7F">
              <w:t>Meta-analysis</w:t>
            </w:r>
          </w:p>
        </w:tc>
        <w:tc>
          <w:tcPr>
            <w:tcW w:w="786" w:type="pct"/>
            <w:shd w:val="clear" w:color="auto" w:fill="auto"/>
          </w:tcPr>
          <w:p w14:paraId="7790273F" w14:textId="77777777" w:rsidR="002C1266" w:rsidRPr="00B97C7F" w:rsidRDefault="002C1266">
            <w:pPr>
              <w:pStyle w:val="Tabletext"/>
              <w:jc w:val="center"/>
            </w:pPr>
            <w:r w:rsidRPr="00B97C7F">
              <w:t>0/135 (0.0)</w:t>
            </w:r>
          </w:p>
        </w:tc>
        <w:tc>
          <w:tcPr>
            <w:tcW w:w="716" w:type="pct"/>
            <w:shd w:val="clear" w:color="auto" w:fill="auto"/>
          </w:tcPr>
          <w:p w14:paraId="703E8695" w14:textId="77777777" w:rsidR="002C1266" w:rsidRPr="00B97C7F" w:rsidRDefault="002C1266">
            <w:pPr>
              <w:pStyle w:val="Tabletext"/>
              <w:jc w:val="center"/>
            </w:pPr>
            <w:r w:rsidRPr="00B97C7F">
              <w:t>1/130 (0.8)</w:t>
            </w:r>
          </w:p>
        </w:tc>
        <w:tc>
          <w:tcPr>
            <w:tcW w:w="881" w:type="pct"/>
            <w:shd w:val="clear" w:color="auto" w:fill="auto"/>
          </w:tcPr>
          <w:p w14:paraId="29BDF525" w14:textId="77777777" w:rsidR="002C1266" w:rsidRPr="00B97C7F" w:rsidRDefault="002C1266">
            <w:pPr>
              <w:pStyle w:val="Tabletext"/>
              <w:jc w:val="center"/>
            </w:pPr>
            <w:r w:rsidRPr="00B97C7F">
              <w:t>0.30 [0.01, 7.52]; p=0.46</w:t>
            </w:r>
          </w:p>
        </w:tc>
        <w:tc>
          <w:tcPr>
            <w:tcW w:w="883" w:type="pct"/>
            <w:shd w:val="clear" w:color="auto" w:fill="auto"/>
          </w:tcPr>
          <w:p w14:paraId="77725F62" w14:textId="77777777" w:rsidR="002C1266" w:rsidRPr="00B97C7F" w:rsidRDefault="002C1266">
            <w:pPr>
              <w:pStyle w:val="Tabletext"/>
              <w:jc w:val="center"/>
            </w:pPr>
            <w:r w:rsidRPr="00B97C7F">
              <w:t>0.31 [0.01, 7.38]; p=0.47</w:t>
            </w:r>
          </w:p>
        </w:tc>
        <w:tc>
          <w:tcPr>
            <w:tcW w:w="872" w:type="pct"/>
            <w:shd w:val="clear" w:color="auto" w:fill="auto"/>
          </w:tcPr>
          <w:p w14:paraId="79C235B9" w14:textId="77777777" w:rsidR="002C1266" w:rsidRPr="00B97C7F" w:rsidRDefault="002C1266">
            <w:pPr>
              <w:pStyle w:val="Tabletext"/>
              <w:jc w:val="center"/>
            </w:pPr>
            <w:r w:rsidRPr="00B97C7F">
              <w:t>-0.01 [-0.03, 0.02]; p=0.66</w:t>
            </w:r>
          </w:p>
        </w:tc>
      </w:tr>
      <w:tr w:rsidR="002C1266" w:rsidRPr="00B97C7F" w14:paraId="3DAE0192" w14:textId="77777777">
        <w:tc>
          <w:tcPr>
            <w:tcW w:w="2364" w:type="pct"/>
            <w:gridSpan w:val="3"/>
            <w:shd w:val="clear" w:color="auto" w:fill="D9D9D9" w:themeFill="background1" w:themeFillShade="D9"/>
          </w:tcPr>
          <w:p w14:paraId="0942682C" w14:textId="77777777" w:rsidR="002C1266" w:rsidRPr="00B97C7F" w:rsidRDefault="002C1266">
            <w:pPr>
              <w:pStyle w:val="Tabletext"/>
            </w:pPr>
            <w:r w:rsidRPr="00B97C7F">
              <w:t>Heterogeneity (I</w:t>
            </w:r>
            <w:r w:rsidRPr="00B97C7F">
              <w:rPr>
                <w:vertAlign w:val="superscript"/>
              </w:rPr>
              <w:t>2</w:t>
            </w:r>
            <w:r w:rsidRPr="00B97C7F">
              <w:t>); p-value</w:t>
            </w:r>
          </w:p>
        </w:tc>
        <w:tc>
          <w:tcPr>
            <w:tcW w:w="881" w:type="pct"/>
            <w:shd w:val="clear" w:color="auto" w:fill="D9D9D9" w:themeFill="background1" w:themeFillShade="D9"/>
          </w:tcPr>
          <w:p w14:paraId="53A3152F" w14:textId="77777777" w:rsidR="002C1266" w:rsidRPr="00B97C7F" w:rsidRDefault="002C1266">
            <w:pPr>
              <w:pStyle w:val="Tabletext"/>
              <w:jc w:val="center"/>
            </w:pPr>
            <w:r w:rsidRPr="00B97C7F">
              <w:t>NA</w:t>
            </w:r>
          </w:p>
        </w:tc>
        <w:tc>
          <w:tcPr>
            <w:tcW w:w="883" w:type="pct"/>
            <w:shd w:val="clear" w:color="auto" w:fill="D9D9D9" w:themeFill="background1" w:themeFillShade="D9"/>
          </w:tcPr>
          <w:p w14:paraId="32708491" w14:textId="77777777" w:rsidR="002C1266" w:rsidRPr="00B97C7F" w:rsidRDefault="002C1266">
            <w:pPr>
              <w:pStyle w:val="Tabletext"/>
              <w:jc w:val="center"/>
            </w:pPr>
            <w:r w:rsidRPr="00B97C7F">
              <w:t>NA</w:t>
            </w:r>
          </w:p>
        </w:tc>
        <w:tc>
          <w:tcPr>
            <w:tcW w:w="872" w:type="pct"/>
            <w:shd w:val="clear" w:color="auto" w:fill="D9D9D9" w:themeFill="background1" w:themeFillShade="D9"/>
          </w:tcPr>
          <w:p w14:paraId="219A7602" w14:textId="77777777" w:rsidR="002C1266" w:rsidRPr="00B97C7F" w:rsidRDefault="002C1266">
            <w:pPr>
              <w:pStyle w:val="Tabletext"/>
              <w:jc w:val="center"/>
            </w:pPr>
            <w:r w:rsidRPr="00B97C7F">
              <w:t>NA</w:t>
            </w:r>
          </w:p>
        </w:tc>
      </w:tr>
      <w:tr w:rsidR="002C1266" w:rsidRPr="00B97C7F" w14:paraId="3F03A418" w14:textId="77777777">
        <w:tc>
          <w:tcPr>
            <w:tcW w:w="5000" w:type="pct"/>
            <w:gridSpan w:val="6"/>
            <w:shd w:val="clear" w:color="auto" w:fill="auto"/>
          </w:tcPr>
          <w:p w14:paraId="577F0585" w14:textId="77777777" w:rsidR="002C1266" w:rsidRPr="00B97C7F" w:rsidRDefault="002C1266">
            <w:pPr>
              <w:pStyle w:val="Tabletext"/>
              <w:rPr>
                <w:b/>
                <w:bCs/>
              </w:rPr>
            </w:pPr>
            <w:r w:rsidRPr="00B97C7F">
              <w:rPr>
                <w:b/>
                <w:bCs/>
              </w:rPr>
              <w:t>AEs occurring in ≥5% of patients</w:t>
            </w:r>
          </w:p>
        </w:tc>
      </w:tr>
      <w:tr w:rsidR="002C1266" w:rsidRPr="00B97C7F" w14:paraId="68BAB951" w14:textId="77777777">
        <w:tc>
          <w:tcPr>
            <w:tcW w:w="5000" w:type="pct"/>
            <w:gridSpan w:val="6"/>
            <w:shd w:val="clear" w:color="auto" w:fill="auto"/>
          </w:tcPr>
          <w:p w14:paraId="09BB1253" w14:textId="77777777" w:rsidR="002C1266" w:rsidRPr="00B97C7F" w:rsidRDefault="002C1266">
            <w:pPr>
              <w:pStyle w:val="Tabletext"/>
              <w:rPr>
                <w:b/>
                <w:bCs/>
              </w:rPr>
            </w:pPr>
            <w:r w:rsidRPr="00B97C7F">
              <w:rPr>
                <w:b/>
                <w:bCs/>
              </w:rPr>
              <w:t>Headache, n</w:t>
            </w:r>
            <w:r>
              <w:rPr>
                <w:b/>
                <w:bCs/>
              </w:rPr>
              <w:t>/N</w:t>
            </w:r>
            <w:r w:rsidRPr="00B97C7F">
              <w:rPr>
                <w:b/>
                <w:bCs/>
              </w:rPr>
              <w:t xml:space="preserve"> (%)</w:t>
            </w:r>
          </w:p>
        </w:tc>
      </w:tr>
      <w:tr w:rsidR="002C1266" w:rsidRPr="00B97C7F" w14:paraId="63E27AB1" w14:textId="77777777">
        <w:tc>
          <w:tcPr>
            <w:tcW w:w="862" w:type="pct"/>
            <w:shd w:val="clear" w:color="auto" w:fill="auto"/>
          </w:tcPr>
          <w:p w14:paraId="5E6436FC" w14:textId="77777777" w:rsidR="002C1266" w:rsidRPr="00B97C7F" w:rsidRDefault="002C1266">
            <w:pPr>
              <w:pStyle w:val="Tabletext"/>
            </w:pPr>
            <w:r w:rsidRPr="00B97C7F">
              <w:t>POLYP 1</w:t>
            </w:r>
          </w:p>
        </w:tc>
        <w:tc>
          <w:tcPr>
            <w:tcW w:w="786" w:type="pct"/>
            <w:shd w:val="clear" w:color="auto" w:fill="auto"/>
          </w:tcPr>
          <w:p w14:paraId="459E443A" w14:textId="77777777" w:rsidR="002C1266" w:rsidRPr="00B97C7F" w:rsidRDefault="002C1266">
            <w:pPr>
              <w:pStyle w:val="Tabletext"/>
              <w:jc w:val="center"/>
            </w:pPr>
            <w:r w:rsidRPr="00B97C7F">
              <w:t>4/72 (5.6)</w:t>
            </w:r>
          </w:p>
        </w:tc>
        <w:tc>
          <w:tcPr>
            <w:tcW w:w="716" w:type="pct"/>
            <w:shd w:val="clear" w:color="auto" w:fill="auto"/>
          </w:tcPr>
          <w:p w14:paraId="63AC4760" w14:textId="77777777" w:rsidR="002C1266" w:rsidRPr="00B97C7F" w:rsidRDefault="002C1266">
            <w:pPr>
              <w:pStyle w:val="Tabletext"/>
              <w:jc w:val="center"/>
            </w:pPr>
            <w:r w:rsidRPr="00B97C7F">
              <w:t>4/66 (6.1)</w:t>
            </w:r>
          </w:p>
        </w:tc>
        <w:tc>
          <w:tcPr>
            <w:tcW w:w="881" w:type="pct"/>
            <w:shd w:val="clear" w:color="auto" w:fill="auto"/>
          </w:tcPr>
          <w:p w14:paraId="633B13B3" w14:textId="77777777" w:rsidR="002C1266" w:rsidRPr="00B97C7F" w:rsidRDefault="002C1266">
            <w:pPr>
              <w:pStyle w:val="Tabletext"/>
              <w:jc w:val="center"/>
            </w:pPr>
            <w:r w:rsidRPr="00B97C7F">
              <w:t>0.91 [0.22, 3.80]</w:t>
            </w:r>
          </w:p>
        </w:tc>
        <w:tc>
          <w:tcPr>
            <w:tcW w:w="883" w:type="pct"/>
            <w:shd w:val="clear" w:color="auto" w:fill="auto"/>
          </w:tcPr>
          <w:p w14:paraId="6C6FB475" w14:textId="77777777" w:rsidR="002C1266" w:rsidRPr="00B97C7F" w:rsidRDefault="002C1266">
            <w:pPr>
              <w:pStyle w:val="Tabletext"/>
              <w:jc w:val="center"/>
            </w:pPr>
            <w:r w:rsidRPr="00B97C7F">
              <w:t>0.92 [0.24, 3.52]</w:t>
            </w:r>
          </w:p>
        </w:tc>
        <w:tc>
          <w:tcPr>
            <w:tcW w:w="872" w:type="pct"/>
            <w:shd w:val="clear" w:color="auto" w:fill="auto"/>
          </w:tcPr>
          <w:p w14:paraId="146AE511" w14:textId="77777777" w:rsidR="002C1266" w:rsidRPr="00B97C7F" w:rsidRDefault="002C1266">
            <w:pPr>
              <w:pStyle w:val="Tabletext"/>
              <w:jc w:val="center"/>
            </w:pPr>
            <w:r w:rsidRPr="00B97C7F">
              <w:t>-0.01 [-0.08, 0.07]</w:t>
            </w:r>
          </w:p>
        </w:tc>
      </w:tr>
      <w:tr w:rsidR="002C1266" w:rsidRPr="00B97C7F" w14:paraId="40CBF641" w14:textId="77777777">
        <w:tc>
          <w:tcPr>
            <w:tcW w:w="862" w:type="pct"/>
            <w:shd w:val="clear" w:color="auto" w:fill="auto"/>
          </w:tcPr>
          <w:p w14:paraId="0289B704" w14:textId="77777777" w:rsidR="002C1266" w:rsidRPr="00B97C7F" w:rsidRDefault="002C1266">
            <w:pPr>
              <w:pStyle w:val="Tabletext"/>
            </w:pPr>
            <w:r w:rsidRPr="00B97C7F">
              <w:t>POLYP 2</w:t>
            </w:r>
          </w:p>
        </w:tc>
        <w:tc>
          <w:tcPr>
            <w:tcW w:w="786" w:type="pct"/>
            <w:shd w:val="clear" w:color="auto" w:fill="auto"/>
          </w:tcPr>
          <w:p w14:paraId="783EB857" w14:textId="77777777" w:rsidR="002C1266" w:rsidRPr="00B97C7F" w:rsidRDefault="002C1266">
            <w:pPr>
              <w:pStyle w:val="Tabletext"/>
              <w:jc w:val="center"/>
            </w:pPr>
            <w:r w:rsidRPr="00B97C7F">
              <w:t>7/63 (11.1)</w:t>
            </w:r>
          </w:p>
        </w:tc>
        <w:tc>
          <w:tcPr>
            <w:tcW w:w="716" w:type="pct"/>
            <w:shd w:val="clear" w:color="auto" w:fill="auto"/>
          </w:tcPr>
          <w:p w14:paraId="1932E20A" w14:textId="77777777" w:rsidR="002C1266" w:rsidRPr="00B97C7F" w:rsidRDefault="002C1266">
            <w:pPr>
              <w:pStyle w:val="Tabletext"/>
              <w:jc w:val="center"/>
            </w:pPr>
            <w:r w:rsidRPr="00B97C7F">
              <w:t>3/64 (4.7)</w:t>
            </w:r>
          </w:p>
        </w:tc>
        <w:tc>
          <w:tcPr>
            <w:tcW w:w="881" w:type="pct"/>
            <w:shd w:val="clear" w:color="auto" w:fill="auto"/>
          </w:tcPr>
          <w:p w14:paraId="50164A8F" w14:textId="77777777" w:rsidR="002C1266" w:rsidRPr="00B97C7F" w:rsidRDefault="002C1266">
            <w:pPr>
              <w:pStyle w:val="Tabletext"/>
              <w:jc w:val="center"/>
            </w:pPr>
            <w:r w:rsidRPr="00B97C7F">
              <w:t>2.54 [0.63, 10.31]</w:t>
            </w:r>
          </w:p>
        </w:tc>
        <w:tc>
          <w:tcPr>
            <w:tcW w:w="883" w:type="pct"/>
            <w:shd w:val="clear" w:color="auto" w:fill="auto"/>
          </w:tcPr>
          <w:p w14:paraId="0237413F" w14:textId="77777777" w:rsidR="002C1266" w:rsidRPr="00B97C7F" w:rsidRDefault="002C1266">
            <w:pPr>
              <w:pStyle w:val="Tabletext"/>
              <w:jc w:val="center"/>
            </w:pPr>
            <w:r w:rsidRPr="00B97C7F">
              <w:t>2.37 [0.64, 8.76]</w:t>
            </w:r>
          </w:p>
        </w:tc>
        <w:tc>
          <w:tcPr>
            <w:tcW w:w="872" w:type="pct"/>
            <w:shd w:val="clear" w:color="auto" w:fill="auto"/>
          </w:tcPr>
          <w:p w14:paraId="1CCEB394" w14:textId="77777777" w:rsidR="002C1266" w:rsidRPr="00B97C7F" w:rsidRDefault="002C1266">
            <w:pPr>
              <w:pStyle w:val="Tabletext"/>
              <w:jc w:val="center"/>
            </w:pPr>
            <w:r w:rsidRPr="00B97C7F">
              <w:t>0.06 [-0.03, 0.16]</w:t>
            </w:r>
          </w:p>
        </w:tc>
      </w:tr>
      <w:tr w:rsidR="002C1266" w:rsidRPr="00B97C7F" w14:paraId="194BF3E7" w14:textId="77777777">
        <w:tc>
          <w:tcPr>
            <w:tcW w:w="862" w:type="pct"/>
            <w:shd w:val="clear" w:color="auto" w:fill="auto"/>
          </w:tcPr>
          <w:p w14:paraId="6BB30303" w14:textId="77777777" w:rsidR="002C1266" w:rsidRPr="00B97C7F" w:rsidRDefault="002C1266">
            <w:pPr>
              <w:pStyle w:val="Tabletext"/>
            </w:pPr>
            <w:r w:rsidRPr="00B97C7F">
              <w:t>Meta-analysis</w:t>
            </w:r>
          </w:p>
        </w:tc>
        <w:tc>
          <w:tcPr>
            <w:tcW w:w="786" w:type="pct"/>
            <w:shd w:val="clear" w:color="auto" w:fill="auto"/>
          </w:tcPr>
          <w:p w14:paraId="4D877D67" w14:textId="77777777" w:rsidR="002C1266" w:rsidRPr="00B97C7F" w:rsidRDefault="002C1266">
            <w:pPr>
              <w:pStyle w:val="Tabletext"/>
              <w:jc w:val="center"/>
            </w:pPr>
            <w:r w:rsidRPr="00B97C7F">
              <w:t>11/135 (8.1)</w:t>
            </w:r>
          </w:p>
        </w:tc>
        <w:tc>
          <w:tcPr>
            <w:tcW w:w="716" w:type="pct"/>
            <w:shd w:val="clear" w:color="auto" w:fill="auto"/>
          </w:tcPr>
          <w:p w14:paraId="61E2C73C" w14:textId="77777777" w:rsidR="002C1266" w:rsidRPr="00B97C7F" w:rsidRDefault="002C1266">
            <w:pPr>
              <w:pStyle w:val="Tabletext"/>
              <w:jc w:val="center"/>
            </w:pPr>
            <w:r w:rsidRPr="00B97C7F">
              <w:t>7/130 (5.4)</w:t>
            </w:r>
          </w:p>
        </w:tc>
        <w:tc>
          <w:tcPr>
            <w:tcW w:w="881" w:type="pct"/>
            <w:shd w:val="clear" w:color="auto" w:fill="auto"/>
          </w:tcPr>
          <w:p w14:paraId="54023B70" w14:textId="77777777" w:rsidR="002C1266" w:rsidRPr="00B97C7F" w:rsidRDefault="002C1266">
            <w:pPr>
              <w:pStyle w:val="Tabletext"/>
              <w:jc w:val="center"/>
            </w:pPr>
            <w:r w:rsidRPr="00B97C7F">
              <w:t>1.54 [0.56, 4.20]; p=0.40</w:t>
            </w:r>
          </w:p>
        </w:tc>
        <w:tc>
          <w:tcPr>
            <w:tcW w:w="883" w:type="pct"/>
            <w:shd w:val="clear" w:color="auto" w:fill="auto"/>
          </w:tcPr>
          <w:p w14:paraId="74AF0E14" w14:textId="77777777" w:rsidR="002C1266" w:rsidRPr="00B97C7F" w:rsidRDefault="002C1266">
            <w:pPr>
              <w:pStyle w:val="Tabletext"/>
              <w:jc w:val="center"/>
            </w:pPr>
            <w:r w:rsidRPr="00B97C7F">
              <w:t>1.49 [0.59, 3.82]; p=0.40</w:t>
            </w:r>
          </w:p>
        </w:tc>
        <w:tc>
          <w:tcPr>
            <w:tcW w:w="872" w:type="pct"/>
            <w:shd w:val="clear" w:color="auto" w:fill="auto"/>
          </w:tcPr>
          <w:p w14:paraId="7ABBFFA9" w14:textId="77777777" w:rsidR="002C1266" w:rsidRPr="00B97C7F" w:rsidRDefault="002C1266">
            <w:pPr>
              <w:pStyle w:val="Tabletext"/>
              <w:jc w:val="center"/>
            </w:pPr>
            <w:r w:rsidRPr="00B97C7F">
              <w:t>0.02 [-0.04, 0.09]; p=0.47</w:t>
            </w:r>
          </w:p>
        </w:tc>
      </w:tr>
      <w:tr w:rsidR="002C1266" w:rsidRPr="00B97C7F" w14:paraId="5F050B62" w14:textId="77777777">
        <w:tc>
          <w:tcPr>
            <w:tcW w:w="2364" w:type="pct"/>
            <w:gridSpan w:val="3"/>
            <w:shd w:val="clear" w:color="auto" w:fill="D9D9D9" w:themeFill="background1" w:themeFillShade="D9"/>
          </w:tcPr>
          <w:p w14:paraId="11D8A1FD" w14:textId="77777777" w:rsidR="002C1266" w:rsidRPr="00B97C7F" w:rsidRDefault="002C1266">
            <w:pPr>
              <w:pStyle w:val="Tabletext"/>
            </w:pPr>
            <w:r w:rsidRPr="00B97C7F">
              <w:t>Heterogeneity (I</w:t>
            </w:r>
            <w:r w:rsidRPr="00B97C7F">
              <w:rPr>
                <w:vertAlign w:val="superscript"/>
              </w:rPr>
              <w:t>2</w:t>
            </w:r>
            <w:r w:rsidRPr="00B97C7F">
              <w:t>); p-value</w:t>
            </w:r>
          </w:p>
        </w:tc>
        <w:tc>
          <w:tcPr>
            <w:tcW w:w="881" w:type="pct"/>
            <w:shd w:val="clear" w:color="auto" w:fill="D9D9D9" w:themeFill="background1" w:themeFillShade="D9"/>
          </w:tcPr>
          <w:p w14:paraId="3ECB1BCF" w14:textId="77777777" w:rsidR="002C1266" w:rsidRPr="00B97C7F" w:rsidRDefault="002C1266">
            <w:pPr>
              <w:pStyle w:val="Tabletext"/>
              <w:jc w:val="center"/>
            </w:pPr>
            <w:r w:rsidRPr="00B97C7F">
              <w:t>I</w:t>
            </w:r>
            <w:r w:rsidRPr="00B97C7F">
              <w:rPr>
                <w:vertAlign w:val="superscript"/>
              </w:rPr>
              <w:t>2</w:t>
            </w:r>
            <w:r w:rsidRPr="00B97C7F">
              <w:t>=1%; p=0.31</w:t>
            </w:r>
          </w:p>
        </w:tc>
        <w:tc>
          <w:tcPr>
            <w:tcW w:w="883" w:type="pct"/>
            <w:shd w:val="clear" w:color="auto" w:fill="D9D9D9" w:themeFill="background1" w:themeFillShade="D9"/>
          </w:tcPr>
          <w:p w14:paraId="10F6B72F" w14:textId="77777777" w:rsidR="002C1266" w:rsidRPr="00B97C7F" w:rsidRDefault="002C1266">
            <w:pPr>
              <w:pStyle w:val="Tabletext"/>
              <w:jc w:val="center"/>
            </w:pPr>
            <w:r w:rsidRPr="00B97C7F">
              <w:t>I</w:t>
            </w:r>
            <w:r w:rsidRPr="00B97C7F">
              <w:rPr>
                <w:vertAlign w:val="superscript"/>
              </w:rPr>
              <w:t>2</w:t>
            </w:r>
            <w:r w:rsidRPr="00B97C7F">
              <w:t>=0%; p=0.32</w:t>
            </w:r>
          </w:p>
        </w:tc>
        <w:tc>
          <w:tcPr>
            <w:tcW w:w="872" w:type="pct"/>
            <w:shd w:val="clear" w:color="auto" w:fill="D9D9D9" w:themeFill="background1" w:themeFillShade="D9"/>
          </w:tcPr>
          <w:p w14:paraId="63DE3786" w14:textId="77777777" w:rsidR="002C1266" w:rsidRPr="00B97C7F" w:rsidRDefault="002C1266">
            <w:pPr>
              <w:pStyle w:val="Tabletext"/>
              <w:jc w:val="center"/>
            </w:pPr>
            <w:r w:rsidRPr="00B97C7F">
              <w:t>I</w:t>
            </w:r>
            <w:r w:rsidRPr="00B97C7F">
              <w:rPr>
                <w:vertAlign w:val="superscript"/>
              </w:rPr>
              <w:t>2</w:t>
            </w:r>
            <w:r w:rsidRPr="00B97C7F">
              <w:t>=21%; p=0.26</w:t>
            </w:r>
          </w:p>
        </w:tc>
      </w:tr>
      <w:tr w:rsidR="002C1266" w:rsidRPr="00B97C7F" w14:paraId="18A50DE2" w14:textId="77777777">
        <w:tc>
          <w:tcPr>
            <w:tcW w:w="5000" w:type="pct"/>
            <w:gridSpan w:val="6"/>
            <w:shd w:val="clear" w:color="auto" w:fill="auto"/>
          </w:tcPr>
          <w:p w14:paraId="5F92AA88" w14:textId="77777777" w:rsidR="002C1266" w:rsidRPr="00B97C7F" w:rsidRDefault="002C1266">
            <w:pPr>
              <w:pStyle w:val="Tabletext"/>
              <w:rPr>
                <w:b/>
                <w:bCs/>
              </w:rPr>
            </w:pPr>
            <w:r w:rsidRPr="00B97C7F">
              <w:rPr>
                <w:b/>
                <w:bCs/>
              </w:rPr>
              <w:t>Nasopharyngitis, n</w:t>
            </w:r>
            <w:r>
              <w:rPr>
                <w:b/>
                <w:bCs/>
              </w:rPr>
              <w:t>/N</w:t>
            </w:r>
            <w:r w:rsidRPr="00B97C7F">
              <w:rPr>
                <w:b/>
                <w:bCs/>
              </w:rPr>
              <w:t xml:space="preserve"> (%)</w:t>
            </w:r>
          </w:p>
        </w:tc>
      </w:tr>
      <w:tr w:rsidR="002C1266" w:rsidRPr="00B97C7F" w14:paraId="17B75981" w14:textId="77777777">
        <w:tc>
          <w:tcPr>
            <w:tcW w:w="862" w:type="pct"/>
            <w:shd w:val="clear" w:color="auto" w:fill="auto"/>
          </w:tcPr>
          <w:p w14:paraId="0F124EDA" w14:textId="77777777" w:rsidR="002C1266" w:rsidRPr="00B97C7F" w:rsidRDefault="002C1266">
            <w:pPr>
              <w:pStyle w:val="Tabletext"/>
              <w:rPr>
                <w:rFonts w:cstheme="minorHAnsi"/>
              </w:rPr>
            </w:pPr>
            <w:r w:rsidRPr="00B97C7F">
              <w:lastRenderedPageBreak/>
              <w:t>POLYP 1</w:t>
            </w:r>
          </w:p>
        </w:tc>
        <w:tc>
          <w:tcPr>
            <w:tcW w:w="786" w:type="pct"/>
            <w:shd w:val="clear" w:color="auto" w:fill="auto"/>
          </w:tcPr>
          <w:p w14:paraId="4C67BA11" w14:textId="77777777" w:rsidR="002C1266" w:rsidRPr="00B97C7F" w:rsidRDefault="002C1266">
            <w:pPr>
              <w:pStyle w:val="Tabletext"/>
              <w:jc w:val="center"/>
            </w:pPr>
            <w:r w:rsidRPr="00B97C7F">
              <w:t>3/72 (4.2)</w:t>
            </w:r>
          </w:p>
        </w:tc>
        <w:tc>
          <w:tcPr>
            <w:tcW w:w="716" w:type="pct"/>
            <w:shd w:val="clear" w:color="auto" w:fill="auto"/>
          </w:tcPr>
          <w:p w14:paraId="4259F2D8" w14:textId="77777777" w:rsidR="002C1266" w:rsidRPr="00B97C7F" w:rsidRDefault="002C1266">
            <w:pPr>
              <w:pStyle w:val="Tabletext"/>
              <w:jc w:val="center"/>
            </w:pPr>
            <w:r w:rsidRPr="00B97C7F">
              <w:t>2/66 (3.0)</w:t>
            </w:r>
          </w:p>
        </w:tc>
        <w:tc>
          <w:tcPr>
            <w:tcW w:w="881" w:type="pct"/>
            <w:shd w:val="clear" w:color="auto" w:fill="auto"/>
          </w:tcPr>
          <w:p w14:paraId="0FC62C0D" w14:textId="77777777" w:rsidR="002C1266" w:rsidRPr="00B97C7F" w:rsidRDefault="002C1266">
            <w:pPr>
              <w:pStyle w:val="Tabletext"/>
              <w:jc w:val="center"/>
            </w:pPr>
            <w:r w:rsidRPr="00B97C7F">
              <w:t>1.39 [0.23, 8.60]</w:t>
            </w:r>
          </w:p>
        </w:tc>
        <w:tc>
          <w:tcPr>
            <w:tcW w:w="883" w:type="pct"/>
            <w:shd w:val="clear" w:color="auto" w:fill="auto"/>
          </w:tcPr>
          <w:p w14:paraId="4094B18F" w14:textId="77777777" w:rsidR="002C1266" w:rsidRPr="00B97C7F" w:rsidRDefault="002C1266">
            <w:pPr>
              <w:pStyle w:val="Tabletext"/>
              <w:jc w:val="center"/>
            </w:pPr>
            <w:r w:rsidRPr="00B97C7F">
              <w:t>1.38 [0.24, 7.97]</w:t>
            </w:r>
          </w:p>
        </w:tc>
        <w:tc>
          <w:tcPr>
            <w:tcW w:w="872" w:type="pct"/>
            <w:shd w:val="clear" w:color="auto" w:fill="auto"/>
          </w:tcPr>
          <w:p w14:paraId="236C95B0" w14:textId="77777777" w:rsidR="002C1266" w:rsidRPr="00B97C7F" w:rsidRDefault="002C1266">
            <w:pPr>
              <w:pStyle w:val="Tabletext"/>
              <w:jc w:val="center"/>
            </w:pPr>
            <w:r w:rsidRPr="00B97C7F">
              <w:t>0.01 [-0.05, 0.07]</w:t>
            </w:r>
          </w:p>
        </w:tc>
      </w:tr>
      <w:tr w:rsidR="002C1266" w:rsidRPr="00B97C7F" w14:paraId="040060D3" w14:textId="77777777">
        <w:tc>
          <w:tcPr>
            <w:tcW w:w="862" w:type="pct"/>
            <w:shd w:val="clear" w:color="auto" w:fill="auto"/>
          </w:tcPr>
          <w:p w14:paraId="6FF17829" w14:textId="77777777" w:rsidR="002C1266" w:rsidRPr="00B97C7F" w:rsidRDefault="002C1266">
            <w:pPr>
              <w:pStyle w:val="Tabletext"/>
              <w:rPr>
                <w:rFonts w:cstheme="minorHAnsi"/>
              </w:rPr>
            </w:pPr>
            <w:r w:rsidRPr="00B97C7F">
              <w:t>POLYP 2</w:t>
            </w:r>
          </w:p>
        </w:tc>
        <w:tc>
          <w:tcPr>
            <w:tcW w:w="786" w:type="pct"/>
            <w:shd w:val="clear" w:color="auto" w:fill="auto"/>
          </w:tcPr>
          <w:p w14:paraId="1D9BB5FB" w14:textId="77777777" w:rsidR="002C1266" w:rsidRPr="00B97C7F" w:rsidRDefault="002C1266">
            <w:pPr>
              <w:pStyle w:val="Tabletext"/>
              <w:jc w:val="center"/>
            </w:pPr>
            <w:r w:rsidRPr="00B97C7F">
              <w:t>5/63 (7.9)</w:t>
            </w:r>
          </w:p>
        </w:tc>
        <w:tc>
          <w:tcPr>
            <w:tcW w:w="716" w:type="pct"/>
            <w:shd w:val="clear" w:color="auto" w:fill="auto"/>
          </w:tcPr>
          <w:p w14:paraId="79A12609" w14:textId="77777777" w:rsidR="002C1266" w:rsidRPr="00B97C7F" w:rsidRDefault="002C1266">
            <w:pPr>
              <w:pStyle w:val="Tabletext"/>
              <w:jc w:val="center"/>
            </w:pPr>
            <w:r w:rsidRPr="00B97C7F">
              <w:t>9/64 (14.1)</w:t>
            </w:r>
          </w:p>
        </w:tc>
        <w:tc>
          <w:tcPr>
            <w:tcW w:w="881" w:type="pct"/>
            <w:shd w:val="clear" w:color="auto" w:fill="auto"/>
          </w:tcPr>
          <w:p w14:paraId="363D2EE4" w14:textId="77777777" w:rsidR="002C1266" w:rsidRPr="00B97C7F" w:rsidRDefault="002C1266">
            <w:pPr>
              <w:pStyle w:val="Tabletext"/>
              <w:jc w:val="center"/>
            </w:pPr>
            <w:r w:rsidRPr="00B97C7F">
              <w:t>0.53 [0.17, 1.67]</w:t>
            </w:r>
          </w:p>
        </w:tc>
        <w:tc>
          <w:tcPr>
            <w:tcW w:w="883" w:type="pct"/>
            <w:shd w:val="clear" w:color="auto" w:fill="auto"/>
          </w:tcPr>
          <w:p w14:paraId="643CB1F9" w14:textId="77777777" w:rsidR="002C1266" w:rsidRPr="00B97C7F" w:rsidRDefault="002C1266">
            <w:pPr>
              <w:pStyle w:val="Tabletext"/>
              <w:jc w:val="center"/>
            </w:pPr>
            <w:r w:rsidRPr="00B97C7F">
              <w:t>0.56 [0.20, 1.59]</w:t>
            </w:r>
          </w:p>
        </w:tc>
        <w:tc>
          <w:tcPr>
            <w:tcW w:w="872" w:type="pct"/>
            <w:shd w:val="clear" w:color="auto" w:fill="auto"/>
          </w:tcPr>
          <w:p w14:paraId="078492CC" w14:textId="77777777" w:rsidR="002C1266" w:rsidRPr="00B97C7F" w:rsidRDefault="002C1266">
            <w:pPr>
              <w:pStyle w:val="Tabletext"/>
              <w:jc w:val="center"/>
            </w:pPr>
            <w:r w:rsidRPr="00B97C7F">
              <w:t>-0.06 [-0.17, 0.05]</w:t>
            </w:r>
          </w:p>
        </w:tc>
      </w:tr>
      <w:tr w:rsidR="002C1266" w:rsidRPr="00B97C7F" w14:paraId="079B5B07" w14:textId="77777777">
        <w:tc>
          <w:tcPr>
            <w:tcW w:w="862" w:type="pct"/>
            <w:shd w:val="clear" w:color="auto" w:fill="auto"/>
          </w:tcPr>
          <w:p w14:paraId="1D8F216C" w14:textId="77777777" w:rsidR="002C1266" w:rsidRPr="00B97C7F" w:rsidRDefault="002C1266">
            <w:pPr>
              <w:pStyle w:val="Tabletext"/>
            </w:pPr>
            <w:r w:rsidRPr="00B97C7F">
              <w:t>Meta-analysis</w:t>
            </w:r>
          </w:p>
        </w:tc>
        <w:tc>
          <w:tcPr>
            <w:tcW w:w="786" w:type="pct"/>
            <w:shd w:val="clear" w:color="auto" w:fill="auto"/>
          </w:tcPr>
          <w:p w14:paraId="1701EA81" w14:textId="77777777" w:rsidR="002C1266" w:rsidRPr="00B97C7F" w:rsidRDefault="002C1266">
            <w:pPr>
              <w:pStyle w:val="Tabletext"/>
              <w:jc w:val="center"/>
            </w:pPr>
            <w:r w:rsidRPr="00B97C7F">
              <w:t>8/135 (5.9)</w:t>
            </w:r>
          </w:p>
        </w:tc>
        <w:tc>
          <w:tcPr>
            <w:tcW w:w="716" w:type="pct"/>
            <w:shd w:val="clear" w:color="auto" w:fill="auto"/>
          </w:tcPr>
          <w:p w14:paraId="3F8E082B" w14:textId="77777777" w:rsidR="002C1266" w:rsidRPr="00B97C7F" w:rsidRDefault="002C1266">
            <w:pPr>
              <w:pStyle w:val="Tabletext"/>
              <w:jc w:val="center"/>
            </w:pPr>
            <w:r w:rsidRPr="00B97C7F">
              <w:t>11/130 (8.5)</w:t>
            </w:r>
          </w:p>
        </w:tc>
        <w:tc>
          <w:tcPr>
            <w:tcW w:w="881" w:type="pct"/>
            <w:shd w:val="clear" w:color="auto" w:fill="auto"/>
          </w:tcPr>
          <w:p w14:paraId="46DC2107" w14:textId="77777777" w:rsidR="002C1266" w:rsidRPr="00B97C7F" w:rsidRDefault="002C1266">
            <w:pPr>
              <w:pStyle w:val="Tabletext"/>
              <w:jc w:val="center"/>
            </w:pPr>
            <w:r w:rsidRPr="00B97C7F">
              <w:t>0.70 [0.26, 1.84]; p=0.47</w:t>
            </w:r>
          </w:p>
        </w:tc>
        <w:tc>
          <w:tcPr>
            <w:tcW w:w="883" w:type="pct"/>
            <w:shd w:val="clear" w:color="auto" w:fill="auto"/>
          </w:tcPr>
          <w:p w14:paraId="05EBE75B" w14:textId="77777777" w:rsidR="002C1266" w:rsidRPr="00B97C7F" w:rsidRDefault="002C1266">
            <w:pPr>
              <w:pStyle w:val="Tabletext"/>
              <w:jc w:val="center"/>
            </w:pPr>
            <w:r w:rsidRPr="00B97C7F">
              <w:t>0.71 [0.29, 1.73]; p=0.45</w:t>
            </w:r>
          </w:p>
        </w:tc>
        <w:tc>
          <w:tcPr>
            <w:tcW w:w="872" w:type="pct"/>
            <w:shd w:val="clear" w:color="auto" w:fill="auto"/>
          </w:tcPr>
          <w:p w14:paraId="4617516B" w14:textId="77777777" w:rsidR="002C1266" w:rsidRPr="00B97C7F" w:rsidRDefault="002C1266">
            <w:pPr>
              <w:pStyle w:val="Tabletext"/>
              <w:jc w:val="center"/>
            </w:pPr>
            <w:r w:rsidRPr="00B97C7F">
              <w:t>-0.01 [-0.09, 0.06]; p=0.72</w:t>
            </w:r>
          </w:p>
        </w:tc>
      </w:tr>
      <w:tr w:rsidR="002C1266" w:rsidRPr="00B97C7F" w14:paraId="0EB3DF86" w14:textId="77777777">
        <w:tc>
          <w:tcPr>
            <w:tcW w:w="2364" w:type="pct"/>
            <w:gridSpan w:val="3"/>
            <w:shd w:val="clear" w:color="auto" w:fill="D9D9D9" w:themeFill="background1" w:themeFillShade="D9"/>
          </w:tcPr>
          <w:p w14:paraId="6DFFD742" w14:textId="77777777" w:rsidR="002C1266" w:rsidRPr="00B97C7F" w:rsidRDefault="002C1266">
            <w:pPr>
              <w:pStyle w:val="Tabletext"/>
            </w:pPr>
            <w:r w:rsidRPr="00B97C7F">
              <w:t>Heterogeneity (I</w:t>
            </w:r>
            <w:r w:rsidRPr="00B97C7F">
              <w:rPr>
                <w:vertAlign w:val="superscript"/>
              </w:rPr>
              <w:t>2</w:t>
            </w:r>
            <w:r w:rsidRPr="00B97C7F">
              <w:t>); p-value</w:t>
            </w:r>
          </w:p>
        </w:tc>
        <w:tc>
          <w:tcPr>
            <w:tcW w:w="881" w:type="pct"/>
            <w:shd w:val="clear" w:color="auto" w:fill="D9D9D9" w:themeFill="background1" w:themeFillShade="D9"/>
          </w:tcPr>
          <w:p w14:paraId="0AF1F644" w14:textId="77777777" w:rsidR="002C1266" w:rsidRPr="00B97C7F" w:rsidRDefault="002C1266">
            <w:pPr>
              <w:pStyle w:val="Tabletext"/>
              <w:jc w:val="center"/>
            </w:pPr>
            <w:r w:rsidRPr="00B97C7F">
              <w:t>I</w:t>
            </w:r>
            <w:r w:rsidRPr="00B97C7F">
              <w:rPr>
                <w:vertAlign w:val="superscript"/>
              </w:rPr>
              <w:t>2</w:t>
            </w:r>
            <w:r w:rsidRPr="00B97C7F">
              <w:t>=0%; p=0.38</w:t>
            </w:r>
          </w:p>
        </w:tc>
        <w:tc>
          <w:tcPr>
            <w:tcW w:w="883" w:type="pct"/>
            <w:shd w:val="clear" w:color="auto" w:fill="D9D9D9" w:themeFill="background1" w:themeFillShade="D9"/>
          </w:tcPr>
          <w:p w14:paraId="7F8148C5" w14:textId="77777777" w:rsidR="002C1266" w:rsidRPr="00B97C7F" w:rsidRDefault="002C1266">
            <w:pPr>
              <w:pStyle w:val="Tabletext"/>
              <w:jc w:val="center"/>
            </w:pPr>
            <w:r w:rsidRPr="00B97C7F">
              <w:t>I</w:t>
            </w:r>
            <w:r w:rsidRPr="00B97C7F">
              <w:rPr>
                <w:vertAlign w:val="superscript"/>
              </w:rPr>
              <w:t>2</w:t>
            </w:r>
            <w:r w:rsidRPr="00B97C7F">
              <w:t>=0%; p=0.39</w:t>
            </w:r>
          </w:p>
        </w:tc>
        <w:tc>
          <w:tcPr>
            <w:tcW w:w="872" w:type="pct"/>
            <w:shd w:val="clear" w:color="auto" w:fill="D9D9D9" w:themeFill="background1" w:themeFillShade="D9"/>
          </w:tcPr>
          <w:p w14:paraId="1DD1A501" w14:textId="77777777" w:rsidR="002C1266" w:rsidRPr="00B97C7F" w:rsidRDefault="002C1266">
            <w:pPr>
              <w:pStyle w:val="Tabletext"/>
              <w:jc w:val="center"/>
            </w:pPr>
            <w:r w:rsidRPr="00B97C7F">
              <w:t>I</w:t>
            </w:r>
            <w:r w:rsidRPr="00B97C7F">
              <w:rPr>
                <w:vertAlign w:val="superscript"/>
              </w:rPr>
              <w:t>2</w:t>
            </w:r>
            <w:r w:rsidRPr="00B97C7F">
              <w:t>=41%; p=0.19</w:t>
            </w:r>
          </w:p>
        </w:tc>
      </w:tr>
      <w:tr w:rsidR="002C1266" w:rsidRPr="00CB32B6" w14:paraId="0B12B482" w14:textId="77777777">
        <w:tc>
          <w:tcPr>
            <w:tcW w:w="5000" w:type="pct"/>
            <w:gridSpan w:val="6"/>
            <w:shd w:val="clear" w:color="auto" w:fill="auto"/>
          </w:tcPr>
          <w:p w14:paraId="2592C816" w14:textId="77777777" w:rsidR="002C1266" w:rsidRPr="00FC6B59" w:rsidRDefault="002C1266">
            <w:pPr>
              <w:pStyle w:val="Tabletext"/>
              <w:rPr>
                <w:b/>
                <w:lang w:val="pt-BR"/>
              </w:rPr>
            </w:pPr>
            <w:r w:rsidRPr="00FC6B59">
              <w:rPr>
                <w:b/>
                <w:lang w:val="pt-BR"/>
              </w:rPr>
              <w:t>Injection site terms</w:t>
            </w:r>
            <w:r w:rsidRPr="00FC6B59">
              <w:rPr>
                <w:b/>
                <w:vertAlign w:val="superscript"/>
                <w:lang w:val="pt-BR"/>
              </w:rPr>
              <w:t>a</w:t>
            </w:r>
            <w:r w:rsidRPr="00FC6B59">
              <w:rPr>
                <w:b/>
                <w:lang w:val="pt-BR"/>
              </w:rPr>
              <w:t>, n/N (%)</w:t>
            </w:r>
          </w:p>
        </w:tc>
      </w:tr>
      <w:tr w:rsidR="002C1266" w:rsidRPr="00B97C7F" w14:paraId="7CCD7ADE" w14:textId="77777777">
        <w:tc>
          <w:tcPr>
            <w:tcW w:w="862" w:type="pct"/>
            <w:shd w:val="clear" w:color="auto" w:fill="auto"/>
          </w:tcPr>
          <w:p w14:paraId="67A3A1C3" w14:textId="77777777" w:rsidR="002C1266" w:rsidRPr="00B97C7F" w:rsidRDefault="002C1266">
            <w:pPr>
              <w:pStyle w:val="Tabletext"/>
              <w:rPr>
                <w:rFonts w:cstheme="minorHAnsi"/>
              </w:rPr>
            </w:pPr>
            <w:r w:rsidRPr="00B97C7F">
              <w:t>POLYP 1</w:t>
            </w:r>
          </w:p>
        </w:tc>
        <w:tc>
          <w:tcPr>
            <w:tcW w:w="786" w:type="pct"/>
            <w:shd w:val="clear" w:color="auto" w:fill="auto"/>
          </w:tcPr>
          <w:p w14:paraId="0B819B12" w14:textId="77777777" w:rsidR="002C1266" w:rsidRPr="00B97C7F" w:rsidRDefault="002C1266">
            <w:pPr>
              <w:pStyle w:val="Tabletext"/>
              <w:jc w:val="center"/>
            </w:pPr>
            <w:r w:rsidRPr="00B97C7F">
              <w:t>2/72 (2.8)</w:t>
            </w:r>
          </w:p>
        </w:tc>
        <w:tc>
          <w:tcPr>
            <w:tcW w:w="716" w:type="pct"/>
            <w:shd w:val="clear" w:color="auto" w:fill="auto"/>
          </w:tcPr>
          <w:p w14:paraId="0626C43B" w14:textId="77777777" w:rsidR="002C1266" w:rsidRPr="00B97C7F" w:rsidRDefault="002C1266">
            <w:pPr>
              <w:pStyle w:val="Tabletext"/>
              <w:jc w:val="center"/>
            </w:pPr>
            <w:r w:rsidRPr="00B97C7F">
              <w:t>0/66 (0.0)</w:t>
            </w:r>
          </w:p>
        </w:tc>
        <w:tc>
          <w:tcPr>
            <w:tcW w:w="881" w:type="pct"/>
            <w:shd w:val="clear" w:color="auto" w:fill="auto"/>
          </w:tcPr>
          <w:p w14:paraId="1842B1E0" w14:textId="77777777" w:rsidR="002C1266" w:rsidRPr="00B97C7F" w:rsidRDefault="002C1266">
            <w:pPr>
              <w:pStyle w:val="Tabletext"/>
              <w:jc w:val="center"/>
            </w:pPr>
            <w:r w:rsidRPr="00B97C7F">
              <w:t>4.72 [0.22, 100.06]</w:t>
            </w:r>
          </w:p>
        </w:tc>
        <w:tc>
          <w:tcPr>
            <w:tcW w:w="883" w:type="pct"/>
            <w:shd w:val="clear" w:color="auto" w:fill="auto"/>
          </w:tcPr>
          <w:p w14:paraId="51AE98D1" w14:textId="77777777" w:rsidR="002C1266" w:rsidRPr="00B97C7F" w:rsidRDefault="002C1266">
            <w:pPr>
              <w:pStyle w:val="Tabletext"/>
              <w:jc w:val="center"/>
            </w:pPr>
            <w:r w:rsidRPr="00B97C7F">
              <w:t>4.59 [0.22, 93.87]</w:t>
            </w:r>
          </w:p>
        </w:tc>
        <w:tc>
          <w:tcPr>
            <w:tcW w:w="872" w:type="pct"/>
            <w:shd w:val="clear" w:color="auto" w:fill="auto"/>
          </w:tcPr>
          <w:p w14:paraId="32297DD7" w14:textId="77777777" w:rsidR="002C1266" w:rsidRPr="00B97C7F" w:rsidRDefault="002C1266">
            <w:pPr>
              <w:pStyle w:val="Tabletext"/>
              <w:jc w:val="center"/>
            </w:pPr>
            <w:r w:rsidRPr="00B97C7F">
              <w:t>0.03 [-0.02, 0.07]</w:t>
            </w:r>
          </w:p>
        </w:tc>
      </w:tr>
      <w:tr w:rsidR="002C1266" w:rsidRPr="00B97C7F" w14:paraId="3EB35EC3" w14:textId="77777777">
        <w:tc>
          <w:tcPr>
            <w:tcW w:w="862" w:type="pct"/>
            <w:shd w:val="clear" w:color="auto" w:fill="auto"/>
          </w:tcPr>
          <w:p w14:paraId="71EF87B6" w14:textId="77777777" w:rsidR="002C1266" w:rsidRPr="00B97C7F" w:rsidRDefault="002C1266">
            <w:pPr>
              <w:pStyle w:val="Tabletext"/>
            </w:pPr>
            <w:r w:rsidRPr="00B97C7F">
              <w:t>POLYP 2</w:t>
            </w:r>
          </w:p>
        </w:tc>
        <w:tc>
          <w:tcPr>
            <w:tcW w:w="786" w:type="pct"/>
            <w:shd w:val="clear" w:color="auto" w:fill="auto"/>
          </w:tcPr>
          <w:p w14:paraId="0D365512" w14:textId="77777777" w:rsidR="002C1266" w:rsidRPr="00B97C7F" w:rsidRDefault="002C1266">
            <w:pPr>
              <w:pStyle w:val="Tabletext"/>
              <w:jc w:val="center"/>
            </w:pPr>
            <w:r w:rsidRPr="00B97C7F">
              <w:t>5/63 (7.9)</w:t>
            </w:r>
          </w:p>
        </w:tc>
        <w:tc>
          <w:tcPr>
            <w:tcW w:w="716" w:type="pct"/>
            <w:shd w:val="clear" w:color="auto" w:fill="auto"/>
          </w:tcPr>
          <w:p w14:paraId="786A4211" w14:textId="77777777" w:rsidR="002C1266" w:rsidRPr="00B97C7F" w:rsidRDefault="002C1266">
            <w:pPr>
              <w:pStyle w:val="Tabletext"/>
              <w:jc w:val="center"/>
            </w:pPr>
            <w:r w:rsidRPr="00B97C7F">
              <w:t>2/64 (3.1)</w:t>
            </w:r>
          </w:p>
        </w:tc>
        <w:tc>
          <w:tcPr>
            <w:tcW w:w="881" w:type="pct"/>
            <w:shd w:val="clear" w:color="auto" w:fill="auto"/>
          </w:tcPr>
          <w:p w14:paraId="1F757EAA" w14:textId="77777777" w:rsidR="002C1266" w:rsidRPr="00B97C7F" w:rsidRDefault="002C1266">
            <w:pPr>
              <w:pStyle w:val="Tabletext"/>
              <w:jc w:val="center"/>
            </w:pPr>
            <w:r w:rsidRPr="00B97C7F">
              <w:t>2.67 [0.50, 14.32]</w:t>
            </w:r>
          </w:p>
        </w:tc>
        <w:tc>
          <w:tcPr>
            <w:tcW w:w="883" w:type="pct"/>
            <w:shd w:val="clear" w:color="auto" w:fill="auto"/>
          </w:tcPr>
          <w:p w14:paraId="7988F63A" w14:textId="77777777" w:rsidR="002C1266" w:rsidRPr="00B97C7F" w:rsidRDefault="002C1266">
            <w:pPr>
              <w:pStyle w:val="Tabletext"/>
              <w:jc w:val="center"/>
            </w:pPr>
            <w:r w:rsidRPr="00B97C7F">
              <w:t>2.54 [0.51, 12.61]</w:t>
            </w:r>
          </w:p>
        </w:tc>
        <w:tc>
          <w:tcPr>
            <w:tcW w:w="872" w:type="pct"/>
            <w:shd w:val="clear" w:color="auto" w:fill="auto"/>
          </w:tcPr>
          <w:p w14:paraId="165B114C" w14:textId="77777777" w:rsidR="002C1266" w:rsidRPr="00B97C7F" w:rsidRDefault="002C1266">
            <w:pPr>
              <w:pStyle w:val="Tabletext"/>
              <w:jc w:val="center"/>
            </w:pPr>
            <w:r w:rsidRPr="00B97C7F">
              <w:t>0.05 [-0.03, 0.13]</w:t>
            </w:r>
          </w:p>
        </w:tc>
      </w:tr>
      <w:tr w:rsidR="002C1266" w:rsidRPr="00B97C7F" w14:paraId="3B44844A" w14:textId="77777777">
        <w:tc>
          <w:tcPr>
            <w:tcW w:w="862" w:type="pct"/>
            <w:shd w:val="clear" w:color="auto" w:fill="auto"/>
          </w:tcPr>
          <w:p w14:paraId="024723A1" w14:textId="77777777" w:rsidR="002C1266" w:rsidRPr="00B97C7F" w:rsidRDefault="002C1266">
            <w:pPr>
              <w:pStyle w:val="Tabletext"/>
            </w:pPr>
            <w:r w:rsidRPr="00B97C7F">
              <w:t>Meta-analysis</w:t>
            </w:r>
          </w:p>
        </w:tc>
        <w:tc>
          <w:tcPr>
            <w:tcW w:w="786" w:type="pct"/>
            <w:shd w:val="clear" w:color="auto" w:fill="auto"/>
          </w:tcPr>
          <w:p w14:paraId="7E2E8138" w14:textId="77777777" w:rsidR="002C1266" w:rsidRPr="00B97C7F" w:rsidRDefault="002C1266">
            <w:pPr>
              <w:pStyle w:val="Tabletext"/>
              <w:jc w:val="center"/>
            </w:pPr>
            <w:r w:rsidRPr="00B97C7F">
              <w:t>7/135 (5.2)</w:t>
            </w:r>
          </w:p>
        </w:tc>
        <w:tc>
          <w:tcPr>
            <w:tcW w:w="716" w:type="pct"/>
            <w:shd w:val="clear" w:color="auto" w:fill="auto"/>
          </w:tcPr>
          <w:p w14:paraId="59204837" w14:textId="77777777" w:rsidR="002C1266" w:rsidRPr="00B97C7F" w:rsidRDefault="002C1266">
            <w:pPr>
              <w:pStyle w:val="Tabletext"/>
              <w:jc w:val="center"/>
            </w:pPr>
            <w:r w:rsidRPr="00B97C7F">
              <w:t>2/130 (1.5)</w:t>
            </w:r>
          </w:p>
        </w:tc>
        <w:tc>
          <w:tcPr>
            <w:tcW w:w="881" w:type="pct"/>
            <w:shd w:val="clear" w:color="auto" w:fill="auto"/>
          </w:tcPr>
          <w:p w14:paraId="467F5519" w14:textId="77777777" w:rsidR="002C1266" w:rsidRPr="00B97C7F" w:rsidRDefault="002C1266">
            <w:pPr>
              <w:pStyle w:val="Tabletext"/>
              <w:jc w:val="center"/>
            </w:pPr>
            <w:r w:rsidRPr="00B97C7F">
              <w:t>3.05 [0.70, 13.27]; p=0.14</w:t>
            </w:r>
          </w:p>
        </w:tc>
        <w:tc>
          <w:tcPr>
            <w:tcW w:w="883" w:type="pct"/>
            <w:shd w:val="clear" w:color="auto" w:fill="auto"/>
          </w:tcPr>
          <w:p w14:paraId="1DF0883C" w14:textId="77777777" w:rsidR="002C1266" w:rsidRPr="00B97C7F" w:rsidRDefault="002C1266">
            <w:pPr>
              <w:pStyle w:val="Tabletext"/>
              <w:jc w:val="center"/>
            </w:pPr>
            <w:r w:rsidRPr="00B97C7F">
              <w:t>2.89 [0.70, 11.91]; p=0.14</w:t>
            </w:r>
          </w:p>
        </w:tc>
        <w:tc>
          <w:tcPr>
            <w:tcW w:w="872" w:type="pct"/>
            <w:shd w:val="clear" w:color="auto" w:fill="auto"/>
          </w:tcPr>
          <w:p w14:paraId="2FA72BB5" w14:textId="77777777" w:rsidR="002C1266" w:rsidRPr="00B97C7F" w:rsidRDefault="002C1266">
            <w:pPr>
              <w:pStyle w:val="Tabletext"/>
              <w:jc w:val="center"/>
            </w:pPr>
            <w:r w:rsidRPr="00B97C7F">
              <w:t>0.03 [-0.01, 0.07]; p=0.11</w:t>
            </w:r>
          </w:p>
        </w:tc>
      </w:tr>
      <w:tr w:rsidR="002C1266" w:rsidRPr="00B97C7F" w14:paraId="46FC0614" w14:textId="77777777">
        <w:tc>
          <w:tcPr>
            <w:tcW w:w="2364" w:type="pct"/>
            <w:gridSpan w:val="3"/>
            <w:shd w:val="clear" w:color="auto" w:fill="D9D9D9" w:themeFill="background1" w:themeFillShade="D9"/>
          </w:tcPr>
          <w:p w14:paraId="4E93D3F0" w14:textId="77777777" w:rsidR="002C1266" w:rsidRPr="00B97C7F" w:rsidRDefault="002C1266">
            <w:pPr>
              <w:pStyle w:val="Tabletext"/>
            </w:pPr>
            <w:r w:rsidRPr="00B97C7F">
              <w:t>Heterogeneity (I</w:t>
            </w:r>
            <w:r w:rsidRPr="00B97C7F">
              <w:rPr>
                <w:vertAlign w:val="superscript"/>
              </w:rPr>
              <w:t>2</w:t>
            </w:r>
            <w:r w:rsidRPr="00B97C7F">
              <w:t>); p-value</w:t>
            </w:r>
          </w:p>
        </w:tc>
        <w:tc>
          <w:tcPr>
            <w:tcW w:w="881" w:type="pct"/>
            <w:shd w:val="clear" w:color="auto" w:fill="D9D9D9" w:themeFill="background1" w:themeFillShade="D9"/>
          </w:tcPr>
          <w:p w14:paraId="18367BDA" w14:textId="77777777" w:rsidR="002C1266" w:rsidRPr="00B97C7F" w:rsidRDefault="002C1266">
            <w:pPr>
              <w:pStyle w:val="Tabletext"/>
              <w:jc w:val="center"/>
            </w:pPr>
            <w:r w:rsidRPr="00B97C7F">
              <w:t>I</w:t>
            </w:r>
            <w:r w:rsidRPr="00B97C7F">
              <w:rPr>
                <w:vertAlign w:val="superscript"/>
              </w:rPr>
              <w:t>2</w:t>
            </w:r>
            <w:r w:rsidRPr="00B97C7F">
              <w:t>=0%; p=0.75</w:t>
            </w:r>
          </w:p>
        </w:tc>
        <w:tc>
          <w:tcPr>
            <w:tcW w:w="883" w:type="pct"/>
            <w:shd w:val="clear" w:color="auto" w:fill="D9D9D9" w:themeFill="background1" w:themeFillShade="D9"/>
          </w:tcPr>
          <w:p w14:paraId="7D3A0F9E" w14:textId="77777777" w:rsidR="002C1266" w:rsidRPr="00B97C7F" w:rsidRDefault="002C1266">
            <w:pPr>
              <w:pStyle w:val="Tabletext"/>
              <w:jc w:val="center"/>
            </w:pPr>
            <w:r w:rsidRPr="00B97C7F">
              <w:t>I</w:t>
            </w:r>
            <w:r w:rsidRPr="00B97C7F">
              <w:rPr>
                <w:vertAlign w:val="superscript"/>
              </w:rPr>
              <w:t>2</w:t>
            </w:r>
            <w:r w:rsidRPr="00B97C7F">
              <w:t>=0%; p=0.73</w:t>
            </w:r>
          </w:p>
        </w:tc>
        <w:tc>
          <w:tcPr>
            <w:tcW w:w="872" w:type="pct"/>
            <w:shd w:val="clear" w:color="auto" w:fill="D9D9D9" w:themeFill="background1" w:themeFillShade="D9"/>
          </w:tcPr>
          <w:p w14:paraId="37760DCB" w14:textId="77777777" w:rsidR="002C1266" w:rsidRPr="00B97C7F" w:rsidRDefault="002C1266">
            <w:pPr>
              <w:pStyle w:val="Tabletext"/>
              <w:jc w:val="center"/>
            </w:pPr>
            <w:r w:rsidRPr="00B97C7F">
              <w:t>I</w:t>
            </w:r>
            <w:r w:rsidRPr="00B97C7F">
              <w:rPr>
                <w:vertAlign w:val="superscript"/>
              </w:rPr>
              <w:t>2</w:t>
            </w:r>
            <w:r w:rsidRPr="00B97C7F">
              <w:t>=0%; p=0.63</w:t>
            </w:r>
          </w:p>
        </w:tc>
      </w:tr>
      <w:tr w:rsidR="002C1266" w:rsidRPr="00B97C7F" w14:paraId="100F8BB8" w14:textId="77777777">
        <w:tc>
          <w:tcPr>
            <w:tcW w:w="5000" w:type="pct"/>
            <w:gridSpan w:val="6"/>
            <w:shd w:val="clear" w:color="auto" w:fill="auto"/>
          </w:tcPr>
          <w:p w14:paraId="4D82053B" w14:textId="77777777" w:rsidR="002C1266" w:rsidRPr="00B97C7F" w:rsidRDefault="002C1266">
            <w:pPr>
              <w:pStyle w:val="Tabletext"/>
              <w:rPr>
                <w:b/>
                <w:bCs/>
              </w:rPr>
            </w:pPr>
            <w:r w:rsidRPr="00B97C7F">
              <w:rPr>
                <w:b/>
                <w:bCs/>
              </w:rPr>
              <w:t>Asthma exacerbation/worsening, n</w:t>
            </w:r>
            <w:r>
              <w:rPr>
                <w:b/>
                <w:bCs/>
              </w:rPr>
              <w:t>/N</w:t>
            </w:r>
            <w:r w:rsidRPr="00B97C7F">
              <w:rPr>
                <w:b/>
                <w:bCs/>
              </w:rPr>
              <w:t xml:space="preserve"> (%)</w:t>
            </w:r>
          </w:p>
        </w:tc>
      </w:tr>
      <w:tr w:rsidR="002C1266" w:rsidRPr="00B97C7F" w14:paraId="3F209376" w14:textId="77777777">
        <w:tc>
          <w:tcPr>
            <w:tcW w:w="862" w:type="pct"/>
            <w:shd w:val="clear" w:color="auto" w:fill="auto"/>
          </w:tcPr>
          <w:p w14:paraId="3F6FB8CF" w14:textId="77777777" w:rsidR="002C1266" w:rsidRPr="00B97C7F" w:rsidRDefault="002C1266">
            <w:pPr>
              <w:pStyle w:val="Tabletext"/>
            </w:pPr>
            <w:r w:rsidRPr="00B97C7F">
              <w:t>POLYP 1</w:t>
            </w:r>
          </w:p>
        </w:tc>
        <w:tc>
          <w:tcPr>
            <w:tcW w:w="786" w:type="pct"/>
            <w:shd w:val="clear" w:color="auto" w:fill="auto"/>
          </w:tcPr>
          <w:p w14:paraId="3C11A20F" w14:textId="77777777" w:rsidR="002C1266" w:rsidRPr="00B97C7F" w:rsidRDefault="002C1266">
            <w:pPr>
              <w:pStyle w:val="Tabletext"/>
              <w:jc w:val="center"/>
            </w:pPr>
            <w:r w:rsidRPr="00B97C7F">
              <w:t>3/72 (4.2)</w:t>
            </w:r>
          </w:p>
        </w:tc>
        <w:tc>
          <w:tcPr>
            <w:tcW w:w="716" w:type="pct"/>
            <w:shd w:val="clear" w:color="auto" w:fill="auto"/>
          </w:tcPr>
          <w:p w14:paraId="0B82F085" w14:textId="77777777" w:rsidR="002C1266" w:rsidRPr="00B97C7F" w:rsidRDefault="002C1266">
            <w:pPr>
              <w:pStyle w:val="Tabletext"/>
              <w:jc w:val="center"/>
            </w:pPr>
            <w:r w:rsidRPr="00B97C7F">
              <w:t>10/66 (15.2)</w:t>
            </w:r>
          </w:p>
        </w:tc>
        <w:tc>
          <w:tcPr>
            <w:tcW w:w="881" w:type="pct"/>
            <w:shd w:val="clear" w:color="auto" w:fill="auto"/>
          </w:tcPr>
          <w:p w14:paraId="3951D457" w14:textId="77777777" w:rsidR="002C1266" w:rsidRPr="00B97C7F" w:rsidRDefault="002C1266">
            <w:pPr>
              <w:pStyle w:val="Tabletext"/>
              <w:jc w:val="center"/>
            </w:pPr>
            <w:r w:rsidRPr="00B97C7F">
              <w:t>0.24 [0.06, 0.93]</w:t>
            </w:r>
          </w:p>
        </w:tc>
        <w:tc>
          <w:tcPr>
            <w:tcW w:w="883" w:type="pct"/>
            <w:shd w:val="clear" w:color="auto" w:fill="auto"/>
          </w:tcPr>
          <w:p w14:paraId="134BE606" w14:textId="77777777" w:rsidR="002C1266" w:rsidRPr="00B97C7F" w:rsidRDefault="002C1266">
            <w:pPr>
              <w:pStyle w:val="Tabletext"/>
              <w:jc w:val="center"/>
            </w:pPr>
            <w:r w:rsidRPr="00B97C7F">
              <w:t>0.28 [0.08, 0.96]</w:t>
            </w:r>
          </w:p>
        </w:tc>
        <w:tc>
          <w:tcPr>
            <w:tcW w:w="872" w:type="pct"/>
            <w:shd w:val="clear" w:color="auto" w:fill="auto"/>
          </w:tcPr>
          <w:p w14:paraId="61C4348B" w14:textId="77777777" w:rsidR="002C1266" w:rsidRPr="00B97C7F" w:rsidRDefault="002C1266">
            <w:pPr>
              <w:pStyle w:val="Tabletext"/>
              <w:jc w:val="center"/>
            </w:pPr>
            <w:r w:rsidRPr="00B97C7F">
              <w:t>-0.11 [-0.21, -0.01]</w:t>
            </w:r>
          </w:p>
        </w:tc>
      </w:tr>
      <w:tr w:rsidR="002C1266" w:rsidRPr="00B97C7F" w14:paraId="6BAFDA4E" w14:textId="77777777">
        <w:tc>
          <w:tcPr>
            <w:tcW w:w="862" w:type="pct"/>
            <w:shd w:val="clear" w:color="auto" w:fill="auto"/>
          </w:tcPr>
          <w:p w14:paraId="5FC5DCF9" w14:textId="77777777" w:rsidR="002C1266" w:rsidRPr="00B97C7F" w:rsidRDefault="002C1266">
            <w:pPr>
              <w:pStyle w:val="Tabletext"/>
            </w:pPr>
            <w:r w:rsidRPr="00B97C7F">
              <w:t>POLYP 2</w:t>
            </w:r>
          </w:p>
        </w:tc>
        <w:tc>
          <w:tcPr>
            <w:tcW w:w="786" w:type="pct"/>
            <w:shd w:val="clear" w:color="auto" w:fill="auto"/>
          </w:tcPr>
          <w:p w14:paraId="44BB24C2" w14:textId="77777777" w:rsidR="002C1266" w:rsidRPr="00B97C7F" w:rsidRDefault="002C1266">
            <w:pPr>
              <w:pStyle w:val="Tabletext"/>
              <w:jc w:val="center"/>
            </w:pPr>
            <w:r w:rsidRPr="00B97C7F">
              <w:t>2/63 (3.2)</w:t>
            </w:r>
          </w:p>
        </w:tc>
        <w:tc>
          <w:tcPr>
            <w:tcW w:w="716" w:type="pct"/>
            <w:shd w:val="clear" w:color="auto" w:fill="auto"/>
          </w:tcPr>
          <w:p w14:paraId="5A7DFA52" w14:textId="77777777" w:rsidR="002C1266" w:rsidRPr="00B97C7F" w:rsidRDefault="002C1266">
            <w:pPr>
              <w:pStyle w:val="Tabletext"/>
              <w:jc w:val="center"/>
            </w:pPr>
            <w:r w:rsidRPr="00B97C7F">
              <w:t>5/64 (7.8)</w:t>
            </w:r>
          </w:p>
        </w:tc>
        <w:tc>
          <w:tcPr>
            <w:tcW w:w="881" w:type="pct"/>
            <w:shd w:val="clear" w:color="auto" w:fill="auto"/>
          </w:tcPr>
          <w:p w14:paraId="2DF8FF72" w14:textId="77777777" w:rsidR="002C1266" w:rsidRPr="00B97C7F" w:rsidRDefault="002C1266">
            <w:pPr>
              <w:pStyle w:val="Tabletext"/>
              <w:jc w:val="center"/>
            </w:pPr>
            <w:r w:rsidRPr="00B97C7F">
              <w:t>0.39 [0.07, 2.07]</w:t>
            </w:r>
          </w:p>
        </w:tc>
        <w:tc>
          <w:tcPr>
            <w:tcW w:w="883" w:type="pct"/>
            <w:shd w:val="clear" w:color="auto" w:fill="auto"/>
          </w:tcPr>
          <w:p w14:paraId="446C8238" w14:textId="77777777" w:rsidR="002C1266" w:rsidRPr="00B97C7F" w:rsidRDefault="002C1266">
            <w:pPr>
              <w:pStyle w:val="Tabletext"/>
              <w:jc w:val="center"/>
            </w:pPr>
            <w:r w:rsidRPr="00B97C7F">
              <w:t>0.41 [0.08, 2.02]</w:t>
            </w:r>
          </w:p>
        </w:tc>
        <w:tc>
          <w:tcPr>
            <w:tcW w:w="872" w:type="pct"/>
            <w:shd w:val="clear" w:color="auto" w:fill="auto"/>
          </w:tcPr>
          <w:p w14:paraId="11CC74F7" w14:textId="77777777" w:rsidR="002C1266" w:rsidRPr="00B97C7F" w:rsidRDefault="002C1266">
            <w:pPr>
              <w:pStyle w:val="Tabletext"/>
              <w:jc w:val="center"/>
            </w:pPr>
            <w:r w:rsidRPr="00B97C7F">
              <w:t>-0.05 [-0.13, 0.03]</w:t>
            </w:r>
          </w:p>
        </w:tc>
      </w:tr>
      <w:tr w:rsidR="002C1266" w:rsidRPr="00B97C7F" w14:paraId="1792EE7E" w14:textId="77777777">
        <w:tc>
          <w:tcPr>
            <w:tcW w:w="862" w:type="pct"/>
            <w:shd w:val="clear" w:color="auto" w:fill="auto"/>
          </w:tcPr>
          <w:p w14:paraId="5456D37A" w14:textId="77777777" w:rsidR="002C1266" w:rsidRPr="00B97C7F" w:rsidRDefault="002C1266">
            <w:pPr>
              <w:pStyle w:val="Tabletext"/>
            </w:pPr>
            <w:r w:rsidRPr="00B97C7F">
              <w:t>Meta-analysis</w:t>
            </w:r>
          </w:p>
        </w:tc>
        <w:tc>
          <w:tcPr>
            <w:tcW w:w="786" w:type="pct"/>
            <w:shd w:val="clear" w:color="auto" w:fill="auto"/>
          </w:tcPr>
          <w:p w14:paraId="21FBD3F3" w14:textId="77777777" w:rsidR="002C1266" w:rsidRPr="00B97C7F" w:rsidRDefault="002C1266">
            <w:pPr>
              <w:pStyle w:val="Tabletext"/>
              <w:jc w:val="center"/>
            </w:pPr>
            <w:r w:rsidRPr="00B97C7F">
              <w:t>5/135 (3.7)</w:t>
            </w:r>
          </w:p>
        </w:tc>
        <w:tc>
          <w:tcPr>
            <w:tcW w:w="716" w:type="pct"/>
            <w:shd w:val="clear" w:color="auto" w:fill="auto"/>
          </w:tcPr>
          <w:p w14:paraId="54FEE8F1" w14:textId="77777777" w:rsidR="002C1266" w:rsidRPr="00B97C7F" w:rsidRDefault="002C1266">
            <w:pPr>
              <w:pStyle w:val="Tabletext"/>
              <w:jc w:val="center"/>
            </w:pPr>
            <w:r w:rsidRPr="00B97C7F">
              <w:t>15/130 (11.5)</w:t>
            </w:r>
          </w:p>
        </w:tc>
        <w:tc>
          <w:tcPr>
            <w:tcW w:w="881" w:type="pct"/>
            <w:shd w:val="clear" w:color="auto" w:fill="auto"/>
          </w:tcPr>
          <w:p w14:paraId="523B5352" w14:textId="77777777" w:rsidR="002C1266" w:rsidRPr="009A2B53" w:rsidRDefault="002C1266">
            <w:pPr>
              <w:pStyle w:val="Tabletext"/>
              <w:jc w:val="center"/>
              <w:rPr>
                <w:b/>
                <w:bCs/>
              </w:rPr>
            </w:pPr>
            <w:r w:rsidRPr="009A2B53">
              <w:rPr>
                <w:b/>
                <w:bCs/>
              </w:rPr>
              <w:t>0.29 [0.10, 0.83]; p=0.02</w:t>
            </w:r>
          </w:p>
        </w:tc>
        <w:tc>
          <w:tcPr>
            <w:tcW w:w="883" w:type="pct"/>
            <w:shd w:val="clear" w:color="auto" w:fill="auto"/>
          </w:tcPr>
          <w:p w14:paraId="48F84E99" w14:textId="77777777" w:rsidR="002C1266" w:rsidRPr="009A2B53" w:rsidRDefault="002C1266">
            <w:pPr>
              <w:pStyle w:val="Tabletext"/>
              <w:jc w:val="center"/>
              <w:rPr>
                <w:b/>
                <w:bCs/>
              </w:rPr>
            </w:pPr>
            <w:r w:rsidRPr="009A2B53">
              <w:rPr>
                <w:b/>
                <w:bCs/>
              </w:rPr>
              <w:t>0.32 [0.12, 0.85]; p=0.02</w:t>
            </w:r>
          </w:p>
        </w:tc>
        <w:tc>
          <w:tcPr>
            <w:tcW w:w="872" w:type="pct"/>
            <w:shd w:val="clear" w:color="auto" w:fill="auto"/>
          </w:tcPr>
          <w:p w14:paraId="78EC2D4D" w14:textId="77777777" w:rsidR="002C1266" w:rsidRPr="009A2B53" w:rsidRDefault="002C1266">
            <w:pPr>
              <w:pStyle w:val="Tabletext"/>
              <w:jc w:val="center"/>
              <w:rPr>
                <w:b/>
                <w:bCs/>
              </w:rPr>
            </w:pPr>
            <w:r w:rsidRPr="009A2B53">
              <w:rPr>
                <w:b/>
                <w:bCs/>
              </w:rPr>
              <w:t>-0.07 [-0.13, -0.01]; p=0.03</w:t>
            </w:r>
          </w:p>
        </w:tc>
      </w:tr>
      <w:tr w:rsidR="002C1266" w:rsidRPr="00B97C7F" w14:paraId="02E34B10" w14:textId="77777777">
        <w:tc>
          <w:tcPr>
            <w:tcW w:w="2364" w:type="pct"/>
            <w:gridSpan w:val="3"/>
            <w:shd w:val="clear" w:color="auto" w:fill="D9D9D9" w:themeFill="background1" w:themeFillShade="D9"/>
          </w:tcPr>
          <w:p w14:paraId="7AD413A3" w14:textId="77777777" w:rsidR="002C1266" w:rsidRPr="00B97C7F" w:rsidRDefault="002C1266">
            <w:pPr>
              <w:pStyle w:val="Tabletext"/>
            </w:pPr>
            <w:r w:rsidRPr="00B97C7F">
              <w:t>Heterogeneity (I</w:t>
            </w:r>
            <w:r w:rsidRPr="00B97C7F">
              <w:rPr>
                <w:vertAlign w:val="superscript"/>
              </w:rPr>
              <w:t>2</w:t>
            </w:r>
            <w:r w:rsidRPr="00B97C7F">
              <w:t>); p-value</w:t>
            </w:r>
          </w:p>
        </w:tc>
        <w:tc>
          <w:tcPr>
            <w:tcW w:w="881" w:type="pct"/>
            <w:shd w:val="clear" w:color="auto" w:fill="D9D9D9" w:themeFill="background1" w:themeFillShade="D9"/>
          </w:tcPr>
          <w:p w14:paraId="35025970" w14:textId="77777777" w:rsidR="002C1266" w:rsidRPr="00B97C7F" w:rsidRDefault="002C1266">
            <w:pPr>
              <w:pStyle w:val="Tabletext"/>
            </w:pPr>
            <w:r w:rsidRPr="00B97C7F">
              <w:t>I</w:t>
            </w:r>
            <w:r w:rsidRPr="00B97C7F">
              <w:rPr>
                <w:vertAlign w:val="superscript"/>
              </w:rPr>
              <w:t>2</w:t>
            </w:r>
            <w:r w:rsidRPr="00B97C7F">
              <w:t>=0%; p=0.67</w:t>
            </w:r>
          </w:p>
        </w:tc>
        <w:tc>
          <w:tcPr>
            <w:tcW w:w="883" w:type="pct"/>
            <w:shd w:val="clear" w:color="auto" w:fill="D9D9D9" w:themeFill="background1" w:themeFillShade="D9"/>
          </w:tcPr>
          <w:p w14:paraId="362DF607" w14:textId="77777777" w:rsidR="002C1266" w:rsidRPr="00B97C7F" w:rsidRDefault="002C1266">
            <w:pPr>
              <w:pStyle w:val="Tabletext"/>
            </w:pPr>
            <w:r w:rsidRPr="00B97C7F">
              <w:t>I</w:t>
            </w:r>
            <w:r w:rsidRPr="00B97C7F">
              <w:rPr>
                <w:vertAlign w:val="superscript"/>
              </w:rPr>
              <w:t>2</w:t>
            </w:r>
            <w:r w:rsidRPr="00B97C7F">
              <w:t>=0%; p=0.71</w:t>
            </w:r>
          </w:p>
        </w:tc>
        <w:tc>
          <w:tcPr>
            <w:tcW w:w="872" w:type="pct"/>
            <w:shd w:val="clear" w:color="auto" w:fill="D9D9D9" w:themeFill="background1" w:themeFillShade="D9"/>
          </w:tcPr>
          <w:p w14:paraId="1C444A4E" w14:textId="77777777" w:rsidR="002C1266" w:rsidRPr="00B97C7F" w:rsidRDefault="002C1266">
            <w:pPr>
              <w:pStyle w:val="Tabletext"/>
            </w:pPr>
            <w:r w:rsidRPr="00B97C7F">
              <w:t>I</w:t>
            </w:r>
            <w:r w:rsidRPr="00B97C7F">
              <w:rPr>
                <w:vertAlign w:val="superscript"/>
              </w:rPr>
              <w:t>2</w:t>
            </w:r>
            <w:r w:rsidRPr="00B97C7F">
              <w:t>=4%; p=0.31</w:t>
            </w:r>
          </w:p>
        </w:tc>
      </w:tr>
      <w:tr w:rsidR="002C1266" w:rsidRPr="00B97C7F" w14:paraId="3241E189" w14:textId="77777777">
        <w:tc>
          <w:tcPr>
            <w:tcW w:w="5000" w:type="pct"/>
            <w:gridSpan w:val="6"/>
            <w:shd w:val="clear" w:color="auto" w:fill="auto"/>
          </w:tcPr>
          <w:p w14:paraId="64C3452E" w14:textId="77777777" w:rsidR="002C1266" w:rsidRPr="00B97C7F" w:rsidRDefault="002C1266">
            <w:pPr>
              <w:pStyle w:val="Tabletext"/>
              <w:rPr>
                <w:b/>
                <w:bCs/>
              </w:rPr>
            </w:pPr>
            <w:r w:rsidRPr="00B97C7F">
              <w:rPr>
                <w:b/>
                <w:bCs/>
              </w:rPr>
              <w:t>AEs identified as risks associated with omalizumab</w:t>
            </w:r>
          </w:p>
        </w:tc>
      </w:tr>
      <w:tr w:rsidR="002C1266" w:rsidRPr="00B97C7F" w14:paraId="626459A3" w14:textId="77777777">
        <w:tc>
          <w:tcPr>
            <w:tcW w:w="5000" w:type="pct"/>
            <w:gridSpan w:val="6"/>
            <w:shd w:val="clear" w:color="auto" w:fill="auto"/>
          </w:tcPr>
          <w:p w14:paraId="24761DDC" w14:textId="77777777" w:rsidR="002C1266" w:rsidRPr="00B97C7F" w:rsidRDefault="002C1266">
            <w:pPr>
              <w:pStyle w:val="Tabletext"/>
              <w:rPr>
                <w:b/>
                <w:bCs/>
              </w:rPr>
            </w:pPr>
            <w:r w:rsidRPr="00B97C7F">
              <w:rPr>
                <w:b/>
                <w:bCs/>
              </w:rPr>
              <w:t>Arterial thrombotic events, n</w:t>
            </w:r>
            <w:r>
              <w:rPr>
                <w:b/>
                <w:bCs/>
              </w:rPr>
              <w:t>/N</w:t>
            </w:r>
            <w:r w:rsidRPr="00B97C7F">
              <w:rPr>
                <w:b/>
                <w:bCs/>
              </w:rPr>
              <w:t xml:space="preserve"> (%)</w:t>
            </w:r>
          </w:p>
        </w:tc>
      </w:tr>
      <w:tr w:rsidR="002C1266" w:rsidRPr="00B97C7F" w14:paraId="1AC58A6E" w14:textId="77777777">
        <w:trPr>
          <w:trHeight w:val="75"/>
        </w:trPr>
        <w:tc>
          <w:tcPr>
            <w:tcW w:w="862" w:type="pct"/>
            <w:shd w:val="clear" w:color="auto" w:fill="auto"/>
          </w:tcPr>
          <w:p w14:paraId="3ECF9E74" w14:textId="77777777" w:rsidR="002C1266" w:rsidRPr="00B97C7F" w:rsidRDefault="002C1266">
            <w:pPr>
              <w:pStyle w:val="Tabletext"/>
            </w:pPr>
            <w:r w:rsidRPr="00B97C7F">
              <w:t>POLYP 1</w:t>
            </w:r>
          </w:p>
        </w:tc>
        <w:tc>
          <w:tcPr>
            <w:tcW w:w="786" w:type="pct"/>
            <w:shd w:val="clear" w:color="auto" w:fill="auto"/>
          </w:tcPr>
          <w:p w14:paraId="3DFE929F" w14:textId="77777777" w:rsidR="002C1266" w:rsidRPr="00B97C7F" w:rsidRDefault="002C1266">
            <w:pPr>
              <w:pStyle w:val="Tabletext"/>
              <w:jc w:val="center"/>
            </w:pPr>
            <w:r w:rsidRPr="00B97C7F">
              <w:t>0/72 (0.0)</w:t>
            </w:r>
          </w:p>
        </w:tc>
        <w:tc>
          <w:tcPr>
            <w:tcW w:w="716" w:type="pct"/>
            <w:shd w:val="clear" w:color="auto" w:fill="auto"/>
          </w:tcPr>
          <w:p w14:paraId="6A4BA65D" w14:textId="77777777" w:rsidR="002C1266" w:rsidRPr="00B97C7F" w:rsidRDefault="002C1266">
            <w:pPr>
              <w:pStyle w:val="Tabletext"/>
              <w:jc w:val="center"/>
            </w:pPr>
            <w:r w:rsidRPr="00B97C7F">
              <w:t>1/66 (1.5)</w:t>
            </w:r>
          </w:p>
        </w:tc>
        <w:tc>
          <w:tcPr>
            <w:tcW w:w="881" w:type="pct"/>
            <w:shd w:val="clear" w:color="auto" w:fill="auto"/>
          </w:tcPr>
          <w:p w14:paraId="733A3E5C" w14:textId="77777777" w:rsidR="002C1266" w:rsidRPr="00B97C7F" w:rsidRDefault="002C1266">
            <w:pPr>
              <w:pStyle w:val="Tabletext"/>
              <w:jc w:val="center"/>
            </w:pPr>
            <w:r w:rsidRPr="00B97C7F">
              <w:t>0.30 [0.01, 7.52]</w:t>
            </w:r>
          </w:p>
        </w:tc>
        <w:tc>
          <w:tcPr>
            <w:tcW w:w="883" w:type="pct"/>
            <w:shd w:val="clear" w:color="auto" w:fill="auto"/>
          </w:tcPr>
          <w:p w14:paraId="1C7743F0" w14:textId="77777777" w:rsidR="002C1266" w:rsidRPr="00B97C7F" w:rsidRDefault="002C1266">
            <w:pPr>
              <w:pStyle w:val="Tabletext"/>
              <w:jc w:val="center"/>
            </w:pPr>
            <w:r w:rsidRPr="00B97C7F">
              <w:t>-0.02 [-0.06, 0.03]</w:t>
            </w:r>
          </w:p>
        </w:tc>
        <w:tc>
          <w:tcPr>
            <w:tcW w:w="872" w:type="pct"/>
            <w:shd w:val="clear" w:color="auto" w:fill="auto"/>
          </w:tcPr>
          <w:p w14:paraId="2676130C" w14:textId="77777777" w:rsidR="002C1266" w:rsidRPr="00B97C7F" w:rsidRDefault="002C1266">
            <w:pPr>
              <w:pStyle w:val="Tabletext"/>
              <w:jc w:val="center"/>
            </w:pPr>
            <w:r w:rsidRPr="00B97C7F">
              <w:t>0.31 [0.01, 7.38]</w:t>
            </w:r>
          </w:p>
        </w:tc>
      </w:tr>
      <w:tr w:rsidR="002C1266" w:rsidRPr="00B97C7F" w14:paraId="4A805537" w14:textId="77777777">
        <w:tc>
          <w:tcPr>
            <w:tcW w:w="862" w:type="pct"/>
            <w:shd w:val="clear" w:color="auto" w:fill="auto"/>
          </w:tcPr>
          <w:p w14:paraId="275C53FC" w14:textId="77777777" w:rsidR="002C1266" w:rsidRPr="00B97C7F" w:rsidRDefault="002C1266">
            <w:pPr>
              <w:pStyle w:val="Tabletext"/>
            </w:pPr>
            <w:r w:rsidRPr="00B97C7F">
              <w:t>POLYP 2</w:t>
            </w:r>
          </w:p>
        </w:tc>
        <w:tc>
          <w:tcPr>
            <w:tcW w:w="786" w:type="pct"/>
            <w:shd w:val="clear" w:color="auto" w:fill="auto"/>
          </w:tcPr>
          <w:p w14:paraId="1C0EC2F7" w14:textId="77777777" w:rsidR="002C1266" w:rsidRPr="00B97C7F" w:rsidRDefault="002C1266">
            <w:pPr>
              <w:pStyle w:val="Tabletext"/>
              <w:jc w:val="center"/>
            </w:pPr>
            <w:r w:rsidRPr="00B97C7F">
              <w:t>0/63 (0.0)</w:t>
            </w:r>
          </w:p>
        </w:tc>
        <w:tc>
          <w:tcPr>
            <w:tcW w:w="716" w:type="pct"/>
            <w:shd w:val="clear" w:color="auto" w:fill="auto"/>
          </w:tcPr>
          <w:p w14:paraId="7D5A3E17" w14:textId="77777777" w:rsidR="002C1266" w:rsidRPr="00B97C7F" w:rsidRDefault="002C1266">
            <w:pPr>
              <w:pStyle w:val="Tabletext"/>
              <w:jc w:val="center"/>
            </w:pPr>
            <w:r w:rsidRPr="00B97C7F">
              <w:t>0/64 (0.0)</w:t>
            </w:r>
          </w:p>
        </w:tc>
        <w:tc>
          <w:tcPr>
            <w:tcW w:w="881" w:type="pct"/>
            <w:shd w:val="clear" w:color="auto" w:fill="auto"/>
          </w:tcPr>
          <w:p w14:paraId="0A0CF9AF" w14:textId="77777777" w:rsidR="002C1266" w:rsidRPr="00B97C7F" w:rsidRDefault="002C1266">
            <w:pPr>
              <w:pStyle w:val="Tabletext"/>
              <w:jc w:val="center"/>
            </w:pPr>
            <w:r w:rsidRPr="00B97C7F">
              <w:t>NE</w:t>
            </w:r>
          </w:p>
        </w:tc>
        <w:tc>
          <w:tcPr>
            <w:tcW w:w="883" w:type="pct"/>
            <w:shd w:val="clear" w:color="auto" w:fill="auto"/>
          </w:tcPr>
          <w:p w14:paraId="2ED375D5" w14:textId="77777777" w:rsidR="002C1266" w:rsidRPr="00B97C7F" w:rsidRDefault="002C1266">
            <w:pPr>
              <w:pStyle w:val="Tabletext"/>
              <w:jc w:val="center"/>
            </w:pPr>
            <w:r w:rsidRPr="00B97C7F">
              <w:t>0.00 [-0.03, 0.03]</w:t>
            </w:r>
          </w:p>
        </w:tc>
        <w:tc>
          <w:tcPr>
            <w:tcW w:w="872" w:type="pct"/>
            <w:shd w:val="clear" w:color="auto" w:fill="auto"/>
          </w:tcPr>
          <w:p w14:paraId="015C3C42" w14:textId="77777777" w:rsidR="002C1266" w:rsidRPr="00B97C7F" w:rsidRDefault="002C1266">
            <w:pPr>
              <w:pStyle w:val="Tabletext"/>
              <w:jc w:val="center"/>
            </w:pPr>
            <w:r w:rsidRPr="00B97C7F">
              <w:t>NE</w:t>
            </w:r>
          </w:p>
        </w:tc>
      </w:tr>
      <w:tr w:rsidR="002C1266" w:rsidRPr="00B97C7F" w14:paraId="72A4C737" w14:textId="77777777">
        <w:tc>
          <w:tcPr>
            <w:tcW w:w="862" w:type="pct"/>
            <w:shd w:val="clear" w:color="auto" w:fill="auto"/>
          </w:tcPr>
          <w:p w14:paraId="38520363" w14:textId="77777777" w:rsidR="002C1266" w:rsidRPr="00B97C7F" w:rsidRDefault="002C1266">
            <w:pPr>
              <w:pStyle w:val="Tabletext"/>
            </w:pPr>
            <w:r w:rsidRPr="00B97C7F">
              <w:t>Meta-analysis</w:t>
            </w:r>
          </w:p>
        </w:tc>
        <w:tc>
          <w:tcPr>
            <w:tcW w:w="786" w:type="pct"/>
            <w:shd w:val="clear" w:color="auto" w:fill="auto"/>
          </w:tcPr>
          <w:p w14:paraId="3D58BB31" w14:textId="77777777" w:rsidR="002C1266" w:rsidRPr="00B97C7F" w:rsidRDefault="002C1266">
            <w:pPr>
              <w:pStyle w:val="Tabletext"/>
              <w:jc w:val="center"/>
            </w:pPr>
            <w:r w:rsidRPr="00B97C7F">
              <w:t>0/135 (0.0)</w:t>
            </w:r>
          </w:p>
        </w:tc>
        <w:tc>
          <w:tcPr>
            <w:tcW w:w="716" w:type="pct"/>
            <w:shd w:val="clear" w:color="auto" w:fill="auto"/>
          </w:tcPr>
          <w:p w14:paraId="1012128E" w14:textId="77777777" w:rsidR="002C1266" w:rsidRPr="00B97C7F" w:rsidRDefault="002C1266">
            <w:pPr>
              <w:pStyle w:val="Tabletext"/>
              <w:jc w:val="center"/>
            </w:pPr>
            <w:r w:rsidRPr="00B97C7F">
              <w:t>1/130 (0.8)</w:t>
            </w:r>
          </w:p>
        </w:tc>
        <w:tc>
          <w:tcPr>
            <w:tcW w:w="881" w:type="pct"/>
            <w:shd w:val="clear" w:color="auto" w:fill="auto"/>
          </w:tcPr>
          <w:p w14:paraId="205E9D91" w14:textId="77777777" w:rsidR="002C1266" w:rsidRPr="00B97C7F" w:rsidRDefault="002C1266">
            <w:pPr>
              <w:pStyle w:val="Tabletext"/>
              <w:jc w:val="center"/>
            </w:pPr>
            <w:r w:rsidRPr="00B97C7F">
              <w:t>0.30 [0.01, 7.52]; p=0.46</w:t>
            </w:r>
          </w:p>
        </w:tc>
        <w:tc>
          <w:tcPr>
            <w:tcW w:w="883" w:type="pct"/>
            <w:shd w:val="clear" w:color="auto" w:fill="auto"/>
          </w:tcPr>
          <w:p w14:paraId="68CF7E31" w14:textId="77777777" w:rsidR="002C1266" w:rsidRPr="00B97C7F" w:rsidRDefault="002C1266">
            <w:pPr>
              <w:pStyle w:val="Tabletext"/>
              <w:jc w:val="center"/>
            </w:pPr>
            <w:r w:rsidRPr="00B97C7F">
              <w:t>-0.01 [-0.03, 0.02]; p=0.66</w:t>
            </w:r>
          </w:p>
        </w:tc>
        <w:tc>
          <w:tcPr>
            <w:tcW w:w="872" w:type="pct"/>
            <w:shd w:val="clear" w:color="auto" w:fill="auto"/>
          </w:tcPr>
          <w:p w14:paraId="7B2918AE" w14:textId="77777777" w:rsidR="002C1266" w:rsidRPr="00B97C7F" w:rsidRDefault="002C1266">
            <w:pPr>
              <w:pStyle w:val="Tabletext"/>
              <w:jc w:val="center"/>
            </w:pPr>
            <w:r w:rsidRPr="00B97C7F">
              <w:t>0.31 [0.01, 7.38]; p=0.47</w:t>
            </w:r>
          </w:p>
        </w:tc>
      </w:tr>
      <w:tr w:rsidR="002C1266" w:rsidRPr="00B97C7F" w14:paraId="64E8A2F2" w14:textId="77777777">
        <w:tc>
          <w:tcPr>
            <w:tcW w:w="2364" w:type="pct"/>
            <w:gridSpan w:val="3"/>
            <w:shd w:val="clear" w:color="auto" w:fill="D9D9D9" w:themeFill="background1" w:themeFillShade="D9"/>
          </w:tcPr>
          <w:p w14:paraId="367B7A7F" w14:textId="77777777" w:rsidR="002C1266" w:rsidRPr="00B97C7F" w:rsidRDefault="002C1266">
            <w:pPr>
              <w:pStyle w:val="Tabletext"/>
            </w:pPr>
            <w:r w:rsidRPr="00B97C7F">
              <w:t>Heterogeneity (I</w:t>
            </w:r>
            <w:r w:rsidRPr="00B97C7F">
              <w:rPr>
                <w:vertAlign w:val="superscript"/>
              </w:rPr>
              <w:t>2</w:t>
            </w:r>
            <w:r w:rsidRPr="00B97C7F">
              <w:t>); p-value</w:t>
            </w:r>
          </w:p>
        </w:tc>
        <w:tc>
          <w:tcPr>
            <w:tcW w:w="881" w:type="pct"/>
            <w:shd w:val="clear" w:color="auto" w:fill="D9D9D9" w:themeFill="background1" w:themeFillShade="D9"/>
          </w:tcPr>
          <w:p w14:paraId="3A173B2B" w14:textId="77777777" w:rsidR="002C1266" w:rsidRPr="00B97C7F" w:rsidRDefault="002C1266">
            <w:pPr>
              <w:pStyle w:val="Tabletext"/>
              <w:jc w:val="center"/>
            </w:pPr>
            <w:r w:rsidRPr="00B97C7F">
              <w:t>NA</w:t>
            </w:r>
          </w:p>
        </w:tc>
        <w:tc>
          <w:tcPr>
            <w:tcW w:w="883" w:type="pct"/>
            <w:shd w:val="clear" w:color="auto" w:fill="D9D9D9" w:themeFill="background1" w:themeFillShade="D9"/>
          </w:tcPr>
          <w:p w14:paraId="2845C314" w14:textId="77777777" w:rsidR="002C1266" w:rsidRPr="00B97C7F" w:rsidRDefault="002C1266">
            <w:pPr>
              <w:pStyle w:val="Tabletext"/>
              <w:jc w:val="center"/>
            </w:pPr>
            <w:r w:rsidRPr="00B97C7F">
              <w:t>I</w:t>
            </w:r>
            <w:r w:rsidRPr="00B97C7F">
              <w:rPr>
                <w:vertAlign w:val="superscript"/>
              </w:rPr>
              <w:t>2</w:t>
            </w:r>
            <w:r w:rsidRPr="00B97C7F">
              <w:t>=0%; p=0.53</w:t>
            </w:r>
          </w:p>
        </w:tc>
        <w:tc>
          <w:tcPr>
            <w:tcW w:w="872" w:type="pct"/>
            <w:shd w:val="clear" w:color="auto" w:fill="D9D9D9" w:themeFill="background1" w:themeFillShade="D9"/>
          </w:tcPr>
          <w:p w14:paraId="1759A3AB" w14:textId="77777777" w:rsidR="002C1266" w:rsidRPr="00B97C7F" w:rsidRDefault="002C1266">
            <w:pPr>
              <w:pStyle w:val="Tabletext"/>
              <w:jc w:val="center"/>
            </w:pPr>
            <w:r w:rsidRPr="00B97C7F">
              <w:t>NA</w:t>
            </w:r>
          </w:p>
        </w:tc>
      </w:tr>
      <w:tr w:rsidR="002C1266" w:rsidRPr="00B97C7F" w14:paraId="2347C278" w14:textId="77777777">
        <w:tc>
          <w:tcPr>
            <w:tcW w:w="5000" w:type="pct"/>
            <w:gridSpan w:val="6"/>
            <w:shd w:val="clear" w:color="auto" w:fill="auto"/>
          </w:tcPr>
          <w:p w14:paraId="4BC01739" w14:textId="77777777" w:rsidR="002C1266" w:rsidRPr="00B97C7F" w:rsidRDefault="002C1266">
            <w:pPr>
              <w:pStyle w:val="Tabletext"/>
              <w:rPr>
                <w:b/>
                <w:bCs/>
              </w:rPr>
            </w:pPr>
            <w:r w:rsidRPr="00B97C7F">
              <w:rPr>
                <w:b/>
                <w:bCs/>
              </w:rPr>
              <w:t>Malignant neoplasms, n</w:t>
            </w:r>
            <w:r>
              <w:rPr>
                <w:b/>
                <w:bCs/>
              </w:rPr>
              <w:t>/N</w:t>
            </w:r>
            <w:r w:rsidRPr="00B97C7F">
              <w:rPr>
                <w:b/>
                <w:bCs/>
              </w:rPr>
              <w:t xml:space="preserve"> (%)</w:t>
            </w:r>
          </w:p>
        </w:tc>
      </w:tr>
      <w:tr w:rsidR="002C1266" w:rsidRPr="00B97C7F" w14:paraId="079EC02C" w14:textId="77777777">
        <w:tc>
          <w:tcPr>
            <w:tcW w:w="862" w:type="pct"/>
            <w:shd w:val="clear" w:color="auto" w:fill="auto"/>
          </w:tcPr>
          <w:p w14:paraId="12FC4A7E" w14:textId="77777777" w:rsidR="002C1266" w:rsidRPr="00B97C7F" w:rsidRDefault="002C1266">
            <w:pPr>
              <w:pStyle w:val="Tabletext"/>
            </w:pPr>
            <w:r w:rsidRPr="00B97C7F">
              <w:t>POLYP 1</w:t>
            </w:r>
          </w:p>
        </w:tc>
        <w:tc>
          <w:tcPr>
            <w:tcW w:w="786" w:type="pct"/>
            <w:shd w:val="clear" w:color="auto" w:fill="auto"/>
          </w:tcPr>
          <w:p w14:paraId="73C26F87" w14:textId="77777777" w:rsidR="002C1266" w:rsidRPr="00B97C7F" w:rsidRDefault="002C1266">
            <w:pPr>
              <w:pStyle w:val="Tabletext"/>
              <w:jc w:val="center"/>
            </w:pPr>
            <w:r w:rsidRPr="00B97C7F">
              <w:t>0/72 (0.0)</w:t>
            </w:r>
          </w:p>
        </w:tc>
        <w:tc>
          <w:tcPr>
            <w:tcW w:w="716" w:type="pct"/>
            <w:shd w:val="clear" w:color="auto" w:fill="auto"/>
          </w:tcPr>
          <w:p w14:paraId="053D913F" w14:textId="77777777" w:rsidR="002C1266" w:rsidRPr="00B97C7F" w:rsidRDefault="002C1266">
            <w:pPr>
              <w:pStyle w:val="Tabletext"/>
              <w:jc w:val="center"/>
            </w:pPr>
            <w:r w:rsidRPr="00B97C7F">
              <w:t>1/66 (1.5)</w:t>
            </w:r>
          </w:p>
        </w:tc>
        <w:tc>
          <w:tcPr>
            <w:tcW w:w="881" w:type="pct"/>
            <w:shd w:val="clear" w:color="auto" w:fill="auto"/>
          </w:tcPr>
          <w:p w14:paraId="25F9D376" w14:textId="77777777" w:rsidR="002C1266" w:rsidRPr="00B97C7F" w:rsidRDefault="002C1266">
            <w:pPr>
              <w:pStyle w:val="Tabletext"/>
              <w:jc w:val="center"/>
            </w:pPr>
            <w:r w:rsidRPr="00B97C7F">
              <w:t>0.30 [0.01, 7.52]</w:t>
            </w:r>
          </w:p>
        </w:tc>
        <w:tc>
          <w:tcPr>
            <w:tcW w:w="883" w:type="pct"/>
            <w:shd w:val="clear" w:color="auto" w:fill="auto"/>
          </w:tcPr>
          <w:p w14:paraId="7C322AD5" w14:textId="77777777" w:rsidR="002C1266" w:rsidRPr="00B97C7F" w:rsidRDefault="002C1266">
            <w:pPr>
              <w:pStyle w:val="Tabletext"/>
              <w:jc w:val="center"/>
            </w:pPr>
            <w:r w:rsidRPr="00B97C7F">
              <w:t>-0.02 [-0.06, 0.03]</w:t>
            </w:r>
          </w:p>
        </w:tc>
        <w:tc>
          <w:tcPr>
            <w:tcW w:w="872" w:type="pct"/>
            <w:shd w:val="clear" w:color="auto" w:fill="auto"/>
          </w:tcPr>
          <w:p w14:paraId="2BA22CD5" w14:textId="77777777" w:rsidR="002C1266" w:rsidRPr="00B97C7F" w:rsidRDefault="002C1266">
            <w:pPr>
              <w:pStyle w:val="Tabletext"/>
              <w:jc w:val="center"/>
            </w:pPr>
            <w:r w:rsidRPr="00B97C7F">
              <w:t>0.31 [0.01, 7.38]</w:t>
            </w:r>
          </w:p>
        </w:tc>
      </w:tr>
      <w:tr w:rsidR="002C1266" w:rsidRPr="00B97C7F" w14:paraId="775BB171" w14:textId="77777777">
        <w:tc>
          <w:tcPr>
            <w:tcW w:w="862" w:type="pct"/>
            <w:shd w:val="clear" w:color="auto" w:fill="auto"/>
          </w:tcPr>
          <w:p w14:paraId="703F14D3" w14:textId="77777777" w:rsidR="002C1266" w:rsidRPr="00B97C7F" w:rsidRDefault="002C1266">
            <w:pPr>
              <w:pStyle w:val="Tabletext"/>
            </w:pPr>
            <w:r w:rsidRPr="00B97C7F">
              <w:t>POLYP 2</w:t>
            </w:r>
          </w:p>
        </w:tc>
        <w:tc>
          <w:tcPr>
            <w:tcW w:w="786" w:type="pct"/>
            <w:shd w:val="clear" w:color="auto" w:fill="auto"/>
          </w:tcPr>
          <w:p w14:paraId="3F0ECF60" w14:textId="77777777" w:rsidR="002C1266" w:rsidRPr="00B97C7F" w:rsidRDefault="002C1266">
            <w:pPr>
              <w:pStyle w:val="Tabletext"/>
              <w:jc w:val="center"/>
            </w:pPr>
            <w:r w:rsidRPr="00B97C7F">
              <w:t>0/63 (0.0)</w:t>
            </w:r>
          </w:p>
        </w:tc>
        <w:tc>
          <w:tcPr>
            <w:tcW w:w="716" w:type="pct"/>
            <w:shd w:val="clear" w:color="auto" w:fill="auto"/>
          </w:tcPr>
          <w:p w14:paraId="36365EEE" w14:textId="77777777" w:rsidR="002C1266" w:rsidRPr="00B97C7F" w:rsidRDefault="002C1266">
            <w:pPr>
              <w:pStyle w:val="Tabletext"/>
              <w:jc w:val="center"/>
            </w:pPr>
            <w:r w:rsidRPr="00B97C7F">
              <w:t>0/64 (0.0)</w:t>
            </w:r>
          </w:p>
        </w:tc>
        <w:tc>
          <w:tcPr>
            <w:tcW w:w="881" w:type="pct"/>
            <w:shd w:val="clear" w:color="auto" w:fill="auto"/>
          </w:tcPr>
          <w:p w14:paraId="5EE4AE1F" w14:textId="77777777" w:rsidR="002C1266" w:rsidRPr="00B97C7F" w:rsidRDefault="002C1266">
            <w:pPr>
              <w:pStyle w:val="Tabletext"/>
              <w:jc w:val="center"/>
            </w:pPr>
            <w:r w:rsidRPr="00B97C7F">
              <w:t>NE</w:t>
            </w:r>
          </w:p>
        </w:tc>
        <w:tc>
          <w:tcPr>
            <w:tcW w:w="883" w:type="pct"/>
            <w:shd w:val="clear" w:color="auto" w:fill="auto"/>
          </w:tcPr>
          <w:p w14:paraId="05F8B70E" w14:textId="77777777" w:rsidR="002C1266" w:rsidRPr="00B97C7F" w:rsidRDefault="002C1266">
            <w:pPr>
              <w:pStyle w:val="Tabletext"/>
              <w:jc w:val="center"/>
            </w:pPr>
            <w:r w:rsidRPr="00B97C7F">
              <w:t>0.00 [-0.03, 0.03]</w:t>
            </w:r>
          </w:p>
        </w:tc>
        <w:tc>
          <w:tcPr>
            <w:tcW w:w="872" w:type="pct"/>
            <w:shd w:val="clear" w:color="auto" w:fill="auto"/>
          </w:tcPr>
          <w:p w14:paraId="319334C2" w14:textId="77777777" w:rsidR="002C1266" w:rsidRPr="00B97C7F" w:rsidRDefault="002C1266">
            <w:pPr>
              <w:pStyle w:val="Tabletext"/>
              <w:jc w:val="center"/>
            </w:pPr>
            <w:r w:rsidRPr="00B97C7F">
              <w:t>NE</w:t>
            </w:r>
          </w:p>
        </w:tc>
      </w:tr>
      <w:tr w:rsidR="002C1266" w:rsidRPr="00B97C7F" w14:paraId="5ED37C9E" w14:textId="77777777">
        <w:tc>
          <w:tcPr>
            <w:tcW w:w="862" w:type="pct"/>
            <w:shd w:val="clear" w:color="auto" w:fill="auto"/>
          </w:tcPr>
          <w:p w14:paraId="13B33A62" w14:textId="77777777" w:rsidR="002C1266" w:rsidRPr="00B97C7F" w:rsidRDefault="002C1266">
            <w:pPr>
              <w:pStyle w:val="Tabletext"/>
            </w:pPr>
            <w:r w:rsidRPr="00B97C7F">
              <w:t>Meta-analysis</w:t>
            </w:r>
          </w:p>
        </w:tc>
        <w:tc>
          <w:tcPr>
            <w:tcW w:w="786" w:type="pct"/>
            <w:shd w:val="clear" w:color="auto" w:fill="auto"/>
          </w:tcPr>
          <w:p w14:paraId="5DD37EAB" w14:textId="77777777" w:rsidR="002C1266" w:rsidRPr="00B97C7F" w:rsidRDefault="002C1266">
            <w:pPr>
              <w:pStyle w:val="Tabletext"/>
              <w:jc w:val="center"/>
            </w:pPr>
            <w:r w:rsidRPr="00B97C7F">
              <w:t>0/135 (0.0)</w:t>
            </w:r>
          </w:p>
        </w:tc>
        <w:tc>
          <w:tcPr>
            <w:tcW w:w="716" w:type="pct"/>
            <w:shd w:val="clear" w:color="auto" w:fill="auto"/>
          </w:tcPr>
          <w:p w14:paraId="15AF4163" w14:textId="77777777" w:rsidR="002C1266" w:rsidRPr="00B97C7F" w:rsidRDefault="002C1266">
            <w:pPr>
              <w:pStyle w:val="Tabletext"/>
              <w:jc w:val="center"/>
            </w:pPr>
            <w:r w:rsidRPr="00B97C7F">
              <w:t>1/130 (0.8)</w:t>
            </w:r>
          </w:p>
        </w:tc>
        <w:tc>
          <w:tcPr>
            <w:tcW w:w="881" w:type="pct"/>
            <w:shd w:val="clear" w:color="auto" w:fill="auto"/>
          </w:tcPr>
          <w:p w14:paraId="7F6C2F94" w14:textId="77777777" w:rsidR="002C1266" w:rsidRPr="00B97C7F" w:rsidRDefault="002C1266">
            <w:pPr>
              <w:pStyle w:val="Tabletext"/>
              <w:jc w:val="center"/>
            </w:pPr>
            <w:r w:rsidRPr="00B97C7F">
              <w:t>0.30 [0.01, 7.52]; p=0.46</w:t>
            </w:r>
          </w:p>
        </w:tc>
        <w:tc>
          <w:tcPr>
            <w:tcW w:w="883" w:type="pct"/>
            <w:shd w:val="clear" w:color="auto" w:fill="auto"/>
          </w:tcPr>
          <w:p w14:paraId="746A3EF1" w14:textId="77777777" w:rsidR="002C1266" w:rsidRPr="00B97C7F" w:rsidRDefault="002C1266">
            <w:pPr>
              <w:pStyle w:val="Tabletext"/>
              <w:jc w:val="center"/>
            </w:pPr>
            <w:r w:rsidRPr="00B97C7F">
              <w:t>-0.01 [-0.03, 0.02]; p=0.66</w:t>
            </w:r>
          </w:p>
        </w:tc>
        <w:tc>
          <w:tcPr>
            <w:tcW w:w="872" w:type="pct"/>
            <w:shd w:val="clear" w:color="auto" w:fill="auto"/>
          </w:tcPr>
          <w:p w14:paraId="2AFD9F42" w14:textId="77777777" w:rsidR="002C1266" w:rsidRPr="00B97C7F" w:rsidRDefault="002C1266">
            <w:pPr>
              <w:pStyle w:val="Tabletext"/>
              <w:jc w:val="center"/>
            </w:pPr>
            <w:r w:rsidRPr="00B97C7F">
              <w:t>0.31 [0.01, 7.38]; p=0.47</w:t>
            </w:r>
          </w:p>
        </w:tc>
      </w:tr>
      <w:tr w:rsidR="002C1266" w:rsidRPr="00B97C7F" w14:paraId="30B98520" w14:textId="77777777">
        <w:tc>
          <w:tcPr>
            <w:tcW w:w="2364" w:type="pct"/>
            <w:gridSpan w:val="3"/>
            <w:shd w:val="clear" w:color="auto" w:fill="D9D9D9" w:themeFill="background1" w:themeFillShade="D9"/>
          </w:tcPr>
          <w:p w14:paraId="7260AAD6" w14:textId="77777777" w:rsidR="002C1266" w:rsidRPr="00B97C7F" w:rsidRDefault="002C1266">
            <w:pPr>
              <w:pStyle w:val="Tabletext"/>
            </w:pPr>
            <w:r w:rsidRPr="00B97C7F">
              <w:t>Heterogeneity (I</w:t>
            </w:r>
            <w:r w:rsidRPr="00B97C7F">
              <w:rPr>
                <w:vertAlign w:val="superscript"/>
              </w:rPr>
              <w:t>2</w:t>
            </w:r>
            <w:r w:rsidRPr="00B97C7F">
              <w:t>); p-value</w:t>
            </w:r>
          </w:p>
        </w:tc>
        <w:tc>
          <w:tcPr>
            <w:tcW w:w="881" w:type="pct"/>
            <w:shd w:val="clear" w:color="auto" w:fill="D9D9D9" w:themeFill="background1" w:themeFillShade="D9"/>
          </w:tcPr>
          <w:p w14:paraId="0186D419" w14:textId="77777777" w:rsidR="002C1266" w:rsidRPr="00B97C7F" w:rsidRDefault="002C1266">
            <w:pPr>
              <w:pStyle w:val="Tabletext"/>
              <w:jc w:val="center"/>
            </w:pPr>
            <w:r w:rsidRPr="00B97C7F">
              <w:t>NA</w:t>
            </w:r>
          </w:p>
        </w:tc>
        <w:tc>
          <w:tcPr>
            <w:tcW w:w="883" w:type="pct"/>
            <w:shd w:val="clear" w:color="auto" w:fill="D9D9D9" w:themeFill="background1" w:themeFillShade="D9"/>
          </w:tcPr>
          <w:p w14:paraId="2C837C67" w14:textId="77777777" w:rsidR="002C1266" w:rsidRPr="00B97C7F" w:rsidRDefault="002C1266">
            <w:pPr>
              <w:pStyle w:val="Tabletext"/>
              <w:jc w:val="center"/>
            </w:pPr>
            <w:r w:rsidRPr="00B97C7F">
              <w:t>I</w:t>
            </w:r>
            <w:r w:rsidRPr="00B97C7F">
              <w:rPr>
                <w:vertAlign w:val="superscript"/>
              </w:rPr>
              <w:t>2</w:t>
            </w:r>
            <w:r w:rsidRPr="00B97C7F">
              <w:t>=0%; p=0.53</w:t>
            </w:r>
          </w:p>
        </w:tc>
        <w:tc>
          <w:tcPr>
            <w:tcW w:w="872" w:type="pct"/>
            <w:shd w:val="clear" w:color="auto" w:fill="D9D9D9" w:themeFill="background1" w:themeFillShade="D9"/>
          </w:tcPr>
          <w:p w14:paraId="4B485389" w14:textId="77777777" w:rsidR="002C1266" w:rsidRPr="00B97C7F" w:rsidRDefault="002C1266">
            <w:pPr>
              <w:pStyle w:val="Tabletext"/>
              <w:jc w:val="center"/>
            </w:pPr>
            <w:r w:rsidRPr="00B97C7F">
              <w:t>NA</w:t>
            </w:r>
          </w:p>
        </w:tc>
      </w:tr>
    </w:tbl>
    <w:p w14:paraId="5834F065" w14:textId="77777777" w:rsidR="002C1266" w:rsidRDefault="002C1266" w:rsidP="00022C1B">
      <w:pPr>
        <w:pStyle w:val="TableFigureFooter"/>
      </w:pPr>
      <w:r>
        <w:t>Source: Table 2.28, pp96-97 of the submission.</w:t>
      </w:r>
    </w:p>
    <w:p w14:paraId="01F72F62" w14:textId="2CF3F90D" w:rsidR="002C1266" w:rsidRDefault="002C1266" w:rsidP="00022C1B">
      <w:pPr>
        <w:pStyle w:val="TableFigureFooter"/>
      </w:pPr>
      <w:r w:rsidRPr="2BCE08C6">
        <w:t xml:space="preserve">AE, adverse events; CI, confidence interval; NA, not applicable; NE, not estimable; </w:t>
      </w:r>
      <w:proofErr w:type="gramStart"/>
      <w:r w:rsidRPr="2BCE08C6">
        <w:t>OR,</w:t>
      </w:r>
      <w:proofErr w:type="gramEnd"/>
      <w:r w:rsidRPr="2BCE08C6">
        <w:t xml:space="preserve"> odds ratio; RD, risk difference; RR, relative risk; SAE, serious adverse event</w:t>
      </w:r>
      <w:r w:rsidR="00B603E8">
        <w:t>; SoC, standard of care</w:t>
      </w:r>
      <w:r w:rsidRPr="2BCE08C6">
        <w:t>.</w:t>
      </w:r>
    </w:p>
    <w:p w14:paraId="02E16A2B" w14:textId="77777777" w:rsidR="002C1266" w:rsidRDefault="002C1266" w:rsidP="00022C1B">
      <w:pPr>
        <w:pStyle w:val="TableFigureFooter"/>
      </w:pPr>
      <w:r w:rsidRPr="00CF6EC4">
        <w:t>a Includes injection site reaction, injection-related reaction, and injection site pain.</w:t>
      </w:r>
      <w:r>
        <w:t xml:space="preserve"> </w:t>
      </w:r>
    </w:p>
    <w:p w14:paraId="1CB2A381" w14:textId="1211D063" w:rsidR="002C1266" w:rsidRPr="00F82BE9" w:rsidRDefault="002C1266" w:rsidP="00022C1B">
      <w:pPr>
        <w:pStyle w:val="TableFigureFooter"/>
      </w:pPr>
      <w:r w:rsidRPr="2BCE08C6">
        <w:t xml:space="preserve">Note: Results in </w:t>
      </w:r>
      <w:r w:rsidRPr="2BCE08C6">
        <w:rPr>
          <w:b/>
          <w:bCs/>
        </w:rPr>
        <w:t>bold</w:t>
      </w:r>
      <w:r w:rsidRPr="2BCE08C6">
        <w:t xml:space="preserve"> indicate statistically significant difference (p&lt;0.05) </w:t>
      </w:r>
    </w:p>
    <w:p w14:paraId="0C3758F7" w14:textId="544B8D37" w:rsidR="002C1266" w:rsidRPr="00DE54F0" w:rsidRDefault="002C1266" w:rsidP="002C1266">
      <w:pPr>
        <w:pStyle w:val="3-BodyText"/>
      </w:pPr>
      <w:r w:rsidRPr="2BCE08C6">
        <w:t xml:space="preserve">The meta-analysis of the POLYP trials showed there were no significant differences between treatment with omalizumab versus </w:t>
      </w:r>
      <w:r w:rsidR="000158DE">
        <w:t>SoC (placebo)</w:t>
      </w:r>
      <w:r w:rsidRPr="2BCE08C6">
        <w:t xml:space="preserve"> with regards to the incidence of treatment emergent adverse events (TEAEs) (RR=0.86 [0.69, 1.07]; p=0.18) SAEs (RR=1.29 [0.15, 11.43]; p=0.82) treatment-related AEs (RR=1.74 [0.60, 5.08]; p=0.31) or AEs leading to discontinuation (RR=0.31 [0.01, 7.38]; p=0.47</w:t>
      </w:r>
      <w:r w:rsidRPr="001744DF">
        <w:t>), noting the POLYP trials were not powered to detect differences in adverse events. However, there were also no important differences observed in the event rates.</w:t>
      </w:r>
    </w:p>
    <w:p w14:paraId="425CA40B" w14:textId="08F5E037" w:rsidR="002C1266" w:rsidRPr="00490AAB" w:rsidRDefault="002C1266" w:rsidP="002C1266">
      <w:pPr>
        <w:pStyle w:val="3-BodyText"/>
      </w:pPr>
      <w:r w:rsidRPr="2BCE08C6">
        <w:t xml:space="preserve">There were no significant differences in frequently occurring AEs such as headache, nasopharyngitis or injection site events, and in AEs identified as omalizumab-associated risks such as arterial thrombotic events or malignant neoplasms (no omalizumab-associated AEs </w:t>
      </w:r>
      <w:r w:rsidR="008653B5">
        <w:t>such as an</w:t>
      </w:r>
      <w:r w:rsidR="004239B1">
        <w:t>a</w:t>
      </w:r>
      <w:r w:rsidR="00CE67F2">
        <w:t>phylactic re</w:t>
      </w:r>
      <w:r w:rsidR="002717DD">
        <w:t>actions</w:t>
      </w:r>
      <w:r w:rsidR="004239B1">
        <w:t xml:space="preserve"> </w:t>
      </w:r>
      <w:r w:rsidRPr="2BCE08C6">
        <w:t xml:space="preserve">were reported in the omalizumab arm in the POLYP trials). There was a significantly higher incidence of </w:t>
      </w:r>
      <w:r w:rsidRPr="2BCE08C6">
        <w:lastRenderedPageBreak/>
        <w:t xml:space="preserve">asthma occurring in the </w:t>
      </w:r>
      <w:r w:rsidR="000158DE">
        <w:t>SoC (placebo)</w:t>
      </w:r>
      <w:r w:rsidRPr="2BCE08C6">
        <w:t xml:space="preserve"> group (11.5%) than the omalizumab group (3.7%) (RR=0.32 [0.12, 0.85]; p=0.02). No deaths were reported in POLYP 1 and POLYP 2 trials. </w:t>
      </w:r>
      <w:r w:rsidRPr="00490AAB">
        <w:t>Overall, these results suggest no significant safety concerns for omalizumab</w:t>
      </w:r>
      <w:r w:rsidR="007F2182" w:rsidRPr="00490AAB">
        <w:t xml:space="preserve"> apart from those </w:t>
      </w:r>
      <w:r w:rsidR="00B20EED" w:rsidRPr="00490AAB">
        <w:t>al</w:t>
      </w:r>
      <w:r w:rsidR="00285742" w:rsidRPr="00490AAB">
        <w:t>ready reported in th</w:t>
      </w:r>
      <w:r w:rsidR="002564E3" w:rsidRPr="00490AAB">
        <w:t xml:space="preserve">e PI such </w:t>
      </w:r>
      <w:r w:rsidR="007E18A7" w:rsidRPr="00490AAB">
        <w:t>anaphylaxis which</w:t>
      </w:r>
      <w:r w:rsidR="00DB54D6" w:rsidRPr="00490AAB">
        <w:t xml:space="preserve"> requires patients to be monitored post-injection, and medications for the treatment of anaphylactic reactions should be available for immediate use following administration of omalizumab</w:t>
      </w:r>
      <w:r w:rsidR="0061438A" w:rsidRPr="00490AAB">
        <w:t>.</w:t>
      </w:r>
    </w:p>
    <w:p w14:paraId="770E0931" w14:textId="06D5CABB" w:rsidR="002C1266" w:rsidRPr="009A2E57" w:rsidRDefault="002C1266" w:rsidP="2BCE08C6">
      <w:pPr>
        <w:pStyle w:val="3-BodyText"/>
      </w:pPr>
      <w:r w:rsidRPr="009A2E57">
        <w:t>During the open label extension phase</w:t>
      </w:r>
      <w:r w:rsidR="5EC502AD" w:rsidRPr="009A2E57">
        <w:t xml:space="preserve"> </w:t>
      </w:r>
      <w:r w:rsidR="56B6BDEE" w:rsidRPr="009A2E57">
        <w:t>at week 52</w:t>
      </w:r>
      <w:r w:rsidRPr="009A2E57">
        <w:t xml:space="preserve">, no significant differences were observed between omalizumab versus </w:t>
      </w:r>
      <w:r w:rsidR="000158DE" w:rsidRPr="009A2E57">
        <w:t>SoC (placebo)</w:t>
      </w:r>
      <w:r w:rsidRPr="009A2E57">
        <w:t xml:space="preserve"> in the frequency of any AEs (43.5% vs 49.6%), SAEs (2.4% vs 4.8%) and AEs of interest (0.8% vs 0) with no new safety concerns identified.</w:t>
      </w:r>
    </w:p>
    <w:p w14:paraId="0422616D" w14:textId="77777777" w:rsidR="002C1266" w:rsidRDefault="002C1266" w:rsidP="002C1266">
      <w:pPr>
        <w:pStyle w:val="5-SubsectionSubheading"/>
      </w:pPr>
      <w:bookmarkStart w:id="48" w:name="_Toc193290748"/>
      <w:r w:rsidRPr="00562B71">
        <w:t>Indirect comparison of omalizumab versus mepolizumab</w:t>
      </w:r>
      <w:bookmarkEnd w:id="48"/>
    </w:p>
    <w:p w14:paraId="36005210" w14:textId="6AB8289F" w:rsidR="002C1266" w:rsidRPr="00763C2C" w:rsidRDefault="002C1266" w:rsidP="002C1266">
      <w:pPr>
        <w:pStyle w:val="3-BodyText"/>
      </w:pPr>
      <w:r w:rsidRPr="2BCE08C6">
        <w:t xml:space="preserve">The submission conducted an ITC for key safety outcomes in the ITT population, since the safety outcomes for the subgroup population of relevance in the POLYP trials were not available. The submission stated that it </w:t>
      </w:r>
      <w:r w:rsidR="00DE64D7">
        <w:t>wa</w:t>
      </w:r>
      <w:r w:rsidR="00DE64D7" w:rsidRPr="2BCE08C6">
        <w:t xml:space="preserve">s </w:t>
      </w:r>
      <w:r w:rsidRPr="2BCE08C6">
        <w:t xml:space="preserve">unlikely that the safety outcomes </w:t>
      </w:r>
      <w:r w:rsidR="00DE64D7" w:rsidRPr="2BCE08C6">
        <w:t>w</w:t>
      </w:r>
      <w:r w:rsidR="00DE64D7">
        <w:t>ould</w:t>
      </w:r>
      <w:r w:rsidR="00DE64D7" w:rsidRPr="2BCE08C6">
        <w:t xml:space="preserve"> </w:t>
      </w:r>
      <w:r w:rsidRPr="2BCE08C6">
        <w:t xml:space="preserve">differ between the subgroup of interest and ITT population in the POLYP trials, thus the ITT results for safety outcomes </w:t>
      </w:r>
      <w:r w:rsidR="00A01BF7" w:rsidRPr="2BCE08C6">
        <w:t>c</w:t>
      </w:r>
      <w:r w:rsidR="00A01BF7">
        <w:t>ould</w:t>
      </w:r>
      <w:r w:rsidR="00A01BF7" w:rsidRPr="2BCE08C6">
        <w:t xml:space="preserve"> </w:t>
      </w:r>
      <w:r w:rsidRPr="2BCE08C6">
        <w:t xml:space="preserve">be considered applicable to the subgroup. </w:t>
      </w:r>
      <w:r w:rsidR="00FC7EC8" w:rsidRPr="00943600">
        <w:t>The evaluation considered</w:t>
      </w:r>
      <w:r w:rsidR="00FC7EC8">
        <w:rPr>
          <w:i/>
          <w:iCs/>
        </w:rPr>
        <w:t xml:space="preserve"> </w:t>
      </w:r>
      <w:r w:rsidR="00FC7EC8">
        <w:t>t</w:t>
      </w:r>
      <w:r w:rsidRPr="00763C2C">
        <w:t xml:space="preserve">his approach </w:t>
      </w:r>
      <w:r w:rsidR="000B0F3E">
        <w:t>wa</w:t>
      </w:r>
      <w:r w:rsidRPr="00763C2C">
        <w:t xml:space="preserve">s not appropriate considering that individual participant data (IPD) was available for the POLYP trials and used for the efficacy results and that subgroup safety data </w:t>
      </w:r>
      <w:r w:rsidR="00CE2899" w:rsidRPr="00763C2C">
        <w:t xml:space="preserve">based on BEC </w:t>
      </w:r>
      <w:r w:rsidR="00742C7A" w:rsidRPr="00763C2C">
        <w:t xml:space="preserve">levels </w:t>
      </w:r>
      <w:r w:rsidRPr="00763C2C">
        <w:t>was available and presented in the previous evaluation of mepolizumab (Table 10, mepolizumab, PSD, November 2022 PBAC meeting).</w:t>
      </w:r>
    </w:p>
    <w:p w14:paraId="455903E2" w14:textId="3A71EEEF" w:rsidR="00467F13" w:rsidRPr="00763C2C" w:rsidRDefault="002C1266" w:rsidP="00467F13">
      <w:pPr>
        <w:pStyle w:val="3-BodyText"/>
      </w:pPr>
      <w:r w:rsidRPr="2BCE08C6">
        <w:t xml:space="preserve">The submission also assumed that that the exchangeability issues associated with the MERIT trial </w:t>
      </w:r>
      <w:r w:rsidR="00CD2019">
        <w:t>we</w:t>
      </w:r>
      <w:r w:rsidR="00CD2019" w:rsidRPr="2BCE08C6">
        <w:t xml:space="preserve">re </w:t>
      </w:r>
      <w:r w:rsidRPr="2BCE08C6">
        <w:t xml:space="preserve">more relevant to the comparative assessment of efficacy than safety, therefore, the safety ITC presented in the submission is based on the comparison between the meta-analysed results </w:t>
      </w:r>
      <w:r w:rsidRPr="003C1069">
        <w:t>as presented below</w:t>
      </w:r>
      <w:r w:rsidRPr="00763C2C">
        <w:t xml:space="preserve">. </w:t>
      </w:r>
      <w:r w:rsidR="00FC7EC8" w:rsidRPr="00232F5F">
        <w:t>The evaluation noted</w:t>
      </w:r>
      <w:r w:rsidR="00FC7EC8">
        <w:rPr>
          <w:i/>
          <w:iCs/>
        </w:rPr>
        <w:t xml:space="preserve"> </w:t>
      </w:r>
      <w:r w:rsidR="00FC7EC8">
        <w:rPr>
          <w:rFonts w:eastAsia="Calibri"/>
        </w:rPr>
        <w:t>i</w:t>
      </w:r>
      <w:r w:rsidR="00C12E24" w:rsidRPr="00763C2C">
        <w:rPr>
          <w:rFonts w:eastAsia="Calibri"/>
        </w:rPr>
        <w:t xml:space="preserve">t was unlikely that underlying assumptions necessary to conduct an ITC using the Bucher method were fulfilled. </w:t>
      </w:r>
    </w:p>
    <w:p w14:paraId="5048926A" w14:textId="6B68FFC1" w:rsidR="002C1266" w:rsidRPr="009571EF" w:rsidRDefault="002C1266" w:rsidP="009571EF">
      <w:pPr>
        <w:pStyle w:val="3-BodyText"/>
        <w:rPr>
          <w:rFonts w:ascii="Arial Narrow" w:hAnsi="Arial Narrow"/>
          <w:b/>
          <w:bCs/>
          <w:sz w:val="20"/>
          <w:szCs w:val="18"/>
        </w:rPr>
      </w:pPr>
      <w:r w:rsidRPr="2BCE08C6">
        <w:t>A summary of the key adverse events results for the ITC populations across all trials, including meta-analyses and ITC results, is presented in</w:t>
      </w:r>
      <w:r w:rsidR="00221B19">
        <w:t xml:space="preserve"> </w:t>
      </w:r>
      <w:r w:rsidR="00221B19">
        <w:fldChar w:fldCharType="begin"/>
      </w:r>
      <w:r w:rsidR="00221B19">
        <w:instrText xml:space="preserve"> REF _Ref190436135 \h </w:instrText>
      </w:r>
      <w:r w:rsidR="00221B19">
        <w:fldChar w:fldCharType="separate"/>
      </w:r>
      <w:r w:rsidR="00CE52BF">
        <w:t xml:space="preserve">Table </w:t>
      </w:r>
      <w:r w:rsidR="00CE52BF">
        <w:rPr>
          <w:noProof/>
        </w:rPr>
        <w:t>10</w:t>
      </w:r>
      <w:r w:rsidR="00221B19">
        <w:fldChar w:fldCharType="end"/>
      </w:r>
      <w:r w:rsidRPr="2BCE08C6">
        <w:t>.</w:t>
      </w:r>
      <w:bookmarkStart w:id="49" w:name="_Ref190212950"/>
    </w:p>
    <w:p w14:paraId="0B25C441" w14:textId="0D9C0E6A" w:rsidR="002C1266" w:rsidRDefault="002C1266" w:rsidP="009571EF">
      <w:pPr>
        <w:pStyle w:val="Caption"/>
      </w:pPr>
      <w:bookmarkStart w:id="50" w:name="_Ref190436135"/>
      <w:r>
        <w:lastRenderedPageBreak/>
        <w:t xml:space="preserve">Table </w:t>
      </w:r>
      <w:r>
        <w:fldChar w:fldCharType="begin"/>
      </w:r>
      <w:r>
        <w:instrText>SEQ Table \* ARABIC</w:instrText>
      </w:r>
      <w:r>
        <w:fldChar w:fldCharType="separate"/>
      </w:r>
      <w:r w:rsidR="00CE52BF">
        <w:rPr>
          <w:noProof/>
        </w:rPr>
        <w:t>10</w:t>
      </w:r>
      <w:r>
        <w:fldChar w:fldCharType="end"/>
      </w:r>
      <w:bookmarkEnd w:id="49"/>
      <w:bookmarkEnd w:id="50"/>
      <w:r>
        <w:t xml:space="preserve">: Summary of key adverse outcomes </w:t>
      </w:r>
      <w:r w:rsidRPr="0047250A">
        <w:t>across all trials</w:t>
      </w:r>
    </w:p>
    <w:tbl>
      <w:tblPr>
        <w:tblStyle w:val="TableGrid"/>
        <w:tblW w:w="5000" w:type="pct"/>
        <w:tblLook w:val="04A0" w:firstRow="1" w:lastRow="0" w:firstColumn="1" w:lastColumn="0" w:noHBand="0" w:noVBand="1"/>
      </w:tblPr>
      <w:tblGrid>
        <w:gridCol w:w="1836"/>
        <w:gridCol w:w="1423"/>
        <w:gridCol w:w="1839"/>
        <w:gridCol w:w="1553"/>
        <w:gridCol w:w="2355"/>
        <w:gridCol w:w="11"/>
      </w:tblGrid>
      <w:tr w:rsidR="002C1266" w:rsidRPr="00EB70F8" w14:paraId="3DED4F26" w14:textId="77777777">
        <w:trPr>
          <w:gridAfter w:val="1"/>
          <w:wAfter w:w="6" w:type="pct"/>
        </w:trPr>
        <w:tc>
          <w:tcPr>
            <w:tcW w:w="1018" w:type="pct"/>
            <w:shd w:val="clear" w:color="auto" w:fill="auto"/>
          </w:tcPr>
          <w:p w14:paraId="42E6B0A1" w14:textId="77777777" w:rsidR="002C1266" w:rsidRPr="00C54167" w:rsidRDefault="002C1266" w:rsidP="009571EF">
            <w:pPr>
              <w:pStyle w:val="Tabletext"/>
              <w:keepNext/>
              <w:keepLines/>
              <w:rPr>
                <w:b/>
                <w:bCs/>
              </w:rPr>
            </w:pPr>
            <w:r w:rsidRPr="00C54167">
              <w:rPr>
                <w:b/>
                <w:bCs/>
              </w:rPr>
              <w:t>Analysis</w:t>
            </w:r>
          </w:p>
        </w:tc>
        <w:tc>
          <w:tcPr>
            <w:tcW w:w="789" w:type="pct"/>
            <w:shd w:val="clear" w:color="auto" w:fill="auto"/>
          </w:tcPr>
          <w:p w14:paraId="2712E11D" w14:textId="77777777" w:rsidR="002C1266" w:rsidRPr="00C54167" w:rsidRDefault="002C1266" w:rsidP="009571EF">
            <w:pPr>
              <w:pStyle w:val="Tabletext"/>
              <w:keepNext/>
              <w:keepLines/>
              <w:rPr>
                <w:b/>
                <w:bCs/>
              </w:rPr>
            </w:pPr>
            <w:r w:rsidRPr="00C54167">
              <w:rPr>
                <w:b/>
                <w:bCs/>
              </w:rPr>
              <w:t xml:space="preserve">Trial ID </w:t>
            </w:r>
          </w:p>
        </w:tc>
        <w:tc>
          <w:tcPr>
            <w:tcW w:w="1020" w:type="pct"/>
            <w:shd w:val="clear" w:color="auto" w:fill="auto"/>
          </w:tcPr>
          <w:p w14:paraId="1A52DA19" w14:textId="77777777" w:rsidR="002C1266" w:rsidRPr="00C54167" w:rsidRDefault="002C1266" w:rsidP="009571EF">
            <w:pPr>
              <w:pStyle w:val="Tabletext"/>
              <w:keepNext/>
              <w:keepLines/>
              <w:jc w:val="center"/>
              <w:rPr>
                <w:b/>
                <w:bCs/>
              </w:rPr>
            </w:pPr>
            <w:r w:rsidRPr="00C54167">
              <w:rPr>
                <w:b/>
                <w:bCs/>
              </w:rPr>
              <w:t>Intervention, n/N (%)</w:t>
            </w:r>
          </w:p>
        </w:tc>
        <w:tc>
          <w:tcPr>
            <w:tcW w:w="861" w:type="pct"/>
            <w:shd w:val="clear" w:color="auto" w:fill="auto"/>
          </w:tcPr>
          <w:p w14:paraId="7785AC46" w14:textId="4AD7DC5C" w:rsidR="002C1266" w:rsidRPr="00C54167" w:rsidRDefault="000158DE" w:rsidP="009571EF">
            <w:pPr>
              <w:pStyle w:val="Tabletext"/>
              <w:keepNext/>
              <w:keepLines/>
              <w:jc w:val="center"/>
              <w:rPr>
                <w:b/>
                <w:bCs/>
              </w:rPr>
            </w:pPr>
            <w:r>
              <w:rPr>
                <w:b/>
                <w:bCs/>
              </w:rPr>
              <w:t>SoC (placebo)</w:t>
            </w:r>
            <w:r w:rsidR="002C1266" w:rsidRPr="00C54167">
              <w:rPr>
                <w:b/>
                <w:bCs/>
              </w:rPr>
              <w:t>, n/N (%)</w:t>
            </w:r>
          </w:p>
        </w:tc>
        <w:tc>
          <w:tcPr>
            <w:tcW w:w="1306" w:type="pct"/>
            <w:shd w:val="clear" w:color="auto" w:fill="auto"/>
          </w:tcPr>
          <w:p w14:paraId="5E2EE64D" w14:textId="77777777" w:rsidR="002C1266" w:rsidRPr="00C54167" w:rsidRDefault="002C1266" w:rsidP="009571EF">
            <w:pPr>
              <w:pStyle w:val="Tabletext"/>
              <w:keepNext/>
              <w:keepLines/>
              <w:jc w:val="center"/>
              <w:rPr>
                <w:b/>
                <w:bCs/>
              </w:rPr>
            </w:pPr>
            <w:r w:rsidRPr="00C54167">
              <w:rPr>
                <w:b/>
                <w:bCs/>
              </w:rPr>
              <w:t>OR [95% CI]; p-value</w:t>
            </w:r>
          </w:p>
          <w:p w14:paraId="4845EEF7" w14:textId="77777777" w:rsidR="002C1266" w:rsidRPr="00C54167" w:rsidRDefault="002C1266" w:rsidP="009571EF">
            <w:pPr>
              <w:pStyle w:val="Tabletext"/>
              <w:keepNext/>
              <w:keepLines/>
              <w:jc w:val="center"/>
              <w:rPr>
                <w:b/>
                <w:bCs/>
              </w:rPr>
            </w:pPr>
            <w:r w:rsidRPr="00C54167">
              <w:rPr>
                <w:b/>
                <w:bCs/>
              </w:rPr>
              <w:t>&lt;1 favour Intervention</w:t>
            </w:r>
          </w:p>
        </w:tc>
      </w:tr>
      <w:tr w:rsidR="002C1266" w:rsidRPr="00EB70F8" w14:paraId="75918CF4" w14:textId="77777777">
        <w:tc>
          <w:tcPr>
            <w:tcW w:w="5000" w:type="pct"/>
            <w:gridSpan w:val="6"/>
            <w:shd w:val="clear" w:color="auto" w:fill="F2F2F2" w:themeFill="background1" w:themeFillShade="F2"/>
          </w:tcPr>
          <w:p w14:paraId="54024157" w14:textId="77777777" w:rsidR="002C1266" w:rsidRPr="00C54167" w:rsidRDefault="002C1266" w:rsidP="009571EF">
            <w:pPr>
              <w:pStyle w:val="Tabletext"/>
              <w:keepNext/>
              <w:keepLines/>
              <w:rPr>
                <w:b/>
                <w:bCs/>
              </w:rPr>
            </w:pPr>
            <w:r w:rsidRPr="00C54167">
              <w:rPr>
                <w:b/>
                <w:bCs/>
              </w:rPr>
              <w:t>Any AE</w:t>
            </w:r>
          </w:p>
        </w:tc>
      </w:tr>
      <w:tr w:rsidR="002C1266" w:rsidRPr="00EB70F8" w14:paraId="4715B4BF" w14:textId="77777777">
        <w:tc>
          <w:tcPr>
            <w:tcW w:w="1018" w:type="pct"/>
            <w:vMerge w:val="restart"/>
            <w:shd w:val="clear" w:color="auto" w:fill="auto"/>
          </w:tcPr>
          <w:p w14:paraId="6BD9717C" w14:textId="77777777" w:rsidR="002C1266" w:rsidRPr="00EB70F8" w:rsidRDefault="002C1266" w:rsidP="009571EF">
            <w:pPr>
              <w:pStyle w:val="Tabletext"/>
              <w:keepNext/>
              <w:keepLines/>
            </w:pPr>
            <w:r w:rsidRPr="00EB70F8">
              <w:t xml:space="preserve">OMA vs. PBO </w:t>
            </w:r>
          </w:p>
        </w:tc>
        <w:tc>
          <w:tcPr>
            <w:tcW w:w="789" w:type="pct"/>
            <w:shd w:val="clear" w:color="auto" w:fill="auto"/>
          </w:tcPr>
          <w:p w14:paraId="0FE3A433" w14:textId="77777777" w:rsidR="002C1266" w:rsidRPr="00EB70F8" w:rsidRDefault="002C1266" w:rsidP="009571EF">
            <w:pPr>
              <w:pStyle w:val="Tabletext"/>
              <w:keepNext/>
              <w:keepLines/>
            </w:pPr>
            <w:r w:rsidRPr="00EB70F8">
              <w:t xml:space="preserve">POLYP 1 </w:t>
            </w:r>
          </w:p>
        </w:tc>
        <w:tc>
          <w:tcPr>
            <w:tcW w:w="1020" w:type="pct"/>
            <w:shd w:val="clear" w:color="auto" w:fill="auto"/>
          </w:tcPr>
          <w:p w14:paraId="2B1EFFA3" w14:textId="77777777" w:rsidR="002C1266" w:rsidRPr="00EB70F8" w:rsidRDefault="002C1266" w:rsidP="009571EF">
            <w:pPr>
              <w:pStyle w:val="Tabletext"/>
              <w:keepNext/>
              <w:keepLines/>
              <w:jc w:val="center"/>
            </w:pPr>
            <w:r w:rsidRPr="00EB70F8">
              <w:t>36/72 (50.0)</w:t>
            </w:r>
          </w:p>
        </w:tc>
        <w:tc>
          <w:tcPr>
            <w:tcW w:w="861" w:type="pct"/>
            <w:shd w:val="clear" w:color="auto" w:fill="auto"/>
          </w:tcPr>
          <w:p w14:paraId="5F41D226" w14:textId="77777777" w:rsidR="002C1266" w:rsidRPr="00EB70F8" w:rsidRDefault="002C1266" w:rsidP="009571EF">
            <w:pPr>
              <w:pStyle w:val="Tabletext"/>
              <w:keepNext/>
              <w:keepLines/>
              <w:jc w:val="center"/>
            </w:pPr>
            <w:r w:rsidRPr="00EB70F8">
              <w:t>41/66 (62.1)</w:t>
            </w:r>
          </w:p>
        </w:tc>
        <w:tc>
          <w:tcPr>
            <w:tcW w:w="1312" w:type="pct"/>
            <w:gridSpan w:val="2"/>
            <w:shd w:val="clear" w:color="auto" w:fill="auto"/>
          </w:tcPr>
          <w:p w14:paraId="7B27F602" w14:textId="77777777" w:rsidR="002C1266" w:rsidRPr="00EB70F8" w:rsidRDefault="002C1266" w:rsidP="009571EF">
            <w:pPr>
              <w:pStyle w:val="Tabletext"/>
              <w:keepNext/>
              <w:keepLines/>
              <w:jc w:val="center"/>
            </w:pPr>
            <w:r w:rsidRPr="00EB70F8">
              <w:t>0.61 [0.31, 1.20]</w:t>
            </w:r>
          </w:p>
        </w:tc>
      </w:tr>
      <w:tr w:rsidR="002C1266" w:rsidRPr="00EB70F8" w14:paraId="39E2F39C" w14:textId="77777777">
        <w:tc>
          <w:tcPr>
            <w:tcW w:w="1018" w:type="pct"/>
            <w:vMerge/>
            <w:shd w:val="clear" w:color="auto" w:fill="auto"/>
          </w:tcPr>
          <w:p w14:paraId="26C3CD58" w14:textId="77777777" w:rsidR="002C1266" w:rsidRPr="00EB70F8" w:rsidRDefault="002C1266" w:rsidP="009571EF">
            <w:pPr>
              <w:pStyle w:val="Tabletext"/>
              <w:keepNext/>
              <w:keepLines/>
            </w:pPr>
          </w:p>
        </w:tc>
        <w:tc>
          <w:tcPr>
            <w:tcW w:w="789" w:type="pct"/>
            <w:shd w:val="clear" w:color="auto" w:fill="auto"/>
          </w:tcPr>
          <w:p w14:paraId="40A96729" w14:textId="77777777" w:rsidR="002C1266" w:rsidRPr="00EB70F8" w:rsidRDefault="002C1266" w:rsidP="009571EF">
            <w:pPr>
              <w:pStyle w:val="Tabletext"/>
              <w:keepNext/>
              <w:keepLines/>
            </w:pPr>
            <w:r w:rsidRPr="00EB70F8">
              <w:t>POLYP 2</w:t>
            </w:r>
          </w:p>
        </w:tc>
        <w:tc>
          <w:tcPr>
            <w:tcW w:w="1020" w:type="pct"/>
            <w:shd w:val="clear" w:color="auto" w:fill="auto"/>
          </w:tcPr>
          <w:p w14:paraId="3DE76098" w14:textId="77777777" w:rsidR="002C1266" w:rsidRPr="00EB70F8" w:rsidRDefault="002C1266" w:rsidP="009571EF">
            <w:pPr>
              <w:pStyle w:val="Tabletext"/>
              <w:keepNext/>
              <w:keepLines/>
              <w:jc w:val="center"/>
            </w:pPr>
            <w:r w:rsidRPr="00EB70F8">
              <w:t>32/63 (50.8)</w:t>
            </w:r>
          </w:p>
        </w:tc>
        <w:tc>
          <w:tcPr>
            <w:tcW w:w="861" w:type="pct"/>
            <w:shd w:val="clear" w:color="auto" w:fill="auto"/>
          </w:tcPr>
          <w:p w14:paraId="707172BE" w14:textId="77777777" w:rsidR="002C1266" w:rsidRPr="00EB70F8" w:rsidRDefault="002C1266" w:rsidP="009571EF">
            <w:pPr>
              <w:pStyle w:val="Tabletext"/>
              <w:keepNext/>
              <w:keepLines/>
              <w:jc w:val="center"/>
            </w:pPr>
            <w:r w:rsidRPr="00EB70F8">
              <w:t>35/64 (54.7)</w:t>
            </w:r>
          </w:p>
        </w:tc>
        <w:tc>
          <w:tcPr>
            <w:tcW w:w="1312" w:type="pct"/>
            <w:gridSpan w:val="2"/>
            <w:shd w:val="clear" w:color="auto" w:fill="auto"/>
          </w:tcPr>
          <w:p w14:paraId="4B4BE6D2" w14:textId="77777777" w:rsidR="002C1266" w:rsidRPr="00EB70F8" w:rsidRDefault="002C1266" w:rsidP="009571EF">
            <w:pPr>
              <w:pStyle w:val="Tabletext"/>
              <w:keepNext/>
              <w:keepLines/>
              <w:jc w:val="center"/>
            </w:pPr>
            <w:r w:rsidRPr="00EB70F8">
              <w:t>0.86 [0.43, 1.72]</w:t>
            </w:r>
          </w:p>
        </w:tc>
      </w:tr>
      <w:tr w:rsidR="002C1266" w:rsidRPr="00EB70F8" w14:paraId="12B54C95" w14:textId="77777777">
        <w:tc>
          <w:tcPr>
            <w:tcW w:w="1018" w:type="pct"/>
            <w:vMerge/>
            <w:shd w:val="clear" w:color="auto" w:fill="auto"/>
          </w:tcPr>
          <w:p w14:paraId="52A88209" w14:textId="77777777" w:rsidR="002C1266" w:rsidRPr="00EB70F8" w:rsidRDefault="002C1266" w:rsidP="009571EF">
            <w:pPr>
              <w:pStyle w:val="Tabletext"/>
              <w:keepNext/>
              <w:keepLines/>
            </w:pPr>
          </w:p>
        </w:tc>
        <w:tc>
          <w:tcPr>
            <w:tcW w:w="2670" w:type="pct"/>
            <w:gridSpan w:val="3"/>
            <w:shd w:val="clear" w:color="auto" w:fill="auto"/>
          </w:tcPr>
          <w:p w14:paraId="25916F5C" w14:textId="77777777" w:rsidR="002C1266" w:rsidRPr="00EB70F8" w:rsidRDefault="002C1266" w:rsidP="009571EF">
            <w:pPr>
              <w:pStyle w:val="Tabletext"/>
              <w:keepNext/>
              <w:keepLines/>
            </w:pPr>
            <w:r w:rsidRPr="00EB70F8">
              <w:t>POLYP 1/POLYP 2 MA k=2</w:t>
            </w:r>
          </w:p>
        </w:tc>
        <w:tc>
          <w:tcPr>
            <w:tcW w:w="1312" w:type="pct"/>
            <w:gridSpan w:val="2"/>
            <w:shd w:val="clear" w:color="auto" w:fill="auto"/>
          </w:tcPr>
          <w:p w14:paraId="5769D8F6" w14:textId="77777777" w:rsidR="002C1266" w:rsidRPr="00EB70F8" w:rsidRDefault="002C1266" w:rsidP="009571EF">
            <w:pPr>
              <w:pStyle w:val="Tabletext"/>
              <w:keepNext/>
              <w:keepLines/>
              <w:jc w:val="center"/>
            </w:pPr>
            <w:r w:rsidRPr="00EB70F8">
              <w:t>0.72 [0.44, 1.17]</w:t>
            </w:r>
          </w:p>
        </w:tc>
      </w:tr>
      <w:tr w:rsidR="002C1266" w:rsidRPr="00EB70F8" w14:paraId="702EF11E" w14:textId="77777777">
        <w:tc>
          <w:tcPr>
            <w:tcW w:w="1018" w:type="pct"/>
            <w:vMerge w:val="restart"/>
            <w:shd w:val="clear" w:color="auto" w:fill="auto"/>
          </w:tcPr>
          <w:p w14:paraId="5047A33B" w14:textId="77777777" w:rsidR="002C1266" w:rsidRPr="00EB70F8" w:rsidRDefault="002C1266" w:rsidP="009571EF">
            <w:pPr>
              <w:pStyle w:val="Tabletext"/>
              <w:keepNext/>
              <w:keepLines/>
            </w:pPr>
            <w:r w:rsidRPr="00EB70F8">
              <w:t xml:space="preserve">MEPO vs. PBO </w:t>
            </w:r>
          </w:p>
        </w:tc>
        <w:tc>
          <w:tcPr>
            <w:tcW w:w="789" w:type="pct"/>
            <w:shd w:val="clear" w:color="auto" w:fill="auto"/>
          </w:tcPr>
          <w:p w14:paraId="674DE3A0" w14:textId="77777777" w:rsidR="002C1266" w:rsidRPr="00EB70F8" w:rsidRDefault="002C1266" w:rsidP="009571EF">
            <w:pPr>
              <w:pStyle w:val="Tabletext"/>
              <w:keepNext/>
              <w:keepLines/>
            </w:pPr>
            <w:r w:rsidRPr="00EB70F8">
              <w:t>SYNAPSE</w:t>
            </w:r>
          </w:p>
        </w:tc>
        <w:tc>
          <w:tcPr>
            <w:tcW w:w="1020" w:type="pct"/>
            <w:shd w:val="clear" w:color="auto" w:fill="auto"/>
          </w:tcPr>
          <w:p w14:paraId="32225F1F" w14:textId="77777777" w:rsidR="002C1266" w:rsidRPr="00EB70F8" w:rsidRDefault="002C1266" w:rsidP="009571EF">
            <w:pPr>
              <w:pStyle w:val="Tabletext"/>
              <w:keepNext/>
              <w:keepLines/>
              <w:jc w:val="center"/>
            </w:pPr>
            <w:r w:rsidRPr="00EB70F8">
              <w:t>169/206 (82.0)</w:t>
            </w:r>
          </w:p>
        </w:tc>
        <w:tc>
          <w:tcPr>
            <w:tcW w:w="861" w:type="pct"/>
            <w:shd w:val="clear" w:color="auto" w:fill="auto"/>
          </w:tcPr>
          <w:p w14:paraId="6BA7F49C" w14:textId="77777777" w:rsidR="002C1266" w:rsidRPr="00EB70F8" w:rsidRDefault="002C1266" w:rsidP="009571EF">
            <w:pPr>
              <w:pStyle w:val="Tabletext"/>
              <w:keepNext/>
              <w:keepLines/>
              <w:jc w:val="center"/>
            </w:pPr>
            <w:r w:rsidRPr="00EB70F8">
              <w:t>168/201 (83.6)</w:t>
            </w:r>
          </w:p>
        </w:tc>
        <w:tc>
          <w:tcPr>
            <w:tcW w:w="1312" w:type="pct"/>
            <w:gridSpan w:val="2"/>
            <w:shd w:val="clear" w:color="auto" w:fill="auto"/>
          </w:tcPr>
          <w:p w14:paraId="25600866" w14:textId="77777777" w:rsidR="002C1266" w:rsidRPr="00EB70F8" w:rsidRDefault="002C1266" w:rsidP="009571EF">
            <w:pPr>
              <w:pStyle w:val="Tabletext"/>
              <w:keepNext/>
              <w:keepLines/>
              <w:jc w:val="center"/>
            </w:pPr>
            <w:r w:rsidRPr="00EB70F8">
              <w:t>1.31 [0.62, 2.74]</w:t>
            </w:r>
          </w:p>
        </w:tc>
      </w:tr>
      <w:tr w:rsidR="002C1266" w:rsidRPr="00EB70F8" w14:paraId="279DA237" w14:textId="77777777">
        <w:tc>
          <w:tcPr>
            <w:tcW w:w="1018" w:type="pct"/>
            <w:vMerge/>
            <w:shd w:val="clear" w:color="auto" w:fill="auto"/>
          </w:tcPr>
          <w:p w14:paraId="53E4F15A" w14:textId="77777777" w:rsidR="002C1266" w:rsidRPr="00EB70F8" w:rsidRDefault="002C1266" w:rsidP="009571EF">
            <w:pPr>
              <w:pStyle w:val="Tabletext"/>
              <w:keepNext/>
              <w:keepLines/>
            </w:pPr>
          </w:p>
        </w:tc>
        <w:tc>
          <w:tcPr>
            <w:tcW w:w="789" w:type="pct"/>
            <w:shd w:val="clear" w:color="auto" w:fill="auto"/>
          </w:tcPr>
          <w:p w14:paraId="110BE171" w14:textId="77777777" w:rsidR="002C1266" w:rsidRPr="00EB70F8" w:rsidRDefault="002C1266" w:rsidP="009571EF">
            <w:pPr>
              <w:pStyle w:val="Tabletext"/>
              <w:keepNext/>
              <w:keepLines/>
            </w:pPr>
            <w:r w:rsidRPr="00EB70F8">
              <w:t xml:space="preserve">MERIT </w:t>
            </w:r>
          </w:p>
        </w:tc>
        <w:tc>
          <w:tcPr>
            <w:tcW w:w="1020" w:type="pct"/>
            <w:shd w:val="clear" w:color="auto" w:fill="auto"/>
          </w:tcPr>
          <w:p w14:paraId="0FD45411" w14:textId="77777777" w:rsidR="002C1266" w:rsidRPr="00EB70F8" w:rsidRDefault="002C1266" w:rsidP="009571EF">
            <w:pPr>
              <w:pStyle w:val="Tabletext"/>
              <w:keepNext/>
              <w:keepLines/>
              <w:jc w:val="center"/>
            </w:pPr>
            <w:r w:rsidRPr="00EB70F8">
              <w:t>68/84 (81.0)</w:t>
            </w:r>
          </w:p>
        </w:tc>
        <w:tc>
          <w:tcPr>
            <w:tcW w:w="861" w:type="pct"/>
            <w:shd w:val="clear" w:color="auto" w:fill="auto"/>
          </w:tcPr>
          <w:p w14:paraId="5FA9C380" w14:textId="77777777" w:rsidR="002C1266" w:rsidRPr="00EB70F8" w:rsidRDefault="002C1266" w:rsidP="009571EF">
            <w:pPr>
              <w:pStyle w:val="Tabletext"/>
              <w:keepNext/>
              <w:keepLines/>
              <w:jc w:val="center"/>
            </w:pPr>
            <w:r w:rsidRPr="00EB70F8">
              <w:t>65/85 (76.5)</w:t>
            </w:r>
          </w:p>
        </w:tc>
        <w:tc>
          <w:tcPr>
            <w:tcW w:w="1312" w:type="pct"/>
            <w:gridSpan w:val="2"/>
            <w:shd w:val="clear" w:color="auto" w:fill="auto"/>
          </w:tcPr>
          <w:p w14:paraId="0EBDEF9A" w14:textId="77777777" w:rsidR="002C1266" w:rsidRPr="00EB70F8" w:rsidRDefault="002C1266" w:rsidP="009571EF">
            <w:pPr>
              <w:pStyle w:val="Tabletext"/>
              <w:keepNext/>
              <w:keepLines/>
              <w:jc w:val="center"/>
            </w:pPr>
            <w:r w:rsidRPr="00EB70F8">
              <w:t>0.90 [0.54, 1.50]</w:t>
            </w:r>
          </w:p>
        </w:tc>
      </w:tr>
      <w:tr w:rsidR="002C1266" w:rsidRPr="00EB70F8" w14:paraId="35F8533F" w14:textId="77777777">
        <w:tc>
          <w:tcPr>
            <w:tcW w:w="1018" w:type="pct"/>
            <w:vMerge/>
            <w:shd w:val="clear" w:color="auto" w:fill="auto"/>
          </w:tcPr>
          <w:p w14:paraId="6564E574" w14:textId="77777777" w:rsidR="002C1266" w:rsidRPr="00EB70F8" w:rsidRDefault="002C1266" w:rsidP="009571EF">
            <w:pPr>
              <w:pStyle w:val="Tabletext"/>
              <w:keepNext/>
              <w:keepLines/>
            </w:pPr>
          </w:p>
        </w:tc>
        <w:tc>
          <w:tcPr>
            <w:tcW w:w="2670" w:type="pct"/>
            <w:gridSpan w:val="3"/>
            <w:shd w:val="clear" w:color="auto" w:fill="auto"/>
          </w:tcPr>
          <w:p w14:paraId="6AC38C4C" w14:textId="77777777" w:rsidR="002C1266" w:rsidRPr="00EB70F8" w:rsidRDefault="002C1266" w:rsidP="009571EF">
            <w:pPr>
              <w:pStyle w:val="Tabletext"/>
              <w:keepNext/>
              <w:keepLines/>
            </w:pPr>
            <w:r w:rsidRPr="00EB70F8">
              <w:t>SYNAPSE/MERIT MA k=2</w:t>
            </w:r>
          </w:p>
        </w:tc>
        <w:tc>
          <w:tcPr>
            <w:tcW w:w="1312" w:type="pct"/>
            <w:gridSpan w:val="2"/>
            <w:shd w:val="clear" w:color="auto" w:fill="auto"/>
          </w:tcPr>
          <w:p w14:paraId="6AEA34CC" w14:textId="77777777" w:rsidR="002C1266" w:rsidRPr="00EB70F8" w:rsidRDefault="002C1266" w:rsidP="009571EF">
            <w:pPr>
              <w:pStyle w:val="Tabletext"/>
              <w:keepNext/>
              <w:keepLines/>
              <w:jc w:val="center"/>
            </w:pPr>
            <w:r w:rsidRPr="00EB70F8">
              <w:t>1.01 [0.66, 1.55]</w:t>
            </w:r>
          </w:p>
        </w:tc>
      </w:tr>
      <w:tr w:rsidR="002C1266" w:rsidRPr="00EB70F8" w14:paraId="7F09AD85" w14:textId="77777777">
        <w:tc>
          <w:tcPr>
            <w:tcW w:w="1018" w:type="pct"/>
            <w:shd w:val="clear" w:color="auto" w:fill="D9D9D9" w:themeFill="background1" w:themeFillShade="D9"/>
          </w:tcPr>
          <w:p w14:paraId="129E6956" w14:textId="77777777" w:rsidR="002C1266" w:rsidRPr="00EB70F8" w:rsidRDefault="002C1266" w:rsidP="009571EF">
            <w:pPr>
              <w:pStyle w:val="Tabletext"/>
              <w:keepNext/>
              <w:keepLines/>
            </w:pPr>
            <w:r w:rsidRPr="00EB70F8">
              <w:t>ITC OMA vs. MEPO</w:t>
            </w:r>
          </w:p>
        </w:tc>
        <w:tc>
          <w:tcPr>
            <w:tcW w:w="2670" w:type="pct"/>
            <w:gridSpan w:val="3"/>
            <w:shd w:val="clear" w:color="auto" w:fill="D9D9D9" w:themeFill="background1" w:themeFillShade="D9"/>
          </w:tcPr>
          <w:p w14:paraId="623BCCBA" w14:textId="77777777" w:rsidR="002C1266" w:rsidRPr="00EB70F8" w:rsidRDefault="002C1266" w:rsidP="009571EF">
            <w:pPr>
              <w:pStyle w:val="Tabletext"/>
              <w:keepNext/>
              <w:keepLines/>
            </w:pPr>
            <w:r w:rsidRPr="00EB70F8">
              <w:t>POLYP 1/2 (N=135) vs. SYNAPSE/MERIT (N=290) MA</w:t>
            </w:r>
          </w:p>
        </w:tc>
        <w:tc>
          <w:tcPr>
            <w:tcW w:w="1312" w:type="pct"/>
            <w:gridSpan w:val="2"/>
            <w:shd w:val="clear" w:color="auto" w:fill="D9D9D9" w:themeFill="background1" w:themeFillShade="D9"/>
          </w:tcPr>
          <w:p w14:paraId="2B29D629" w14:textId="77777777" w:rsidR="002C1266" w:rsidRPr="00EB70F8" w:rsidRDefault="002C1266" w:rsidP="009571EF">
            <w:pPr>
              <w:pStyle w:val="Tabletext"/>
              <w:keepNext/>
              <w:keepLines/>
              <w:jc w:val="center"/>
            </w:pPr>
            <w:r w:rsidRPr="00EB70F8">
              <w:t>0.71 [0.37, 1.36]; p=0.3068</w:t>
            </w:r>
          </w:p>
        </w:tc>
      </w:tr>
      <w:tr w:rsidR="002C1266" w:rsidRPr="00EB70F8" w14:paraId="4F3E90C1" w14:textId="77777777">
        <w:tc>
          <w:tcPr>
            <w:tcW w:w="5000" w:type="pct"/>
            <w:gridSpan w:val="6"/>
            <w:shd w:val="clear" w:color="auto" w:fill="F2F2F2" w:themeFill="background1" w:themeFillShade="F2"/>
          </w:tcPr>
          <w:p w14:paraId="3152C439" w14:textId="77777777" w:rsidR="002C1266" w:rsidRPr="00C54167" w:rsidRDefault="002C1266" w:rsidP="009571EF">
            <w:pPr>
              <w:pStyle w:val="Tabletext"/>
              <w:keepNext/>
              <w:keepLines/>
              <w:rPr>
                <w:b/>
                <w:bCs/>
              </w:rPr>
            </w:pPr>
            <w:r w:rsidRPr="00C54167">
              <w:rPr>
                <w:b/>
                <w:bCs/>
              </w:rPr>
              <w:t>Any treatment-related AE</w:t>
            </w:r>
          </w:p>
        </w:tc>
      </w:tr>
      <w:tr w:rsidR="002C1266" w:rsidRPr="00EB70F8" w14:paraId="152F9DDB" w14:textId="77777777">
        <w:tc>
          <w:tcPr>
            <w:tcW w:w="1018" w:type="pct"/>
            <w:vMerge w:val="restart"/>
            <w:shd w:val="clear" w:color="auto" w:fill="auto"/>
          </w:tcPr>
          <w:p w14:paraId="2E4411FC" w14:textId="77777777" w:rsidR="002C1266" w:rsidRPr="00EB70F8" w:rsidRDefault="002C1266" w:rsidP="009571EF">
            <w:pPr>
              <w:pStyle w:val="Tabletext"/>
              <w:keepNext/>
              <w:keepLines/>
            </w:pPr>
            <w:r w:rsidRPr="00EB70F8">
              <w:t xml:space="preserve">OMA vs. PBO </w:t>
            </w:r>
          </w:p>
        </w:tc>
        <w:tc>
          <w:tcPr>
            <w:tcW w:w="789" w:type="pct"/>
            <w:shd w:val="clear" w:color="auto" w:fill="auto"/>
          </w:tcPr>
          <w:p w14:paraId="0472AA2C" w14:textId="77777777" w:rsidR="002C1266" w:rsidRPr="00EB70F8" w:rsidRDefault="002C1266" w:rsidP="009571EF">
            <w:pPr>
              <w:pStyle w:val="Tabletext"/>
              <w:keepNext/>
              <w:keepLines/>
            </w:pPr>
            <w:r w:rsidRPr="00EB70F8">
              <w:t xml:space="preserve">POLYP 1 </w:t>
            </w:r>
          </w:p>
        </w:tc>
        <w:tc>
          <w:tcPr>
            <w:tcW w:w="1020" w:type="pct"/>
            <w:shd w:val="clear" w:color="auto" w:fill="auto"/>
          </w:tcPr>
          <w:p w14:paraId="3DF7013F" w14:textId="77777777" w:rsidR="002C1266" w:rsidRPr="00EB70F8" w:rsidRDefault="002C1266" w:rsidP="009571EF">
            <w:pPr>
              <w:pStyle w:val="Tabletext"/>
              <w:keepNext/>
              <w:keepLines/>
              <w:jc w:val="center"/>
            </w:pPr>
            <w:r w:rsidRPr="00EB70F8">
              <w:t>3/72 (4.2)</w:t>
            </w:r>
          </w:p>
        </w:tc>
        <w:tc>
          <w:tcPr>
            <w:tcW w:w="861" w:type="pct"/>
            <w:shd w:val="clear" w:color="auto" w:fill="auto"/>
          </w:tcPr>
          <w:p w14:paraId="47F7AE9E" w14:textId="77777777" w:rsidR="002C1266" w:rsidRPr="00EB70F8" w:rsidRDefault="002C1266" w:rsidP="009571EF">
            <w:pPr>
              <w:pStyle w:val="Tabletext"/>
              <w:keepNext/>
              <w:keepLines/>
              <w:jc w:val="center"/>
            </w:pPr>
            <w:r w:rsidRPr="00EB70F8">
              <w:t>1/66 (1.5)</w:t>
            </w:r>
          </w:p>
        </w:tc>
        <w:tc>
          <w:tcPr>
            <w:tcW w:w="1312" w:type="pct"/>
            <w:gridSpan w:val="2"/>
            <w:shd w:val="clear" w:color="auto" w:fill="auto"/>
          </w:tcPr>
          <w:p w14:paraId="03F2D059" w14:textId="77777777" w:rsidR="002C1266" w:rsidRPr="00EB70F8" w:rsidRDefault="002C1266" w:rsidP="009571EF">
            <w:pPr>
              <w:pStyle w:val="Tabletext"/>
              <w:keepNext/>
              <w:keepLines/>
              <w:jc w:val="center"/>
            </w:pPr>
            <w:r w:rsidRPr="00EB70F8">
              <w:t>2.83 [0.29, 27.86]</w:t>
            </w:r>
          </w:p>
        </w:tc>
      </w:tr>
      <w:tr w:rsidR="002C1266" w:rsidRPr="00EB70F8" w14:paraId="3D5CC5CE" w14:textId="77777777">
        <w:tc>
          <w:tcPr>
            <w:tcW w:w="1018" w:type="pct"/>
            <w:vMerge/>
            <w:shd w:val="clear" w:color="auto" w:fill="auto"/>
          </w:tcPr>
          <w:p w14:paraId="5EC7A4E3" w14:textId="77777777" w:rsidR="002C1266" w:rsidRPr="00EB70F8" w:rsidRDefault="002C1266" w:rsidP="009571EF">
            <w:pPr>
              <w:pStyle w:val="Tabletext"/>
              <w:keepNext/>
              <w:keepLines/>
            </w:pPr>
          </w:p>
        </w:tc>
        <w:tc>
          <w:tcPr>
            <w:tcW w:w="789" w:type="pct"/>
            <w:shd w:val="clear" w:color="auto" w:fill="auto"/>
          </w:tcPr>
          <w:p w14:paraId="2C0D7980" w14:textId="77777777" w:rsidR="002C1266" w:rsidRPr="00EB70F8" w:rsidRDefault="002C1266" w:rsidP="009571EF">
            <w:pPr>
              <w:pStyle w:val="Tabletext"/>
              <w:keepNext/>
              <w:keepLines/>
            </w:pPr>
            <w:r w:rsidRPr="00EB70F8">
              <w:t>POLYP 2</w:t>
            </w:r>
          </w:p>
        </w:tc>
        <w:tc>
          <w:tcPr>
            <w:tcW w:w="1020" w:type="pct"/>
            <w:shd w:val="clear" w:color="auto" w:fill="auto"/>
          </w:tcPr>
          <w:p w14:paraId="1BFADF98" w14:textId="77777777" w:rsidR="002C1266" w:rsidRPr="00EB70F8" w:rsidRDefault="002C1266" w:rsidP="009571EF">
            <w:pPr>
              <w:pStyle w:val="Tabletext"/>
              <w:keepNext/>
              <w:keepLines/>
              <w:jc w:val="center"/>
            </w:pPr>
            <w:r w:rsidRPr="00EB70F8">
              <w:t>6/63 (9.5)</w:t>
            </w:r>
          </w:p>
        </w:tc>
        <w:tc>
          <w:tcPr>
            <w:tcW w:w="861" w:type="pct"/>
            <w:shd w:val="clear" w:color="auto" w:fill="auto"/>
          </w:tcPr>
          <w:p w14:paraId="026097A0" w14:textId="77777777" w:rsidR="002C1266" w:rsidRPr="00EB70F8" w:rsidRDefault="002C1266" w:rsidP="009571EF">
            <w:pPr>
              <w:pStyle w:val="Tabletext"/>
              <w:keepNext/>
              <w:keepLines/>
              <w:jc w:val="center"/>
            </w:pPr>
            <w:r w:rsidRPr="00EB70F8">
              <w:t>4/64 (6.3)</w:t>
            </w:r>
          </w:p>
        </w:tc>
        <w:tc>
          <w:tcPr>
            <w:tcW w:w="1312" w:type="pct"/>
            <w:gridSpan w:val="2"/>
            <w:shd w:val="clear" w:color="auto" w:fill="auto"/>
          </w:tcPr>
          <w:p w14:paraId="4EA57A97" w14:textId="77777777" w:rsidR="002C1266" w:rsidRPr="00EB70F8" w:rsidRDefault="002C1266" w:rsidP="009571EF">
            <w:pPr>
              <w:pStyle w:val="Tabletext"/>
              <w:keepNext/>
              <w:keepLines/>
              <w:jc w:val="center"/>
            </w:pPr>
            <w:r w:rsidRPr="00EB70F8">
              <w:t>1.58 [0.42, 5.89]</w:t>
            </w:r>
          </w:p>
        </w:tc>
      </w:tr>
      <w:tr w:rsidR="002C1266" w:rsidRPr="00EB70F8" w14:paraId="4169D252" w14:textId="77777777">
        <w:tc>
          <w:tcPr>
            <w:tcW w:w="1018" w:type="pct"/>
            <w:vMerge/>
            <w:shd w:val="clear" w:color="auto" w:fill="auto"/>
          </w:tcPr>
          <w:p w14:paraId="2B1D3D3D" w14:textId="77777777" w:rsidR="002C1266" w:rsidRPr="00EB70F8" w:rsidRDefault="002C1266" w:rsidP="009571EF">
            <w:pPr>
              <w:pStyle w:val="Tabletext"/>
              <w:keepNext/>
              <w:keepLines/>
            </w:pPr>
          </w:p>
        </w:tc>
        <w:tc>
          <w:tcPr>
            <w:tcW w:w="2670" w:type="pct"/>
            <w:gridSpan w:val="3"/>
            <w:shd w:val="clear" w:color="auto" w:fill="auto"/>
          </w:tcPr>
          <w:p w14:paraId="1BC318FD" w14:textId="77777777" w:rsidR="002C1266" w:rsidRPr="00EB70F8" w:rsidRDefault="002C1266" w:rsidP="009571EF">
            <w:pPr>
              <w:pStyle w:val="Tabletext"/>
              <w:keepNext/>
              <w:keepLines/>
            </w:pPr>
            <w:r w:rsidRPr="00EB70F8">
              <w:t>POLYP 1/POLYP 2 MA k=2</w:t>
            </w:r>
          </w:p>
        </w:tc>
        <w:tc>
          <w:tcPr>
            <w:tcW w:w="1312" w:type="pct"/>
            <w:gridSpan w:val="2"/>
            <w:shd w:val="clear" w:color="auto" w:fill="auto"/>
          </w:tcPr>
          <w:p w14:paraId="26A274DC" w14:textId="77777777" w:rsidR="002C1266" w:rsidRPr="00EB70F8" w:rsidRDefault="002C1266" w:rsidP="009571EF">
            <w:pPr>
              <w:pStyle w:val="Tabletext"/>
              <w:keepNext/>
              <w:keepLines/>
              <w:jc w:val="center"/>
            </w:pPr>
            <w:r w:rsidRPr="00EB70F8">
              <w:t>1.82 [0.58, 5.71]</w:t>
            </w:r>
          </w:p>
        </w:tc>
      </w:tr>
      <w:tr w:rsidR="002C1266" w:rsidRPr="00EB70F8" w14:paraId="4FD27AB2" w14:textId="77777777">
        <w:tc>
          <w:tcPr>
            <w:tcW w:w="1018" w:type="pct"/>
            <w:vMerge w:val="restart"/>
            <w:shd w:val="clear" w:color="auto" w:fill="auto"/>
          </w:tcPr>
          <w:p w14:paraId="13B668B0" w14:textId="77777777" w:rsidR="002C1266" w:rsidRPr="00EB70F8" w:rsidRDefault="002C1266" w:rsidP="009571EF">
            <w:pPr>
              <w:pStyle w:val="Tabletext"/>
              <w:keepNext/>
              <w:keepLines/>
            </w:pPr>
            <w:r w:rsidRPr="00EB70F8">
              <w:t xml:space="preserve">MEPO vs. PBO </w:t>
            </w:r>
          </w:p>
        </w:tc>
        <w:tc>
          <w:tcPr>
            <w:tcW w:w="789" w:type="pct"/>
            <w:shd w:val="clear" w:color="auto" w:fill="auto"/>
          </w:tcPr>
          <w:p w14:paraId="57DAD3B2" w14:textId="77777777" w:rsidR="002C1266" w:rsidRPr="00EB70F8" w:rsidRDefault="002C1266" w:rsidP="009571EF">
            <w:pPr>
              <w:pStyle w:val="Tabletext"/>
              <w:keepNext/>
              <w:keepLines/>
            </w:pPr>
            <w:r w:rsidRPr="00EB70F8">
              <w:t>SYNAPSE</w:t>
            </w:r>
          </w:p>
        </w:tc>
        <w:tc>
          <w:tcPr>
            <w:tcW w:w="1020" w:type="pct"/>
            <w:shd w:val="clear" w:color="auto" w:fill="auto"/>
          </w:tcPr>
          <w:p w14:paraId="00F83081" w14:textId="77777777" w:rsidR="002C1266" w:rsidRPr="00EB70F8" w:rsidRDefault="002C1266" w:rsidP="009571EF">
            <w:pPr>
              <w:pStyle w:val="Tabletext"/>
              <w:keepNext/>
              <w:keepLines/>
              <w:jc w:val="center"/>
            </w:pPr>
            <w:r w:rsidRPr="00EB70F8">
              <w:t>30/206 (14.6)</w:t>
            </w:r>
          </w:p>
        </w:tc>
        <w:tc>
          <w:tcPr>
            <w:tcW w:w="861" w:type="pct"/>
            <w:shd w:val="clear" w:color="auto" w:fill="auto"/>
          </w:tcPr>
          <w:p w14:paraId="4C697A5D" w14:textId="77777777" w:rsidR="002C1266" w:rsidRPr="00EB70F8" w:rsidRDefault="002C1266" w:rsidP="009571EF">
            <w:pPr>
              <w:pStyle w:val="Tabletext"/>
              <w:keepNext/>
              <w:keepLines/>
              <w:jc w:val="center"/>
            </w:pPr>
            <w:r w:rsidRPr="00EB70F8">
              <w:t>19/201 (9.5)</w:t>
            </w:r>
          </w:p>
        </w:tc>
        <w:tc>
          <w:tcPr>
            <w:tcW w:w="1312" w:type="pct"/>
            <w:gridSpan w:val="2"/>
            <w:shd w:val="clear" w:color="auto" w:fill="auto"/>
          </w:tcPr>
          <w:p w14:paraId="05880FCA" w14:textId="77777777" w:rsidR="002C1266" w:rsidRPr="00EB70F8" w:rsidRDefault="002C1266" w:rsidP="009571EF">
            <w:pPr>
              <w:pStyle w:val="Tabletext"/>
              <w:keepNext/>
              <w:keepLines/>
              <w:jc w:val="center"/>
            </w:pPr>
            <w:r w:rsidRPr="00EB70F8">
              <w:t>0.39 [0.07, 2.07]</w:t>
            </w:r>
          </w:p>
        </w:tc>
      </w:tr>
      <w:tr w:rsidR="002C1266" w:rsidRPr="00EB70F8" w14:paraId="56E7C318" w14:textId="77777777">
        <w:tc>
          <w:tcPr>
            <w:tcW w:w="1018" w:type="pct"/>
            <w:vMerge/>
            <w:shd w:val="clear" w:color="auto" w:fill="auto"/>
          </w:tcPr>
          <w:p w14:paraId="58B9CEFC" w14:textId="77777777" w:rsidR="002C1266" w:rsidRPr="00EB70F8" w:rsidRDefault="002C1266" w:rsidP="009571EF">
            <w:pPr>
              <w:pStyle w:val="Tabletext"/>
              <w:keepNext/>
              <w:keepLines/>
            </w:pPr>
          </w:p>
        </w:tc>
        <w:tc>
          <w:tcPr>
            <w:tcW w:w="789" w:type="pct"/>
            <w:shd w:val="clear" w:color="auto" w:fill="auto"/>
          </w:tcPr>
          <w:p w14:paraId="6B468EF5" w14:textId="77777777" w:rsidR="002C1266" w:rsidRPr="00EB70F8" w:rsidRDefault="002C1266" w:rsidP="009571EF">
            <w:pPr>
              <w:pStyle w:val="Tabletext"/>
              <w:keepNext/>
              <w:keepLines/>
            </w:pPr>
            <w:r w:rsidRPr="00EB70F8">
              <w:t xml:space="preserve">MERIT </w:t>
            </w:r>
          </w:p>
        </w:tc>
        <w:tc>
          <w:tcPr>
            <w:tcW w:w="1020" w:type="pct"/>
            <w:shd w:val="clear" w:color="auto" w:fill="auto"/>
          </w:tcPr>
          <w:p w14:paraId="0CE73F0C" w14:textId="77777777" w:rsidR="002C1266" w:rsidRPr="00EB70F8" w:rsidRDefault="002C1266" w:rsidP="009571EF">
            <w:pPr>
              <w:pStyle w:val="Tabletext"/>
              <w:keepNext/>
              <w:keepLines/>
              <w:jc w:val="center"/>
            </w:pPr>
            <w:r w:rsidRPr="00EB70F8">
              <w:t>2/84 (2.4)</w:t>
            </w:r>
          </w:p>
        </w:tc>
        <w:tc>
          <w:tcPr>
            <w:tcW w:w="861" w:type="pct"/>
            <w:shd w:val="clear" w:color="auto" w:fill="auto"/>
          </w:tcPr>
          <w:p w14:paraId="1E6A7485" w14:textId="77777777" w:rsidR="002C1266" w:rsidRPr="00EB70F8" w:rsidRDefault="002C1266" w:rsidP="009571EF">
            <w:pPr>
              <w:pStyle w:val="Tabletext"/>
              <w:keepNext/>
              <w:keepLines/>
              <w:jc w:val="center"/>
            </w:pPr>
            <w:r w:rsidRPr="00EB70F8">
              <w:t>5/85 (5.9)</w:t>
            </w:r>
          </w:p>
        </w:tc>
        <w:tc>
          <w:tcPr>
            <w:tcW w:w="1312" w:type="pct"/>
            <w:gridSpan w:val="2"/>
            <w:shd w:val="clear" w:color="auto" w:fill="auto"/>
          </w:tcPr>
          <w:p w14:paraId="7504DEE4" w14:textId="77777777" w:rsidR="002C1266" w:rsidRPr="00EB70F8" w:rsidRDefault="002C1266" w:rsidP="009571EF">
            <w:pPr>
              <w:pStyle w:val="Tabletext"/>
              <w:keepNext/>
              <w:keepLines/>
              <w:jc w:val="center"/>
            </w:pPr>
            <w:r w:rsidRPr="00EB70F8">
              <w:t>1.63 [0.89, 3.01]</w:t>
            </w:r>
          </w:p>
        </w:tc>
      </w:tr>
      <w:tr w:rsidR="002C1266" w:rsidRPr="00EB70F8" w14:paraId="702003CC" w14:textId="77777777">
        <w:tc>
          <w:tcPr>
            <w:tcW w:w="1018" w:type="pct"/>
            <w:vMerge/>
            <w:shd w:val="clear" w:color="auto" w:fill="auto"/>
          </w:tcPr>
          <w:p w14:paraId="143449B6" w14:textId="77777777" w:rsidR="002C1266" w:rsidRPr="00EB70F8" w:rsidRDefault="002C1266" w:rsidP="009571EF">
            <w:pPr>
              <w:pStyle w:val="Tabletext"/>
              <w:keepNext/>
              <w:keepLines/>
            </w:pPr>
          </w:p>
        </w:tc>
        <w:tc>
          <w:tcPr>
            <w:tcW w:w="2670" w:type="pct"/>
            <w:gridSpan w:val="3"/>
            <w:shd w:val="clear" w:color="auto" w:fill="auto"/>
          </w:tcPr>
          <w:p w14:paraId="34FC845D" w14:textId="77777777" w:rsidR="002C1266" w:rsidRPr="00EB70F8" w:rsidRDefault="002C1266" w:rsidP="009571EF">
            <w:pPr>
              <w:pStyle w:val="Tabletext"/>
              <w:keepNext/>
              <w:keepLines/>
            </w:pPr>
            <w:r w:rsidRPr="00EB70F8">
              <w:t>SYNAPSE/MERIT MA k=2</w:t>
            </w:r>
          </w:p>
        </w:tc>
        <w:tc>
          <w:tcPr>
            <w:tcW w:w="1312" w:type="pct"/>
            <w:gridSpan w:val="2"/>
            <w:shd w:val="clear" w:color="auto" w:fill="auto"/>
          </w:tcPr>
          <w:p w14:paraId="566EB4EE" w14:textId="77777777" w:rsidR="002C1266" w:rsidRPr="00EB70F8" w:rsidRDefault="002C1266" w:rsidP="009571EF">
            <w:pPr>
              <w:pStyle w:val="Tabletext"/>
              <w:keepNext/>
              <w:keepLines/>
              <w:jc w:val="center"/>
            </w:pPr>
            <w:r w:rsidRPr="00EB70F8">
              <w:t>0.99 [0.26, 3.78]</w:t>
            </w:r>
          </w:p>
        </w:tc>
      </w:tr>
      <w:tr w:rsidR="002C1266" w:rsidRPr="00EB70F8" w14:paraId="57D31ADF" w14:textId="77777777">
        <w:tc>
          <w:tcPr>
            <w:tcW w:w="1018" w:type="pct"/>
            <w:shd w:val="clear" w:color="auto" w:fill="D9D9D9" w:themeFill="background1" w:themeFillShade="D9"/>
          </w:tcPr>
          <w:p w14:paraId="173E942F" w14:textId="77777777" w:rsidR="002C1266" w:rsidRPr="00EB70F8" w:rsidRDefault="002C1266" w:rsidP="009571EF">
            <w:pPr>
              <w:pStyle w:val="Tabletext"/>
              <w:keepNext/>
              <w:keepLines/>
            </w:pPr>
            <w:r w:rsidRPr="00EB70F8">
              <w:t>ITC OMA vs. MEPO</w:t>
            </w:r>
          </w:p>
        </w:tc>
        <w:tc>
          <w:tcPr>
            <w:tcW w:w="2670" w:type="pct"/>
            <w:gridSpan w:val="3"/>
            <w:shd w:val="clear" w:color="auto" w:fill="D9D9D9" w:themeFill="background1" w:themeFillShade="D9"/>
          </w:tcPr>
          <w:p w14:paraId="56C79847" w14:textId="77777777" w:rsidR="002C1266" w:rsidRPr="00EB70F8" w:rsidRDefault="002C1266" w:rsidP="009571EF">
            <w:pPr>
              <w:pStyle w:val="Tabletext"/>
              <w:keepNext/>
              <w:keepLines/>
            </w:pPr>
            <w:r w:rsidRPr="00EB70F8">
              <w:t>POLYP 1/2 (N=135) vs. SYNAPSE/MERIT (N=290) MA</w:t>
            </w:r>
          </w:p>
        </w:tc>
        <w:tc>
          <w:tcPr>
            <w:tcW w:w="1312" w:type="pct"/>
            <w:gridSpan w:val="2"/>
            <w:shd w:val="clear" w:color="auto" w:fill="D9D9D9" w:themeFill="background1" w:themeFillShade="D9"/>
          </w:tcPr>
          <w:p w14:paraId="4229C764" w14:textId="77777777" w:rsidR="002C1266" w:rsidRPr="00EB70F8" w:rsidRDefault="002C1266" w:rsidP="009571EF">
            <w:pPr>
              <w:pStyle w:val="Tabletext"/>
              <w:keepNext/>
              <w:keepLines/>
              <w:jc w:val="center"/>
            </w:pPr>
            <w:r w:rsidRPr="00EB70F8">
              <w:t>1.84 [0.32, 10.69]; p=0.4978</w:t>
            </w:r>
          </w:p>
        </w:tc>
      </w:tr>
      <w:tr w:rsidR="002C1266" w:rsidRPr="00EB70F8" w14:paraId="111097D3" w14:textId="77777777">
        <w:tc>
          <w:tcPr>
            <w:tcW w:w="5000" w:type="pct"/>
            <w:gridSpan w:val="6"/>
            <w:shd w:val="clear" w:color="auto" w:fill="F2F2F2" w:themeFill="background1" w:themeFillShade="F2"/>
          </w:tcPr>
          <w:p w14:paraId="58BACB28" w14:textId="77777777" w:rsidR="002C1266" w:rsidRPr="00C54167" w:rsidRDefault="002C1266" w:rsidP="009571EF">
            <w:pPr>
              <w:pStyle w:val="Tabletext"/>
              <w:keepNext/>
              <w:keepLines/>
              <w:rPr>
                <w:b/>
                <w:bCs/>
              </w:rPr>
            </w:pPr>
            <w:r w:rsidRPr="00C54167">
              <w:rPr>
                <w:b/>
                <w:bCs/>
              </w:rPr>
              <w:t xml:space="preserve">Any AE leading to discontinuation </w:t>
            </w:r>
          </w:p>
        </w:tc>
      </w:tr>
      <w:tr w:rsidR="002C1266" w:rsidRPr="00EB70F8" w14:paraId="0C496153" w14:textId="77777777">
        <w:tc>
          <w:tcPr>
            <w:tcW w:w="1018" w:type="pct"/>
            <w:vMerge w:val="restart"/>
            <w:shd w:val="clear" w:color="auto" w:fill="auto"/>
          </w:tcPr>
          <w:p w14:paraId="449D2868" w14:textId="77777777" w:rsidR="002C1266" w:rsidRPr="00EB70F8" w:rsidRDefault="002C1266" w:rsidP="009571EF">
            <w:pPr>
              <w:pStyle w:val="Tabletext"/>
              <w:keepNext/>
              <w:keepLines/>
            </w:pPr>
            <w:r w:rsidRPr="00EB70F8">
              <w:t xml:space="preserve">OMA vs. PBO </w:t>
            </w:r>
          </w:p>
        </w:tc>
        <w:tc>
          <w:tcPr>
            <w:tcW w:w="789" w:type="pct"/>
            <w:shd w:val="clear" w:color="auto" w:fill="auto"/>
          </w:tcPr>
          <w:p w14:paraId="5C2404CE" w14:textId="77777777" w:rsidR="002C1266" w:rsidRPr="00EB70F8" w:rsidRDefault="002C1266" w:rsidP="009571EF">
            <w:pPr>
              <w:pStyle w:val="Tabletext"/>
              <w:keepNext/>
              <w:keepLines/>
            </w:pPr>
            <w:r w:rsidRPr="00EB70F8">
              <w:t xml:space="preserve">POLYP 1 </w:t>
            </w:r>
          </w:p>
        </w:tc>
        <w:tc>
          <w:tcPr>
            <w:tcW w:w="1020" w:type="pct"/>
            <w:shd w:val="clear" w:color="auto" w:fill="auto"/>
          </w:tcPr>
          <w:p w14:paraId="6CD949AB" w14:textId="77777777" w:rsidR="002C1266" w:rsidRPr="00EB70F8" w:rsidRDefault="002C1266" w:rsidP="009571EF">
            <w:pPr>
              <w:pStyle w:val="Tabletext"/>
              <w:keepNext/>
              <w:keepLines/>
              <w:jc w:val="center"/>
            </w:pPr>
            <w:r w:rsidRPr="00EB70F8">
              <w:t>0/72 (0.0)</w:t>
            </w:r>
          </w:p>
        </w:tc>
        <w:tc>
          <w:tcPr>
            <w:tcW w:w="861" w:type="pct"/>
            <w:shd w:val="clear" w:color="auto" w:fill="auto"/>
          </w:tcPr>
          <w:p w14:paraId="66EC2878" w14:textId="77777777" w:rsidR="002C1266" w:rsidRPr="00EB70F8" w:rsidRDefault="002C1266" w:rsidP="009571EF">
            <w:pPr>
              <w:pStyle w:val="Tabletext"/>
              <w:keepNext/>
              <w:keepLines/>
              <w:jc w:val="center"/>
            </w:pPr>
            <w:r w:rsidRPr="00EB70F8">
              <w:t>1/66 (1.5)</w:t>
            </w:r>
          </w:p>
        </w:tc>
        <w:tc>
          <w:tcPr>
            <w:tcW w:w="1312" w:type="pct"/>
            <w:gridSpan w:val="2"/>
            <w:shd w:val="clear" w:color="auto" w:fill="auto"/>
          </w:tcPr>
          <w:p w14:paraId="0CD96D79" w14:textId="77777777" w:rsidR="002C1266" w:rsidRPr="00EB70F8" w:rsidRDefault="002C1266" w:rsidP="009571EF">
            <w:pPr>
              <w:pStyle w:val="Tabletext"/>
              <w:keepNext/>
              <w:keepLines/>
              <w:jc w:val="center"/>
            </w:pPr>
            <w:r w:rsidRPr="00EB70F8">
              <w:t>0.30 [0.01, 7.52]</w:t>
            </w:r>
          </w:p>
        </w:tc>
      </w:tr>
      <w:tr w:rsidR="002C1266" w:rsidRPr="00EB70F8" w14:paraId="3FCD4676" w14:textId="77777777">
        <w:tc>
          <w:tcPr>
            <w:tcW w:w="1018" w:type="pct"/>
            <w:vMerge/>
            <w:shd w:val="clear" w:color="auto" w:fill="auto"/>
          </w:tcPr>
          <w:p w14:paraId="762760A0" w14:textId="77777777" w:rsidR="002C1266" w:rsidRPr="00EB70F8" w:rsidRDefault="002C1266" w:rsidP="009571EF">
            <w:pPr>
              <w:pStyle w:val="Tabletext"/>
              <w:keepNext/>
              <w:keepLines/>
            </w:pPr>
          </w:p>
        </w:tc>
        <w:tc>
          <w:tcPr>
            <w:tcW w:w="789" w:type="pct"/>
            <w:shd w:val="clear" w:color="auto" w:fill="auto"/>
          </w:tcPr>
          <w:p w14:paraId="5FB2D229" w14:textId="77777777" w:rsidR="002C1266" w:rsidRPr="00EB70F8" w:rsidRDefault="002C1266" w:rsidP="009571EF">
            <w:pPr>
              <w:pStyle w:val="Tabletext"/>
              <w:keepNext/>
              <w:keepLines/>
            </w:pPr>
            <w:r w:rsidRPr="00EB70F8">
              <w:t>POLYP 2</w:t>
            </w:r>
          </w:p>
        </w:tc>
        <w:tc>
          <w:tcPr>
            <w:tcW w:w="1020" w:type="pct"/>
            <w:shd w:val="clear" w:color="auto" w:fill="auto"/>
          </w:tcPr>
          <w:p w14:paraId="6A35486E" w14:textId="77777777" w:rsidR="002C1266" w:rsidRPr="00EB70F8" w:rsidRDefault="002C1266" w:rsidP="009571EF">
            <w:pPr>
              <w:pStyle w:val="Tabletext"/>
              <w:keepNext/>
              <w:keepLines/>
              <w:jc w:val="center"/>
            </w:pPr>
            <w:r w:rsidRPr="00EB70F8">
              <w:t>0/63 (0.0)</w:t>
            </w:r>
          </w:p>
        </w:tc>
        <w:tc>
          <w:tcPr>
            <w:tcW w:w="861" w:type="pct"/>
            <w:shd w:val="clear" w:color="auto" w:fill="auto"/>
          </w:tcPr>
          <w:p w14:paraId="1928A67D" w14:textId="77777777" w:rsidR="002C1266" w:rsidRPr="00EB70F8" w:rsidRDefault="002C1266" w:rsidP="009571EF">
            <w:pPr>
              <w:pStyle w:val="Tabletext"/>
              <w:keepNext/>
              <w:keepLines/>
              <w:jc w:val="center"/>
            </w:pPr>
            <w:r w:rsidRPr="00EB70F8">
              <w:t>0/64 (0.0)</w:t>
            </w:r>
          </w:p>
        </w:tc>
        <w:tc>
          <w:tcPr>
            <w:tcW w:w="1312" w:type="pct"/>
            <w:gridSpan w:val="2"/>
            <w:shd w:val="clear" w:color="auto" w:fill="auto"/>
          </w:tcPr>
          <w:p w14:paraId="4787CCEC" w14:textId="77777777" w:rsidR="002C1266" w:rsidRPr="00EB70F8" w:rsidRDefault="002C1266" w:rsidP="009571EF">
            <w:pPr>
              <w:pStyle w:val="Tabletext"/>
              <w:keepNext/>
              <w:keepLines/>
              <w:jc w:val="center"/>
            </w:pPr>
            <w:r w:rsidRPr="00EB70F8">
              <w:t>NE</w:t>
            </w:r>
          </w:p>
        </w:tc>
      </w:tr>
      <w:tr w:rsidR="002C1266" w:rsidRPr="00EB70F8" w14:paraId="4F827522" w14:textId="77777777">
        <w:tc>
          <w:tcPr>
            <w:tcW w:w="1018" w:type="pct"/>
            <w:vMerge/>
            <w:shd w:val="clear" w:color="auto" w:fill="auto"/>
          </w:tcPr>
          <w:p w14:paraId="4114F6B5" w14:textId="77777777" w:rsidR="002C1266" w:rsidRPr="00EB70F8" w:rsidRDefault="002C1266" w:rsidP="009571EF">
            <w:pPr>
              <w:pStyle w:val="Tabletext"/>
              <w:keepNext/>
              <w:keepLines/>
            </w:pPr>
          </w:p>
        </w:tc>
        <w:tc>
          <w:tcPr>
            <w:tcW w:w="2670" w:type="pct"/>
            <w:gridSpan w:val="3"/>
            <w:shd w:val="clear" w:color="auto" w:fill="auto"/>
          </w:tcPr>
          <w:p w14:paraId="5C494F6D" w14:textId="77777777" w:rsidR="002C1266" w:rsidRPr="00EB70F8" w:rsidRDefault="002C1266" w:rsidP="009571EF">
            <w:pPr>
              <w:pStyle w:val="Tabletext"/>
              <w:keepNext/>
              <w:keepLines/>
            </w:pPr>
            <w:r w:rsidRPr="00EB70F8">
              <w:t>POLYP 1/POLYP 2 MA k=2</w:t>
            </w:r>
          </w:p>
        </w:tc>
        <w:tc>
          <w:tcPr>
            <w:tcW w:w="1312" w:type="pct"/>
            <w:gridSpan w:val="2"/>
            <w:shd w:val="clear" w:color="auto" w:fill="auto"/>
          </w:tcPr>
          <w:p w14:paraId="0378E1FE" w14:textId="77777777" w:rsidR="002C1266" w:rsidRPr="00EB70F8" w:rsidRDefault="002C1266" w:rsidP="009571EF">
            <w:pPr>
              <w:pStyle w:val="Tabletext"/>
              <w:keepNext/>
              <w:keepLines/>
              <w:jc w:val="center"/>
            </w:pPr>
            <w:r w:rsidRPr="00EB70F8">
              <w:t>0.30 [0.01, 7.52]</w:t>
            </w:r>
          </w:p>
        </w:tc>
      </w:tr>
      <w:tr w:rsidR="002C1266" w:rsidRPr="00EB70F8" w14:paraId="565D430E" w14:textId="77777777">
        <w:tc>
          <w:tcPr>
            <w:tcW w:w="1018" w:type="pct"/>
            <w:vMerge w:val="restart"/>
            <w:shd w:val="clear" w:color="auto" w:fill="auto"/>
          </w:tcPr>
          <w:p w14:paraId="5AD48B77" w14:textId="77777777" w:rsidR="002C1266" w:rsidRPr="00EB70F8" w:rsidRDefault="002C1266" w:rsidP="009571EF">
            <w:pPr>
              <w:pStyle w:val="Tabletext"/>
              <w:keepNext/>
              <w:keepLines/>
            </w:pPr>
            <w:r w:rsidRPr="00EB70F8">
              <w:t xml:space="preserve">MEPO vs. PBO </w:t>
            </w:r>
          </w:p>
        </w:tc>
        <w:tc>
          <w:tcPr>
            <w:tcW w:w="789" w:type="pct"/>
            <w:shd w:val="clear" w:color="auto" w:fill="auto"/>
          </w:tcPr>
          <w:p w14:paraId="26F74693" w14:textId="77777777" w:rsidR="002C1266" w:rsidRPr="00EB70F8" w:rsidRDefault="002C1266" w:rsidP="009571EF">
            <w:pPr>
              <w:pStyle w:val="Tabletext"/>
              <w:keepNext/>
              <w:keepLines/>
            </w:pPr>
            <w:r w:rsidRPr="00EB70F8">
              <w:t>SYNAPSE</w:t>
            </w:r>
          </w:p>
        </w:tc>
        <w:tc>
          <w:tcPr>
            <w:tcW w:w="1020" w:type="pct"/>
            <w:shd w:val="clear" w:color="auto" w:fill="auto"/>
          </w:tcPr>
          <w:p w14:paraId="775B2FEB" w14:textId="77777777" w:rsidR="002C1266" w:rsidRPr="00EB70F8" w:rsidRDefault="002C1266" w:rsidP="009571EF">
            <w:pPr>
              <w:pStyle w:val="Tabletext"/>
              <w:keepNext/>
              <w:keepLines/>
              <w:jc w:val="center"/>
            </w:pPr>
            <w:r w:rsidRPr="00EB70F8">
              <w:t>4/206 (1.9)</w:t>
            </w:r>
          </w:p>
        </w:tc>
        <w:tc>
          <w:tcPr>
            <w:tcW w:w="861" w:type="pct"/>
            <w:shd w:val="clear" w:color="auto" w:fill="auto"/>
          </w:tcPr>
          <w:p w14:paraId="004A4542" w14:textId="77777777" w:rsidR="002C1266" w:rsidRPr="00EB70F8" w:rsidRDefault="002C1266" w:rsidP="009571EF">
            <w:pPr>
              <w:pStyle w:val="Tabletext"/>
              <w:keepNext/>
              <w:keepLines/>
              <w:jc w:val="center"/>
            </w:pPr>
            <w:r w:rsidRPr="00EB70F8">
              <w:t>4/201 (2.0)</w:t>
            </w:r>
          </w:p>
        </w:tc>
        <w:tc>
          <w:tcPr>
            <w:tcW w:w="1312" w:type="pct"/>
            <w:gridSpan w:val="2"/>
            <w:shd w:val="clear" w:color="auto" w:fill="auto"/>
          </w:tcPr>
          <w:p w14:paraId="3C4FA442" w14:textId="77777777" w:rsidR="002C1266" w:rsidRPr="00EB70F8" w:rsidRDefault="002C1266" w:rsidP="009571EF">
            <w:pPr>
              <w:pStyle w:val="Tabletext"/>
              <w:keepNext/>
              <w:keepLines/>
              <w:jc w:val="center"/>
            </w:pPr>
            <w:r w:rsidRPr="00EB70F8">
              <w:t>0.98 [0.24, 3.95]</w:t>
            </w:r>
          </w:p>
        </w:tc>
      </w:tr>
      <w:tr w:rsidR="002C1266" w:rsidRPr="00EB70F8" w14:paraId="10B92544" w14:textId="77777777">
        <w:tc>
          <w:tcPr>
            <w:tcW w:w="1018" w:type="pct"/>
            <w:vMerge/>
            <w:shd w:val="clear" w:color="auto" w:fill="auto"/>
          </w:tcPr>
          <w:p w14:paraId="52E25876" w14:textId="77777777" w:rsidR="002C1266" w:rsidRPr="00EB70F8" w:rsidRDefault="002C1266" w:rsidP="009571EF">
            <w:pPr>
              <w:pStyle w:val="Tabletext"/>
              <w:keepNext/>
              <w:keepLines/>
            </w:pPr>
          </w:p>
        </w:tc>
        <w:tc>
          <w:tcPr>
            <w:tcW w:w="789" w:type="pct"/>
            <w:shd w:val="clear" w:color="auto" w:fill="auto"/>
          </w:tcPr>
          <w:p w14:paraId="506881AE" w14:textId="77777777" w:rsidR="002C1266" w:rsidRPr="00EB70F8" w:rsidRDefault="002C1266" w:rsidP="009571EF">
            <w:pPr>
              <w:pStyle w:val="Tabletext"/>
              <w:keepNext/>
              <w:keepLines/>
            </w:pPr>
            <w:r w:rsidRPr="00EB70F8">
              <w:t xml:space="preserve">MERIT </w:t>
            </w:r>
          </w:p>
        </w:tc>
        <w:tc>
          <w:tcPr>
            <w:tcW w:w="1020" w:type="pct"/>
            <w:shd w:val="clear" w:color="auto" w:fill="auto"/>
          </w:tcPr>
          <w:p w14:paraId="5443CFBE" w14:textId="77777777" w:rsidR="002C1266" w:rsidRPr="00EB70F8" w:rsidRDefault="002C1266" w:rsidP="009571EF">
            <w:pPr>
              <w:pStyle w:val="Tabletext"/>
              <w:keepNext/>
              <w:keepLines/>
              <w:jc w:val="center"/>
            </w:pPr>
            <w:r w:rsidRPr="00EB70F8">
              <w:t>0/84 (0)</w:t>
            </w:r>
          </w:p>
        </w:tc>
        <w:tc>
          <w:tcPr>
            <w:tcW w:w="861" w:type="pct"/>
            <w:shd w:val="clear" w:color="auto" w:fill="auto"/>
          </w:tcPr>
          <w:p w14:paraId="48859C91" w14:textId="77777777" w:rsidR="002C1266" w:rsidRPr="00EB70F8" w:rsidRDefault="002C1266" w:rsidP="009571EF">
            <w:pPr>
              <w:pStyle w:val="Tabletext"/>
              <w:keepNext/>
              <w:keepLines/>
              <w:jc w:val="center"/>
            </w:pPr>
            <w:r w:rsidRPr="00EB70F8">
              <w:t>2/85 (2.4)</w:t>
            </w:r>
          </w:p>
        </w:tc>
        <w:tc>
          <w:tcPr>
            <w:tcW w:w="1312" w:type="pct"/>
            <w:gridSpan w:val="2"/>
            <w:shd w:val="clear" w:color="auto" w:fill="auto"/>
          </w:tcPr>
          <w:p w14:paraId="48D439C5" w14:textId="77777777" w:rsidR="002C1266" w:rsidRPr="00EB70F8" w:rsidRDefault="002C1266" w:rsidP="009571EF">
            <w:pPr>
              <w:pStyle w:val="Tabletext"/>
              <w:keepNext/>
              <w:keepLines/>
              <w:jc w:val="center"/>
            </w:pPr>
            <w:r w:rsidRPr="00EB70F8">
              <w:t>0.20 [0.01, 4.18]</w:t>
            </w:r>
          </w:p>
        </w:tc>
      </w:tr>
      <w:tr w:rsidR="002C1266" w:rsidRPr="00EB70F8" w14:paraId="130119A2" w14:textId="77777777">
        <w:tc>
          <w:tcPr>
            <w:tcW w:w="1018" w:type="pct"/>
            <w:vMerge/>
            <w:shd w:val="clear" w:color="auto" w:fill="auto"/>
          </w:tcPr>
          <w:p w14:paraId="29D76E5B" w14:textId="77777777" w:rsidR="002C1266" w:rsidRPr="00EB70F8" w:rsidRDefault="002C1266" w:rsidP="009571EF">
            <w:pPr>
              <w:pStyle w:val="Tabletext"/>
              <w:keepNext/>
              <w:keepLines/>
            </w:pPr>
          </w:p>
        </w:tc>
        <w:tc>
          <w:tcPr>
            <w:tcW w:w="2670" w:type="pct"/>
            <w:gridSpan w:val="3"/>
            <w:shd w:val="clear" w:color="auto" w:fill="auto"/>
          </w:tcPr>
          <w:p w14:paraId="48B16BEE" w14:textId="77777777" w:rsidR="002C1266" w:rsidRPr="00EB70F8" w:rsidRDefault="002C1266" w:rsidP="009571EF">
            <w:pPr>
              <w:pStyle w:val="Tabletext"/>
              <w:keepNext/>
              <w:keepLines/>
            </w:pPr>
            <w:r w:rsidRPr="00EB70F8">
              <w:t>SYNAPSE/MERIT MA k=2</w:t>
            </w:r>
          </w:p>
        </w:tc>
        <w:tc>
          <w:tcPr>
            <w:tcW w:w="1312" w:type="pct"/>
            <w:gridSpan w:val="2"/>
            <w:shd w:val="clear" w:color="auto" w:fill="auto"/>
          </w:tcPr>
          <w:p w14:paraId="59865F41" w14:textId="77777777" w:rsidR="002C1266" w:rsidRPr="00EB70F8" w:rsidRDefault="002C1266" w:rsidP="009571EF">
            <w:pPr>
              <w:pStyle w:val="Tabletext"/>
              <w:keepNext/>
              <w:keepLines/>
              <w:jc w:val="center"/>
            </w:pPr>
            <w:r w:rsidRPr="00EB70F8">
              <w:t>0.74 [0.21, 2.64]</w:t>
            </w:r>
          </w:p>
        </w:tc>
      </w:tr>
      <w:tr w:rsidR="002C1266" w:rsidRPr="00EB70F8" w14:paraId="35765258" w14:textId="77777777">
        <w:tc>
          <w:tcPr>
            <w:tcW w:w="1018" w:type="pct"/>
            <w:shd w:val="clear" w:color="auto" w:fill="D9D9D9" w:themeFill="background1" w:themeFillShade="D9"/>
          </w:tcPr>
          <w:p w14:paraId="2C41073D" w14:textId="77777777" w:rsidR="002C1266" w:rsidRPr="00EB70F8" w:rsidRDefault="002C1266" w:rsidP="009571EF">
            <w:pPr>
              <w:pStyle w:val="Tabletext"/>
              <w:keepNext/>
              <w:keepLines/>
            </w:pPr>
            <w:r w:rsidRPr="00EB70F8">
              <w:t>ITC OMA vs. MEPO</w:t>
            </w:r>
          </w:p>
        </w:tc>
        <w:tc>
          <w:tcPr>
            <w:tcW w:w="2670" w:type="pct"/>
            <w:gridSpan w:val="3"/>
            <w:shd w:val="clear" w:color="auto" w:fill="D9D9D9" w:themeFill="background1" w:themeFillShade="D9"/>
          </w:tcPr>
          <w:p w14:paraId="55BF6927" w14:textId="77777777" w:rsidR="002C1266" w:rsidRPr="00EB70F8" w:rsidRDefault="002C1266" w:rsidP="009571EF">
            <w:pPr>
              <w:pStyle w:val="Tabletext"/>
              <w:keepNext/>
              <w:keepLines/>
            </w:pPr>
            <w:r w:rsidRPr="00EB70F8">
              <w:t>POLYP 1/2 (N=135) vs. SYNAPSE/MERIT (N=290) MA</w:t>
            </w:r>
          </w:p>
        </w:tc>
        <w:tc>
          <w:tcPr>
            <w:tcW w:w="1312" w:type="pct"/>
            <w:gridSpan w:val="2"/>
            <w:shd w:val="clear" w:color="auto" w:fill="D9D9D9" w:themeFill="background1" w:themeFillShade="D9"/>
          </w:tcPr>
          <w:p w14:paraId="2B31EDA3" w14:textId="77777777" w:rsidR="002C1266" w:rsidRPr="00EB70F8" w:rsidRDefault="002C1266" w:rsidP="009571EF">
            <w:pPr>
              <w:pStyle w:val="Tabletext"/>
              <w:keepNext/>
              <w:keepLines/>
              <w:jc w:val="center"/>
            </w:pPr>
            <w:r w:rsidRPr="00EB70F8">
              <w:t>0.41 [0.01, 14.04]; p=0.6177</w:t>
            </w:r>
          </w:p>
        </w:tc>
      </w:tr>
      <w:tr w:rsidR="002C1266" w:rsidRPr="00EB70F8" w14:paraId="50CC9BE0" w14:textId="77777777">
        <w:tc>
          <w:tcPr>
            <w:tcW w:w="5000" w:type="pct"/>
            <w:gridSpan w:val="6"/>
            <w:shd w:val="clear" w:color="auto" w:fill="F2F2F2" w:themeFill="background1" w:themeFillShade="F2"/>
          </w:tcPr>
          <w:p w14:paraId="1741C26D" w14:textId="77777777" w:rsidR="002C1266" w:rsidRPr="00C54167" w:rsidRDefault="002C1266" w:rsidP="009571EF">
            <w:pPr>
              <w:pStyle w:val="Tabletext"/>
              <w:keepNext/>
              <w:keepLines/>
              <w:rPr>
                <w:b/>
                <w:bCs/>
              </w:rPr>
            </w:pPr>
            <w:r w:rsidRPr="00C54167">
              <w:rPr>
                <w:b/>
                <w:bCs/>
              </w:rPr>
              <w:t>Any SAE</w:t>
            </w:r>
          </w:p>
        </w:tc>
      </w:tr>
      <w:tr w:rsidR="002C1266" w:rsidRPr="00EB70F8" w14:paraId="1E713087" w14:textId="77777777">
        <w:tc>
          <w:tcPr>
            <w:tcW w:w="1018" w:type="pct"/>
            <w:vMerge w:val="restart"/>
            <w:shd w:val="clear" w:color="auto" w:fill="auto"/>
          </w:tcPr>
          <w:p w14:paraId="5484B6C4" w14:textId="77777777" w:rsidR="002C1266" w:rsidRPr="00EB70F8" w:rsidRDefault="002C1266" w:rsidP="009571EF">
            <w:pPr>
              <w:pStyle w:val="Tabletext"/>
              <w:keepNext/>
              <w:keepLines/>
            </w:pPr>
            <w:r w:rsidRPr="00EB70F8">
              <w:t xml:space="preserve">OMA vs. PBO </w:t>
            </w:r>
          </w:p>
        </w:tc>
        <w:tc>
          <w:tcPr>
            <w:tcW w:w="789" w:type="pct"/>
            <w:shd w:val="clear" w:color="auto" w:fill="auto"/>
          </w:tcPr>
          <w:p w14:paraId="0264679B" w14:textId="77777777" w:rsidR="002C1266" w:rsidRPr="00EB70F8" w:rsidRDefault="002C1266" w:rsidP="009571EF">
            <w:pPr>
              <w:pStyle w:val="Tabletext"/>
              <w:keepNext/>
              <w:keepLines/>
            </w:pPr>
            <w:r w:rsidRPr="00EB70F8">
              <w:t xml:space="preserve">POLYP 1 </w:t>
            </w:r>
          </w:p>
        </w:tc>
        <w:tc>
          <w:tcPr>
            <w:tcW w:w="1020" w:type="pct"/>
            <w:shd w:val="clear" w:color="auto" w:fill="auto"/>
          </w:tcPr>
          <w:p w14:paraId="60E75616" w14:textId="77777777" w:rsidR="002C1266" w:rsidRPr="00EB70F8" w:rsidRDefault="002C1266" w:rsidP="009571EF">
            <w:pPr>
              <w:pStyle w:val="Tabletext"/>
              <w:keepNext/>
              <w:keepLines/>
              <w:jc w:val="center"/>
            </w:pPr>
            <w:r w:rsidRPr="00EB70F8">
              <w:t>0/72 (0.0)</w:t>
            </w:r>
          </w:p>
        </w:tc>
        <w:tc>
          <w:tcPr>
            <w:tcW w:w="861" w:type="pct"/>
            <w:shd w:val="clear" w:color="auto" w:fill="auto"/>
          </w:tcPr>
          <w:p w14:paraId="25DE6D5A" w14:textId="77777777" w:rsidR="002C1266" w:rsidRPr="00EB70F8" w:rsidRDefault="002C1266" w:rsidP="009571EF">
            <w:pPr>
              <w:pStyle w:val="Tabletext"/>
              <w:keepNext/>
              <w:keepLines/>
              <w:jc w:val="center"/>
            </w:pPr>
            <w:r w:rsidRPr="00EB70F8">
              <w:t>1/66 (1.5)</w:t>
            </w:r>
          </w:p>
        </w:tc>
        <w:tc>
          <w:tcPr>
            <w:tcW w:w="1312" w:type="pct"/>
            <w:gridSpan w:val="2"/>
            <w:shd w:val="clear" w:color="auto" w:fill="auto"/>
          </w:tcPr>
          <w:p w14:paraId="6115DAA1" w14:textId="77777777" w:rsidR="002C1266" w:rsidRPr="00EB70F8" w:rsidRDefault="002C1266" w:rsidP="009571EF">
            <w:pPr>
              <w:pStyle w:val="Tabletext"/>
              <w:keepNext/>
              <w:keepLines/>
              <w:jc w:val="center"/>
            </w:pPr>
            <w:r w:rsidRPr="00EB70F8">
              <w:t>0.30 [0.01, 7.52]</w:t>
            </w:r>
          </w:p>
        </w:tc>
      </w:tr>
      <w:tr w:rsidR="002C1266" w:rsidRPr="00EB70F8" w14:paraId="005EF54E" w14:textId="77777777">
        <w:tc>
          <w:tcPr>
            <w:tcW w:w="1018" w:type="pct"/>
            <w:vMerge/>
            <w:shd w:val="clear" w:color="auto" w:fill="auto"/>
          </w:tcPr>
          <w:p w14:paraId="775F5CF1" w14:textId="77777777" w:rsidR="002C1266" w:rsidRPr="00EB70F8" w:rsidRDefault="002C1266" w:rsidP="009571EF">
            <w:pPr>
              <w:pStyle w:val="Tabletext"/>
              <w:keepNext/>
              <w:keepLines/>
            </w:pPr>
          </w:p>
        </w:tc>
        <w:tc>
          <w:tcPr>
            <w:tcW w:w="789" w:type="pct"/>
            <w:shd w:val="clear" w:color="auto" w:fill="auto"/>
          </w:tcPr>
          <w:p w14:paraId="207D88B5" w14:textId="77777777" w:rsidR="002C1266" w:rsidRPr="00EB70F8" w:rsidRDefault="002C1266" w:rsidP="009571EF">
            <w:pPr>
              <w:pStyle w:val="Tabletext"/>
              <w:keepNext/>
              <w:keepLines/>
            </w:pPr>
            <w:r w:rsidRPr="00EB70F8">
              <w:t>POLYP 2</w:t>
            </w:r>
          </w:p>
        </w:tc>
        <w:tc>
          <w:tcPr>
            <w:tcW w:w="1020" w:type="pct"/>
            <w:shd w:val="clear" w:color="auto" w:fill="auto"/>
          </w:tcPr>
          <w:p w14:paraId="0AF244AD" w14:textId="77777777" w:rsidR="002C1266" w:rsidRPr="00EB70F8" w:rsidRDefault="002C1266" w:rsidP="009571EF">
            <w:pPr>
              <w:pStyle w:val="Tabletext"/>
              <w:keepNext/>
              <w:keepLines/>
              <w:jc w:val="center"/>
            </w:pPr>
            <w:r w:rsidRPr="00EB70F8">
              <w:t>3/63 (4.8)</w:t>
            </w:r>
          </w:p>
        </w:tc>
        <w:tc>
          <w:tcPr>
            <w:tcW w:w="861" w:type="pct"/>
            <w:shd w:val="clear" w:color="auto" w:fill="auto"/>
          </w:tcPr>
          <w:p w14:paraId="0B4147D0" w14:textId="77777777" w:rsidR="002C1266" w:rsidRPr="00EB70F8" w:rsidRDefault="002C1266" w:rsidP="009571EF">
            <w:pPr>
              <w:pStyle w:val="Tabletext"/>
              <w:keepNext/>
              <w:keepLines/>
              <w:jc w:val="center"/>
            </w:pPr>
            <w:r w:rsidRPr="00EB70F8">
              <w:t>1/64 (1.6)</w:t>
            </w:r>
          </w:p>
        </w:tc>
        <w:tc>
          <w:tcPr>
            <w:tcW w:w="1312" w:type="pct"/>
            <w:gridSpan w:val="2"/>
            <w:shd w:val="clear" w:color="auto" w:fill="auto"/>
          </w:tcPr>
          <w:p w14:paraId="626CBB6B" w14:textId="77777777" w:rsidR="002C1266" w:rsidRPr="00EB70F8" w:rsidRDefault="002C1266" w:rsidP="009571EF">
            <w:pPr>
              <w:pStyle w:val="Tabletext"/>
              <w:keepNext/>
              <w:keepLines/>
              <w:jc w:val="center"/>
            </w:pPr>
            <w:r w:rsidRPr="00EB70F8">
              <w:t>3.15 [0.32, 31.13]</w:t>
            </w:r>
          </w:p>
        </w:tc>
      </w:tr>
      <w:tr w:rsidR="002C1266" w:rsidRPr="00EB70F8" w14:paraId="047541BB" w14:textId="77777777">
        <w:tc>
          <w:tcPr>
            <w:tcW w:w="1018" w:type="pct"/>
            <w:vMerge/>
            <w:shd w:val="clear" w:color="auto" w:fill="auto"/>
          </w:tcPr>
          <w:p w14:paraId="55F5675C" w14:textId="77777777" w:rsidR="002C1266" w:rsidRPr="00EB70F8" w:rsidRDefault="002C1266" w:rsidP="009571EF">
            <w:pPr>
              <w:pStyle w:val="Tabletext"/>
              <w:keepNext/>
              <w:keepLines/>
            </w:pPr>
          </w:p>
        </w:tc>
        <w:tc>
          <w:tcPr>
            <w:tcW w:w="2670" w:type="pct"/>
            <w:gridSpan w:val="3"/>
            <w:shd w:val="clear" w:color="auto" w:fill="auto"/>
          </w:tcPr>
          <w:p w14:paraId="428B0CD7" w14:textId="77777777" w:rsidR="002C1266" w:rsidRPr="00EB70F8" w:rsidRDefault="002C1266" w:rsidP="009571EF">
            <w:pPr>
              <w:pStyle w:val="Tabletext"/>
              <w:keepNext/>
              <w:keepLines/>
            </w:pPr>
            <w:r w:rsidRPr="00EB70F8">
              <w:t>POLYP 1/POLYP 2 MA k=2</w:t>
            </w:r>
          </w:p>
        </w:tc>
        <w:tc>
          <w:tcPr>
            <w:tcW w:w="1312" w:type="pct"/>
            <w:gridSpan w:val="2"/>
            <w:shd w:val="clear" w:color="auto" w:fill="auto"/>
          </w:tcPr>
          <w:p w14:paraId="6B7862DA" w14:textId="77777777" w:rsidR="002C1266" w:rsidRPr="00EB70F8" w:rsidRDefault="002C1266" w:rsidP="009571EF">
            <w:pPr>
              <w:pStyle w:val="Tabletext"/>
              <w:keepNext/>
              <w:keepLines/>
              <w:jc w:val="center"/>
            </w:pPr>
            <w:r w:rsidRPr="00EB70F8">
              <w:t>1.29 [0.14, 12.07]</w:t>
            </w:r>
          </w:p>
        </w:tc>
      </w:tr>
      <w:tr w:rsidR="002C1266" w:rsidRPr="00EB70F8" w14:paraId="3B7B6D74" w14:textId="77777777">
        <w:tc>
          <w:tcPr>
            <w:tcW w:w="1018" w:type="pct"/>
            <w:vMerge w:val="restart"/>
            <w:shd w:val="clear" w:color="auto" w:fill="auto"/>
          </w:tcPr>
          <w:p w14:paraId="21675237" w14:textId="77777777" w:rsidR="002C1266" w:rsidRPr="00EB70F8" w:rsidRDefault="002C1266" w:rsidP="009571EF">
            <w:pPr>
              <w:pStyle w:val="Tabletext"/>
              <w:keepNext/>
              <w:keepLines/>
            </w:pPr>
            <w:r w:rsidRPr="00EB70F8">
              <w:t xml:space="preserve">MEPO vs. PBO </w:t>
            </w:r>
          </w:p>
        </w:tc>
        <w:tc>
          <w:tcPr>
            <w:tcW w:w="789" w:type="pct"/>
            <w:shd w:val="clear" w:color="auto" w:fill="auto"/>
          </w:tcPr>
          <w:p w14:paraId="13C9D310" w14:textId="77777777" w:rsidR="002C1266" w:rsidRPr="00EB70F8" w:rsidRDefault="002C1266" w:rsidP="009571EF">
            <w:pPr>
              <w:pStyle w:val="Tabletext"/>
              <w:keepNext/>
              <w:keepLines/>
            </w:pPr>
            <w:r w:rsidRPr="00EB70F8">
              <w:t>SYNAPSE</w:t>
            </w:r>
          </w:p>
        </w:tc>
        <w:tc>
          <w:tcPr>
            <w:tcW w:w="1020" w:type="pct"/>
            <w:shd w:val="clear" w:color="auto" w:fill="auto"/>
          </w:tcPr>
          <w:p w14:paraId="40B2C070" w14:textId="77777777" w:rsidR="002C1266" w:rsidRPr="00EB70F8" w:rsidRDefault="002C1266" w:rsidP="009571EF">
            <w:pPr>
              <w:pStyle w:val="Tabletext"/>
              <w:keepNext/>
              <w:keepLines/>
              <w:jc w:val="center"/>
            </w:pPr>
            <w:r w:rsidRPr="00EB70F8">
              <w:t>12/206 (5.8)</w:t>
            </w:r>
          </w:p>
        </w:tc>
        <w:tc>
          <w:tcPr>
            <w:tcW w:w="861" w:type="pct"/>
            <w:shd w:val="clear" w:color="auto" w:fill="auto"/>
          </w:tcPr>
          <w:p w14:paraId="248D684C" w14:textId="77777777" w:rsidR="002C1266" w:rsidRPr="00EB70F8" w:rsidRDefault="002C1266" w:rsidP="009571EF">
            <w:pPr>
              <w:pStyle w:val="Tabletext"/>
              <w:keepNext/>
              <w:keepLines/>
              <w:jc w:val="center"/>
            </w:pPr>
            <w:r w:rsidRPr="00EB70F8">
              <w:t>13/201 (6.5)</w:t>
            </w:r>
          </w:p>
        </w:tc>
        <w:tc>
          <w:tcPr>
            <w:tcW w:w="1312" w:type="pct"/>
            <w:gridSpan w:val="2"/>
            <w:shd w:val="clear" w:color="auto" w:fill="auto"/>
          </w:tcPr>
          <w:p w14:paraId="5FE6FCC1" w14:textId="77777777" w:rsidR="002C1266" w:rsidRPr="00EB70F8" w:rsidRDefault="002C1266" w:rsidP="009571EF">
            <w:pPr>
              <w:pStyle w:val="Tabletext"/>
              <w:keepNext/>
              <w:keepLines/>
              <w:jc w:val="center"/>
            </w:pPr>
            <w:r w:rsidRPr="00EB70F8">
              <w:t>0.89 [0.40, 2.01]</w:t>
            </w:r>
          </w:p>
        </w:tc>
      </w:tr>
      <w:tr w:rsidR="002C1266" w:rsidRPr="00EB70F8" w14:paraId="23F7C1C3" w14:textId="77777777">
        <w:tc>
          <w:tcPr>
            <w:tcW w:w="1018" w:type="pct"/>
            <w:vMerge/>
            <w:shd w:val="clear" w:color="auto" w:fill="auto"/>
          </w:tcPr>
          <w:p w14:paraId="0922BFDB" w14:textId="77777777" w:rsidR="002C1266" w:rsidRPr="00EB70F8" w:rsidRDefault="002C1266" w:rsidP="009571EF">
            <w:pPr>
              <w:pStyle w:val="Tabletext"/>
              <w:keepNext/>
              <w:keepLines/>
            </w:pPr>
          </w:p>
        </w:tc>
        <w:tc>
          <w:tcPr>
            <w:tcW w:w="789" w:type="pct"/>
            <w:shd w:val="clear" w:color="auto" w:fill="auto"/>
          </w:tcPr>
          <w:p w14:paraId="1526D754" w14:textId="77777777" w:rsidR="002C1266" w:rsidRPr="00EB70F8" w:rsidRDefault="002C1266" w:rsidP="009571EF">
            <w:pPr>
              <w:pStyle w:val="Tabletext"/>
              <w:keepNext/>
              <w:keepLines/>
            </w:pPr>
            <w:r w:rsidRPr="00EB70F8">
              <w:t xml:space="preserve">MERIT </w:t>
            </w:r>
          </w:p>
        </w:tc>
        <w:tc>
          <w:tcPr>
            <w:tcW w:w="1020" w:type="pct"/>
            <w:shd w:val="clear" w:color="auto" w:fill="auto"/>
          </w:tcPr>
          <w:p w14:paraId="0E1F6FC9" w14:textId="77777777" w:rsidR="002C1266" w:rsidRPr="00EB70F8" w:rsidRDefault="002C1266" w:rsidP="009571EF">
            <w:pPr>
              <w:pStyle w:val="Tabletext"/>
              <w:keepNext/>
              <w:keepLines/>
              <w:jc w:val="center"/>
            </w:pPr>
            <w:r w:rsidRPr="00EB70F8">
              <w:t>0/84 (0)</w:t>
            </w:r>
          </w:p>
        </w:tc>
        <w:tc>
          <w:tcPr>
            <w:tcW w:w="861" w:type="pct"/>
            <w:shd w:val="clear" w:color="auto" w:fill="auto"/>
          </w:tcPr>
          <w:p w14:paraId="67102352" w14:textId="77777777" w:rsidR="002C1266" w:rsidRPr="00EB70F8" w:rsidRDefault="002C1266" w:rsidP="009571EF">
            <w:pPr>
              <w:pStyle w:val="Tabletext"/>
              <w:keepNext/>
              <w:keepLines/>
              <w:jc w:val="center"/>
            </w:pPr>
            <w:r w:rsidRPr="00EB70F8">
              <w:t xml:space="preserve">4/85 </w:t>
            </w:r>
            <w:r>
              <w:t>(</w:t>
            </w:r>
            <w:r w:rsidRPr="00EB70F8">
              <w:t>4.7)</w:t>
            </w:r>
          </w:p>
        </w:tc>
        <w:tc>
          <w:tcPr>
            <w:tcW w:w="1312" w:type="pct"/>
            <w:gridSpan w:val="2"/>
            <w:shd w:val="clear" w:color="auto" w:fill="auto"/>
          </w:tcPr>
          <w:p w14:paraId="7127EE8E" w14:textId="77777777" w:rsidR="002C1266" w:rsidRPr="00EB70F8" w:rsidRDefault="002C1266" w:rsidP="009571EF">
            <w:pPr>
              <w:pStyle w:val="Tabletext"/>
              <w:keepNext/>
              <w:keepLines/>
              <w:jc w:val="center"/>
            </w:pPr>
            <w:r w:rsidRPr="00EB70F8">
              <w:t>0.11 [0.01, 2.02]</w:t>
            </w:r>
          </w:p>
        </w:tc>
      </w:tr>
      <w:tr w:rsidR="002C1266" w:rsidRPr="00EB70F8" w14:paraId="1884DCEA" w14:textId="77777777">
        <w:tc>
          <w:tcPr>
            <w:tcW w:w="1018" w:type="pct"/>
            <w:vMerge/>
            <w:shd w:val="clear" w:color="auto" w:fill="auto"/>
          </w:tcPr>
          <w:p w14:paraId="72D11933" w14:textId="77777777" w:rsidR="002C1266" w:rsidRPr="00EB70F8" w:rsidRDefault="002C1266" w:rsidP="009571EF">
            <w:pPr>
              <w:pStyle w:val="Tabletext"/>
              <w:keepNext/>
              <w:keepLines/>
            </w:pPr>
          </w:p>
        </w:tc>
        <w:tc>
          <w:tcPr>
            <w:tcW w:w="2670" w:type="pct"/>
            <w:gridSpan w:val="3"/>
            <w:shd w:val="clear" w:color="auto" w:fill="auto"/>
          </w:tcPr>
          <w:p w14:paraId="5AC09EAE" w14:textId="77777777" w:rsidR="002C1266" w:rsidRPr="00EB70F8" w:rsidRDefault="002C1266" w:rsidP="009571EF">
            <w:pPr>
              <w:pStyle w:val="Tabletext"/>
              <w:keepNext/>
              <w:keepLines/>
            </w:pPr>
            <w:r w:rsidRPr="00EB70F8">
              <w:t>SYNAPSE/MERIT MA k=2</w:t>
            </w:r>
          </w:p>
        </w:tc>
        <w:tc>
          <w:tcPr>
            <w:tcW w:w="1312" w:type="pct"/>
            <w:gridSpan w:val="2"/>
            <w:shd w:val="clear" w:color="auto" w:fill="auto"/>
          </w:tcPr>
          <w:p w14:paraId="2A945B72" w14:textId="77777777" w:rsidR="002C1266" w:rsidRPr="00EB70F8" w:rsidRDefault="002C1266" w:rsidP="009571EF">
            <w:pPr>
              <w:pStyle w:val="Tabletext"/>
              <w:keepNext/>
              <w:keepLines/>
              <w:jc w:val="center"/>
            </w:pPr>
            <w:r w:rsidRPr="00EB70F8">
              <w:t>0.49 [0.07, 3.33]</w:t>
            </w:r>
          </w:p>
        </w:tc>
      </w:tr>
      <w:tr w:rsidR="002C1266" w:rsidRPr="00EB70F8" w14:paraId="223DA990" w14:textId="77777777">
        <w:tc>
          <w:tcPr>
            <w:tcW w:w="1018" w:type="pct"/>
            <w:shd w:val="clear" w:color="auto" w:fill="D9D9D9" w:themeFill="background1" w:themeFillShade="D9"/>
          </w:tcPr>
          <w:p w14:paraId="3C1BAED6" w14:textId="77777777" w:rsidR="002C1266" w:rsidRPr="00EB70F8" w:rsidRDefault="002C1266" w:rsidP="009571EF">
            <w:pPr>
              <w:pStyle w:val="Tabletext"/>
              <w:keepNext/>
              <w:keepLines/>
            </w:pPr>
            <w:r w:rsidRPr="00EB70F8">
              <w:t>ITC OMA vs. MEPO</w:t>
            </w:r>
          </w:p>
        </w:tc>
        <w:tc>
          <w:tcPr>
            <w:tcW w:w="2670" w:type="pct"/>
            <w:gridSpan w:val="3"/>
            <w:shd w:val="clear" w:color="auto" w:fill="D9D9D9" w:themeFill="background1" w:themeFillShade="D9"/>
          </w:tcPr>
          <w:p w14:paraId="0D0F1991" w14:textId="77777777" w:rsidR="002C1266" w:rsidRPr="00EB70F8" w:rsidRDefault="002C1266" w:rsidP="009571EF">
            <w:pPr>
              <w:pStyle w:val="Tabletext"/>
              <w:keepNext/>
              <w:keepLines/>
            </w:pPr>
            <w:r w:rsidRPr="00EB70F8">
              <w:t>POLYP 1/2 (N=135) vs. SYNAPSE/MERIT (N=290) MA</w:t>
            </w:r>
          </w:p>
        </w:tc>
        <w:tc>
          <w:tcPr>
            <w:tcW w:w="1312" w:type="pct"/>
            <w:gridSpan w:val="2"/>
            <w:shd w:val="clear" w:color="auto" w:fill="D9D9D9" w:themeFill="background1" w:themeFillShade="D9"/>
          </w:tcPr>
          <w:p w14:paraId="175490A4" w14:textId="77777777" w:rsidR="002C1266" w:rsidRPr="00EB70F8" w:rsidRDefault="002C1266" w:rsidP="009571EF">
            <w:pPr>
              <w:pStyle w:val="Tabletext"/>
              <w:keepNext/>
              <w:keepLines/>
              <w:jc w:val="center"/>
            </w:pPr>
            <w:r w:rsidRPr="00EB70F8">
              <w:t>2.63 [0.14, 50.24]; p=0.52</w:t>
            </w:r>
          </w:p>
        </w:tc>
      </w:tr>
    </w:tbl>
    <w:p w14:paraId="329EC5D1" w14:textId="77777777" w:rsidR="002C1266" w:rsidRDefault="002C1266" w:rsidP="009571EF">
      <w:pPr>
        <w:pStyle w:val="TableFigureFooter"/>
        <w:keepNext/>
        <w:jc w:val="both"/>
      </w:pPr>
      <w:r>
        <w:t>Source: Table 2.45, pp123-124 of the submission.</w:t>
      </w:r>
    </w:p>
    <w:p w14:paraId="1017A7DD" w14:textId="2C9A7309" w:rsidR="002C1266" w:rsidRDefault="002C1266" w:rsidP="009571EF">
      <w:pPr>
        <w:pStyle w:val="TableFigureFooter"/>
        <w:jc w:val="both"/>
      </w:pPr>
      <w:r w:rsidRPr="2BCE08C6">
        <w:t xml:space="preserve">AE, adverse event; CI, confidence interval; ITC, indirect treatment comparison; k, number of studies; MA, meta-analysis; MEPO, mepolizumab; n, number of participants; N, total participants in group; OMA, omalizumab; </w:t>
      </w:r>
      <w:proofErr w:type="gramStart"/>
      <w:r w:rsidRPr="2BCE08C6">
        <w:t>OR,</w:t>
      </w:r>
      <w:proofErr w:type="gramEnd"/>
      <w:r w:rsidRPr="2BCE08C6">
        <w:t xml:space="preserve"> odds ratio; PBO, placebo; SAE, serious adverse events</w:t>
      </w:r>
      <w:r w:rsidR="000158DE">
        <w:t>; SoC, standard of care</w:t>
      </w:r>
      <w:r w:rsidRPr="2BCE08C6">
        <w:t xml:space="preserve">. </w:t>
      </w:r>
    </w:p>
    <w:p w14:paraId="768F80F4" w14:textId="3FE827D2" w:rsidR="002C1266" w:rsidRPr="00D36A0D" w:rsidRDefault="002C1266" w:rsidP="2BCE08C6">
      <w:pPr>
        <w:pStyle w:val="3-BodyText"/>
        <w:rPr>
          <w:i/>
          <w:iCs/>
        </w:rPr>
      </w:pPr>
      <w:r w:rsidRPr="2BCE08C6">
        <w:t xml:space="preserve">The ITC between the meta-analysed results of the POLYP 1/2 trials and meta-analysed results of the SYNAPSE/MERIT trials showed no statistically significant differences between omalizumab and mepolizumab in any AE (OR=0.71 [95% CI: 0.37, 1.36]), any treatment-related AE (OR=1.84 [95% CI: 0.32, 10.69]), any AE leading to discontinuation (OR=0.41 [95% CI: 0.01, 14.04]) and any SAE (OR=2.63 [95% CI: 0.14, 50.24]). </w:t>
      </w:r>
      <w:r w:rsidRPr="00D6211B">
        <w:t xml:space="preserve">Results from MERIT were inconsistent and different from SYNAPSE (for example OR 1.63 (0.89, 3.01) versus OR 0.39 (0.07, 2.07) for any treatment-related AE). SYNAPSE </w:t>
      </w:r>
      <w:r w:rsidR="00C70643">
        <w:t>wa</w:t>
      </w:r>
      <w:r w:rsidR="00C70643" w:rsidRPr="00D6211B">
        <w:t xml:space="preserve">s </w:t>
      </w:r>
      <w:r w:rsidRPr="00D6211B">
        <w:t>considered more similar to Australian patients and setting.</w:t>
      </w:r>
      <w:r w:rsidRPr="2BCE08C6">
        <w:rPr>
          <w:i/>
          <w:iCs/>
        </w:rPr>
        <w:t xml:space="preserve"> </w:t>
      </w:r>
    </w:p>
    <w:p w14:paraId="7A530F44" w14:textId="483D27F7" w:rsidR="002C1266" w:rsidRPr="0098262F" w:rsidRDefault="002C1266" w:rsidP="002C1266">
      <w:pPr>
        <w:pStyle w:val="4-SubsectionHeading"/>
      </w:pPr>
      <w:bookmarkStart w:id="51" w:name="_Toc22897643"/>
      <w:bookmarkStart w:id="52" w:name="_Toc193290749"/>
      <w:r w:rsidRPr="0098262F">
        <w:lastRenderedPageBreak/>
        <w:t>Benefits/harms</w:t>
      </w:r>
      <w:bookmarkEnd w:id="51"/>
      <w:bookmarkEnd w:id="52"/>
    </w:p>
    <w:p w14:paraId="212813B3" w14:textId="484C6F1E" w:rsidR="00BD64EA" w:rsidRPr="00D6211B" w:rsidRDefault="00BD64EA" w:rsidP="002C1266">
      <w:pPr>
        <w:pStyle w:val="3-BodyText"/>
      </w:pPr>
      <w:r w:rsidRPr="00D6211B">
        <w:t xml:space="preserve">A benefits and harms table </w:t>
      </w:r>
      <w:proofErr w:type="gramStart"/>
      <w:r w:rsidR="00C70643">
        <w:t>wa</w:t>
      </w:r>
      <w:r w:rsidR="00C70643" w:rsidRPr="00D6211B">
        <w:t>s</w:t>
      </w:r>
      <w:proofErr w:type="gramEnd"/>
      <w:r w:rsidR="00C70643" w:rsidRPr="00D6211B">
        <w:t xml:space="preserve"> </w:t>
      </w:r>
      <w:r w:rsidRPr="00D6211B">
        <w:t>not presented as the submission made a claim of non-inferiority.</w:t>
      </w:r>
    </w:p>
    <w:p w14:paraId="68F9ED5B" w14:textId="77777777" w:rsidR="002C1266" w:rsidRPr="0098262F" w:rsidRDefault="002C1266" w:rsidP="002C1266">
      <w:pPr>
        <w:pStyle w:val="4-SubsectionHeading"/>
      </w:pPr>
      <w:bookmarkStart w:id="53" w:name="_Toc22897644"/>
      <w:bookmarkStart w:id="54" w:name="_Toc193290750"/>
      <w:r w:rsidRPr="0098262F">
        <w:t>Clinical claim</w:t>
      </w:r>
      <w:bookmarkEnd w:id="53"/>
      <w:bookmarkEnd w:id="54"/>
    </w:p>
    <w:p w14:paraId="764D18AF" w14:textId="6B30FF07" w:rsidR="00AD75E2" w:rsidRPr="001F30CC" w:rsidRDefault="002C1266">
      <w:pPr>
        <w:pStyle w:val="3-BodyText"/>
        <w:rPr>
          <w:rFonts w:eastAsia="Calibri"/>
        </w:rPr>
      </w:pPr>
      <w:r w:rsidRPr="00AD75E2">
        <w:rPr>
          <w:rFonts w:eastAsia="Calibri"/>
        </w:rPr>
        <w:t xml:space="preserve">The submission described omalizumab as non-inferior in terms of effectiveness and safety compared to mepolizumab. </w:t>
      </w:r>
      <w:r w:rsidR="00AD75E2" w:rsidRPr="001F30CC">
        <w:rPr>
          <w:rFonts w:eastAsia="Calibri"/>
        </w:rPr>
        <w:t>The ESC considered the claims reasonable, noting the following issues raised in the evaluation</w:t>
      </w:r>
      <w:r w:rsidR="00AD75E2" w:rsidRPr="001F30CC">
        <w:rPr>
          <w:rFonts w:ascii="Calibri" w:eastAsia="Calibri" w:hAnsi="Calibri" w:cs="Calibri"/>
        </w:rPr>
        <w:t>:</w:t>
      </w:r>
    </w:p>
    <w:p w14:paraId="4D0D0A34" w14:textId="5170B2A1" w:rsidR="002C1266" w:rsidRPr="00AD75E2" w:rsidRDefault="006A1491" w:rsidP="006B5191">
      <w:pPr>
        <w:pStyle w:val="3-BodyText"/>
        <w:numPr>
          <w:ilvl w:val="0"/>
          <w:numId w:val="17"/>
        </w:numPr>
        <w:ind w:left="1134"/>
        <w:rPr>
          <w:rFonts w:eastAsia="Calibri"/>
        </w:rPr>
      </w:pPr>
      <w:r w:rsidRPr="00AD75E2">
        <w:rPr>
          <w:rFonts w:eastAsia="Calibri"/>
        </w:rPr>
        <w:t>T</w:t>
      </w:r>
      <w:r w:rsidR="002C1266" w:rsidRPr="00AD75E2">
        <w:rPr>
          <w:rFonts w:eastAsia="Calibri"/>
        </w:rPr>
        <w:t>here were limitations in the methodology</w:t>
      </w:r>
      <w:r w:rsidR="000944DF" w:rsidRPr="00AD75E2">
        <w:rPr>
          <w:rFonts w:eastAsia="Calibri"/>
        </w:rPr>
        <w:t xml:space="preserve"> in</w:t>
      </w:r>
      <w:r w:rsidR="002C1266" w:rsidRPr="00AD75E2">
        <w:rPr>
          <w:rFonts w:eastAsia="Calibri"/>
        </w:rPr>
        <w:t xml:space="preserve"> </w:t>
      </w:r>
      <w:r w:rsidR="00C61F41" w:rsidRPr="00AD75E2">
        <w:rPr>
          <w:rFonts w:eastAsia="Calibri"/>
          <w:lang w:val="en-US"/>
        </w:rPr>
        <w:t>the ITC between omalizumab versus mepolizumab</w:t>
      </w:r>
      <w:r w:rsidR="002C1266" w:rsidRPr="00AD75E2">
        <w:rPr>
          <w:rFonts w:eastAsia="Calibri"/>
        </w:rPr>
        <w:t>.</w:t>
      </w:r>
    </w:p>
    <w:p w14:paraId="1FF836D9" w14:textId="584BC7FF" w:rsidR="001A5D3A" w:rsidRPr="001A5D3A" w:rsidRDefault="002C1266" w:rsidP="006B5191">
      <w:pPr>
        <w:pStyle w:val="Bulletpoints"/>
        <w:numPr>
          <w:ilvl w:val="1"/>
          <w:numId w:val="2"/>
        </w:numPr>
        <w:ind w:left="1560"/>
        <w:jc w:val="both"/>
        <w:rPr>
          <w:rFonts w:ascii="Calibri" w:eastAsia="Calibri" w:hAnsi="Calibri" w:cs="Calibri"/>
          <w:snapToGrid/>
          <w:szCs w:val="22"/>
        </w:rPr>
      </w:pPr>
      <w:r w:rsidRPr="001A5D3A">
        <w:rPr>
          <w:rFonts w:eastAsia="Calibri"/>
        </w:rPr>
        <w:t xml:space="preserve">The </w:t>
      </w:r>
      <w:r w:rsidR="00EC4B39" w:rsidRPr="001A5D3A">
        <w:rPr>
          <w:rFonts w:eastAsia="Calibri"/>
        </w:rPr>
        <w:t xml:space="preserve">transitivity </w:t>
      </w:r>
      <w:r w:rsidRPr="001A5D3A">
        <w:rPr>
          <w:rFonts w:eastAsia="Calibri"/>
        </w:rPr>
        <w:t xml:space="preserve">assumption </w:t>
      </w:r>
      <w:r w:rsidR="00EC4B39" w:rsidRPr="001A5D3A">
        <w:rPr>
          <w:rFonts w:eastAsia="Calibri"/>
        </w:rPr>
        <w:t>wa</w:t>
      </w:r>
      <w:r w:rsidRPr="001A5D3A">
        <w:rPr>
          <w:rFonts w:eastAsia="Calibri"/>
        </w:rPr>
        <w:t>s unlikely to hold because there were key differences in the eligibility criteria, study design, baseline characteristics and duration of treatment between the ITT populations and post-hoc subgroups of omalizumab (POLYP 1/2) and mepolizumab (SYNAPSE and MERIT) trials. The</w:t>
      </w:r>
      <w:r w:rsidR="00163B58" w:rsidRPr="001A5D3A">
        <w:rPr>
          <w:rFonts w:eastAsia="Calibri"/>
        </w:rPr>
        <w:t>re</w:t>
      </w:r>
      <w:r w:rsidRPr="001A5D3A">
        <w:rPr>
          <w:rFonts w:eastAsia="Calibri"/>
        </w:rPr>
        <w:t xml:space="preserve"> </w:t>
      </w:r>
      <w:r w:rsidR="00A76FCB" w:rsidRPr="001A5D3A">
        <w:rPr>
          <w:rFonts w:eastAsia="Calibri"/>
        </w:rPr>
        <w:t>was no</w:t>
      </w:r>
      <w:r w:rsidRPr="001A5D3A">
        <w:rPr>
          <w:rFonts w:eastAsia="Calibri"/>
        </w:rPr>
        <w:t xml:space="preserve"> adjustment </w:t>
      </w:r>
      <w:r w:rsidR="00EC4B39" w:rsidRPr="001A5D3A">
        <w:rPr>
          <w:rFonts w:eastAsia="Calibri"/>
        </w:rPr>
        <w:t xml:space="preserve">for </w:t>
      </w:r>
      <w:r w:rsidRPr="001A5D3A">
        <w:rPr>
          <w:rFonts w:eastAsia="Calibri"/>
        </w:rPr>
        <w:t xml:space="preserve">differences between trials </w:t>
      </w:r>
      <w:r w:rsidR="00A76FCB" w:rsidRPr="001A5D3A">
        <w:rPr>
          <w:rFonts w:eastAsia="Calibri"/>
        </w:rPr>
        <w:t>and the</w:t>
      </w:r>
      <w:r w:rsidRPr="001A5D3A">
        <w:rPr>
          <w:rFonts w:eastAsia="Calibri"/>
        </w:rPr>
        <w:t xml:space="preserve"> direction and magnitude of the impact of these combined differences on results </w:t>
      </w:r>
      <w:r w:rsidR="008B61FC" w:rsidRPr="001A5D3A">
        <w:rPr>
          <w:rFonts w:eastAsia="Calibri"/>
        </w:rPr>
        <w:t>wa</w:t>
      </w:r>
      <w:r w:rsidRPr="001A5D3A">
        <w:rPr>
          <w:rFonts w:eastAsia="Calibri"/>
        </w:rPr>
        <w:t xml:space="preserve">s uncertain. Given the availability of IPD of the POLYP trials, a matched adjusted ITC </w:t>
      </w:r>
      <w:r w:rsidR="00A137A9" w:rsidRPr="001A5D3A">
        <w:rPr>
          <w:rFonts w:eastAsia="Calibri"/>
        </w:rPr>
        <w:t xml:space="preserve">could </w:t>
      </w:r>
      <w:r w:rsidR="008B61FC" w:rsidRPr="001A5D3A">
        <w:rPr>
          <w:rFonts w:eastAsia="Calibri"/>
        </w:rPr>
        <w:t>have been</w:t>
      </w:r>
      <w:r w:rsidRPr="001A5D3A">
        <w:rPr>
          <w:rFonts w:eastAsia="Calibri"/>
        </w:rPr>
        <w:t xml:space="preserve"> a more appropriate methodology to account for differences between trials</w:t>
      </w:r>
      <w:r w:rsidR="00B41EBB" w:rsidRPr="001A5D3A">
        <w:rPr>
          <w:rFonts w:eastAsia="Calibri"/>
        </w:rPr>
        <w:t xml:space="preserve"> </w:t>
      </w:r>
      <w:r w:rsidR="00B41EBB" w:rsidRPr="001A5D3A">
        <w:rPr>
          <w:rFonts w:eastAsia="Calibri"/>
          <w:lang w:val="en-US"/>
        </w:rPr>
        <w:t>and support the clinical claim</w:t>
      </w:r>
      <w:r w:rsidRPr="001A5D3A">
        <w:rPr>
          <w:rFonts w:eastAsia="Calibri"/>
        </w:rPr>
        <w:t>.</w:t>
      </w:r>
      <w:r w:rsidR="005E3538" w:rsidRPr="001A5D3A">
        <w:rPr>
          <w:rFonts w:eastAsia="Calibri"/>
        </w:rPr>
        <w:t xml:space="preserve"> </w:t>
      </w:r>
      <w:r w:rsidR="001A5D3A" w:rsidRPr="001F30CC">
        <w:rPr>
          <w:rFonts w:eastAsia="Calibri"/>
        </w:rPr>
        <w:t xml:space="preserve">The PSCR argued that a MAIC was not appropriate because of the limited number of treatment effect modifier variables available for matching and the small effective sample size after matching, and this was consistent with recent PBAC decisions (paragraph 7.7, Ibrutinib PSD, March 2024). </w:t>
      </w:r>
      <w:r w:rsidR="007A5A53" w:rsidRPr="001F30CC">
        <w:rPr>
          <w:rFonts w:eastAsia="Calibri"/>
        </w:rPr>
        <w:t xml:space="preserve">The </w:t>
      </w:r>
      <w:r w:rsidR="001A5D3A" w:rsidRPr="001F30CC">
        <w:rPr>
          <w:rFonts w:eastAsia="Calibri"/>
        </w:rPr>
        <w:t xml:space="preserve">ESC advised that </w:t>
      </w:r>
      <w:r w:rsidR="001A5D3A" w:rsidRPr="001F30CC">
        <w:rPr>
          <w:rFonts w:ascii="Calibri" w:eastAsia="Calibri" w:hAnsi="Calibri" w:cs="Calibri"/>
        </w:rPr>
        <w:t>the PSCR argument was reasonable and that it was unlikely that a MAIC would have produced a different result.</w:t>
      </w:r>
      <w:r w:rsidR="001A5D3A" w:rsidRPr="001A5D3A">
        <w:rPr>
          <w:rFonts w:ascii="Calibri" w:eastAsia="Calibri" w:hAnsi="Calibri" w:cs="Calibri"/>
        </w:rPr>
        <w:t xml:space="preserve"> </w:t>
      </w:r>
    </w:p>
    <w:p w14:paraId="6D964CE6" w14:textId="3C22CEC1" w:rsidR="003F2A6A" w:rsidRPr="001A5D3A" w:rsidRDefault="00AE5517" w:rsidP="006B5191">
      <w:pPr>
        <w:pStyle w:val="ListParagraph"/>
        <w:ind w:left="1134"/>
        <w:jc w:val="both"/>
        <w:rPr>
          <w:rFonts w:eastAsia="Calibri"/>
        </w:rPr>
      </w:pPr>
      <w:r w:rsidRPr="001A5D3A">
        <w:rPr>
          <w:rFonts w:eastAsia="Calibri"/>
        </w:rPr>
        <w:t>All p</w:t>
      </w:r>
      <w:r w:rsidR="003F2A6A" w:rsidRPr="001A5D3A">
        <w:rPr>
          <w:rFonts w:eastAsia="Calibri"/>
        </w:rPr>
        <w:t xml:space="preserve">ost hoc subgroup analyses of pooled data from these trials </w:t>
      </w:r>
      <w:r w:rsidR="001D6D41" w:rsidRPr="001A5D3A">
        <w:rPr>
          <w:rFonts w:eastAsia="Calibri"/>
        </w:rPr>
        <w:t xml:space="preserve">(including different BEC levels) </w:t>
      </w:r>
      <w:r w:rsidR="003F2A6A" w:rsidRPr="001A5D3A">
        <w:rPr>
          <w:rFonts w:eastAsia="Calibri"/>
        </w:rPr>
        <w:t>showed no notable differences in efficacy outcomes. These results were used to support the removal of the clinical criterion of BEC level but should be interpreted with caution due to risk of bias associated with post hoc analyses.</w:t>
      </w:r>
    </w:p>
    <w:p w14:paraId="18B05952" w14:textId="044531DB" w:rsidR="002C1266" w:rsidRPr="000830C4" w:rsidRDefault="002C1266" w:rsidP="006B5191">
      <w:pPr>
        <w:pStyle w:val="ListParagraph"/>
        <w:ind w:left="1134"/>
        <w:jc w:val="both"/>
        <w:rPr>
          <w:rFonts w:eastAsia="Calibri"/>
        </w:rPr>
      </w:pPr>
      <w:r w:rsidRPr="000830C4">
        <w:rPr>
          <w:rFonts w:eastAsia="Calibri"/>
        </w:rPr>
        <w:t>The systematic review (Papacharalampous et al. 2024) identified during the evaluation highlighted similar limitations with the included ITC studies, in which there was heterogeneity in terms of inclusion criteria, endpoints selection, methodology, and data extraction, making indirect comparative assessment of biologics challenging and problematic, providing a low level of evidence.</w:t>
      </w:r>
    </w:p>
    <w:p w14:paraId="28647884" w14:textId="6E4453D5" w:rsidR="002C1266" w:rsidRPr="001F30CC" w:rsidRDefault="002C1266" w:rsidP="006B5191">
      <w:pPr>
        <w:pStyle w:val="ListParagraph"/>
        <w:ind w:left="1134"/>
        <w:jc w:val="both"/>
        <w:rPr>
          <w:rFonts w:eastAsia="Calibri"/>
        </w:rPr>
      </w:pPr>
      <w:r w:rsidRPr="000830C4">
        <w:rPr>
          <w:rFonts w:eastAsia="Calibri"/>
        </w:rPr>
        <w:t>There was no evidence available to support assessment</w:t>
      </w:r>
      <w:r w:rsidR="005A1556" w:rsidRPr="000830C4">
        <w:rPr>
          <w:rFonts w:eastAsia="Calibri"/>
        </w:rPr>
        <w:t>s</w:t>
      </w:r>
      <w:r w:rsidRPr="000830C4">
        <w:rPr>
          <w:rFonts w:eastAsia="Calibri"/>
        </w:rPr>
        <w:t xml:space="preserve"> of </w:t>
      </w:r>
      <w:r w:rsidR="009452CF" w:rsidRPr="000830C4">
        <w:rPr>
          <w:rFonts w:eastAsia="Calibri"/>
        </w:rPr>
        <w:t xml:space="preserve">non-inferiority </w:t>
      </w:r>
      <w:r w:rsidR="00436EA2" w:rsidRPr="000830C4">
        <w:rPr>
          <w:rFonts w:eastAsia="Calibri"/>
        </w:rPr>
        <w:t>between</w:t>
      </w:r>
      <w:r w:rsidRPr="000830C4">
        <w:rPr>
          <w:rFonts w:eastAsia="Calibri"/>
        </w:rPr>
        <w:t xml:space="preserve"> omalizumab </w:t>
      </w:r>
      <w:r w:rsidR="00436EA2" w:rsidRPr="000830C4">
        <w:rPr>
          <w:rFonts w:eastAsia="Calibri"/>
        </w:rPr>
        <w:t xml:space="preserve">and mepolizumab </w:t>
      </w:r>
      <w:r w:rsidRPr="000830C4">
        <w:rPr>
          <w:rFonts w:eastAsia="Calibri"/>
        </w:rPr>
        <w:t xml:space="preserve">in patients who were unsuitable for surgery or contraindicated or intolerant to INCS, however the proposed </w:t>
      </w:r>
      <w:r w:rsidR="00730B63" w:rsidRPr="000830C4">
        <w:rPr>
          <w:rFonts w:eastAsia="Calibri"/>
        </w:rPr>
        <w:t xml:space="preserve">PBS </w:t>
      </w:r>
      <w:r w:rsidRPr="000830C4">
        <w:rPr>
          <w:rFonts w:eastAsia="Calibri"/>
        </w:rPr>
        <w:t xml:space="preserve">restriction </w:t>
      </w:r>
      <w:r w:rsidR="00730B63" w:rsidRPr="000830C4">
        <w:rPr>
          <w:rFonts w:eastAsia="Calibri"/>
        </w:rPr>
        <w:t>w</w:t>
      </w:r>
      <w:r w:rsidRPr="000830C4">
        <w:rPr>
          <w:rFonts w:eastAsia="Calibri"/>
        </w:rPr>
        <w:t>ould allow use</w:t>
      </w:r>
      <w:r w:rsidR="001B751B" w:rsidRPr="000830C4">
        <w:rPr>
          <w:rFonts w:eastAsia="Calibri"/>
        </w:rPr>
        <w:t xml:space="preserve"> of omalizumab in these patients</w:t>
      </w:r>
      <w:r w:rsidRPr="000830C4">
        <w:rPr>
          <w:rFonts w:eastAsia="Calibri"/>
        </w:rPr>
        <w:t>.</w:t>
      </w:r>
      <w:r w:rsidR="00DC73F5">
        <w:rPr>
          <w:rFonts w:eastAsia="Calibri"/>
        </w:rPr>
        <w:t xml:space="preserve"> </w:t>
      </w:r>
      <w:r w:rsidR="00DC73F5" w:rsidRPr="001F30CC">
        <w:t>The</w:t>
      </w:r>
      <w:r w:rsidR="00DC73F5" w:rsidRPr="001F30CC">
        <w:rPr>
          <w:rFonts w:ascii="Segoe UI" w:hAnsi="Segoe UI" w:cs="Segoe UI"/>
          <w:sz w:val="18"/>
          <w:szCs w:val="18"/>
        </w:rPr>
        <w:t xml:space="preserve"> </w:t>
      </w:r>
      <w:r w:rsidR="00DC73F5" w:rsidRPr="001F30CC">
        <w:rPr>
          <w:rFonts w:eastAsia="Calibri"/>
        </w:rPr>
        <w:t xml:space="preserve">PSCR acknowledged there was a lack of data supporting the efficacy of omalizumab in </w:t>
      </w:r>
      <w:r w:rsidR="00DC73F5" w:rsidRPr="001F30CC">
        <w:rPr>
          <w:rFonts w:eastAsia="Calibri"/>
        </w:rPr>
        <w:lastRenderedPageBreak/>
        <w:t>this population. PSCR noted that during PBAC’s</w:t>
      </w:r>
      <w:r w:rsidR="00DC73F5" w:rsidRPr="00FC0FFE">
        <w:rPr>
          <w:rFonts w:eastAsia="Calibri"/>
          <w:i/>
          <w:iCs/>
        </w:rPr>
        <w:t xml:space="preserve"> </w:t>
      </w:r>
      <w:r w:rsidR="00DC73F5" w:rsidRPr="001F30CC">
        <w:rPr>
          <w:rFonts w:eastAsia="Calibri"/>
        </w:rPr>
        <w:t>consideration of mepolizumab, despite the absence of this evidence, PBAC agreed to reimburse this population with a risk sharing arrangement (RSA) (para. 7.2, mepolizumab PSD, November</w:t>
      </w:r>
      <w:r w:rsidR="009571EF">
        <w:rPr>
          <w:rFonts w:eastAsia="Calibri"/>
        </w:rPr>
        <w:t> </w:t>
      </w:r>
      <w:r w:rsidR="00DC73F5" w:rsidRPr="001F30CC">
        <w:rPr>
          <w:rFonts w:eastAsia="Calibri"/>
        </w:rPr>
        <w:t>2022). PSCR acknowledged that any uncertainty in the clinical claim for omalizumab in this patient population would also be managed through same RSA arrangements.</w:t>
      </w:r>
    </w:p>
    <w:p w14:paraId="122FC44B" w14:textId="77777777" w:rsidR="00BC00BB" w:rsidRPr="001F30CC" w:rsidRDefault="00BC00BB" w:rsidP="00B3555A">
      <w:pPr>
        <w:pStyle w:val="3-BodyText"/>
        <w:rPr>
          <w:rFonts w:eastAsia="Calibri"/>
        </w:rPr>
      </w:pPr>
      <w:r w:rsidRPr="001F30CC">
        <w:rPr>
          <w:rFonts w:eastAsia="Calibri"/>
        </w:rPr>
        <w:t xml:space="preserve">The ESC noted that the results of the POLYP trials suggest omalizumab is more effective than </w:t>
      </w:r>
      <w:proofErr w:type="spellStart"/>
      <w:r w:rsidRPr="001F30CC">
        <w:rPr>
          <w:rFonts w:eastAsia="Calibri"/>
        </w:rPr>
        <w:t>SoC.</w:t>
      </w:r>
      <w:proofErr w:type="spellEnd"/>
    </w:p>
    <w:p w14:paraId="290DB559" w14:textId="646B460B" w:rsidR="00396790" w:rsidRPr="001F30CC" w:rsidRDefault="00BC00BB" w:rsidP="00B3555A">
      <w:pPr>
        <w:pStyle w:val="3-BodyText"/>
        <w:rPr>
          <w:rFonts w:eastAsia="Calibri"/>
        </w:rPr>
      </w:pPr>
      <w:r w:rsidRPr="001F30CC">
        <w:rPr>
          <w:rFonts w:eastAsia="Calibri"/>
        </w:rPr>
        <w:t xml:space="preserve"> </w:t>
      </w:r>
      <w:r w:rsidR="00396790" w:rsidRPr="001F30CC">
        <w:rPr>
          <w:rFonts w:eastAsia="Calibri"/>
        </w:rPr>
        <w:t xml:space="preserve">The ESC </w:t>
      </w:r>
      <w:r w:rsidRPr="001F30CC">
        <w:rPr>
          <w:rFonts w:eastAsia="Calibri"/>
        </w:rPr>
        <w:t>considered, despite the identified limitations with the ITCs,</w:t>
      </w:r>
      <w:r w:rsidR="00396790" w:rsidRPr="001F30CC">
        <w:rPr>
          <w:rFonts w:eastAsia="Calibri"/>
        </w:rPr>
        <w:t xml:space="preserve"> </w:t>
      </w:r>
      <w:r w:rsidRPr="001F30CC">
        <w:rPr>
          <w:rFonts w:eastAsia="Calibri"/>
        </w:rPr>
        <w:t>there were</w:t>
      </w:r>
      <w:r w:rsidR="00396790" w:rsidRPr="001F30CC">
        <w:rPr>
          <w:rFonts w:eastAsia="Calibri"/>
        </w:rPr>
        <w:t xml:space="preserve"> </w:t>
      </w:r>
      <w:r w:rsidR="004B3EF5" w:rsidRPr="001F30CC">
        <w:rPr>
          <w:rFonts w:eastAsia="Calibri"/>
        </w:rPr>
        <w:t xml:space="preserve">no significant differences between omalizumab and mepolizumab and </w:t>
      </w:r>
      <w:r w:rsidRPr="001F30CC">
        <w:rPr>
          <w:rFonts w:eastAsia="Calibri"/>
        </w:rPr>
        <w:t>although</w:t>
      </w:r>
      <w:r w:rsidR="004B3EF5" w:rsidRPr="001F30CC">
        <w:rPr>
          <w:rFonts w:eastAsia="Calibri"/>
        </w:rPr>
        <w:t xml:space="preserve"> </w:t>
      </w:r>
      <w:r w:rsidRPr="001F30CC">
        <w:rPr>
          <w:rFonts w:eastAsia="Calibri"/>
        </w:rPr>
        <w:t>t</w:t>
      </w:r>
      <w:r w:rsidR="004B3EF5" w:rsidRPr="001F30CC">
        <w:rPr>
          <w:rFonts w:eastAsia="Calibri"/>
        </w:rPr>
        <w:t xml:space="preserve">he confidence intervals were wide the </w:t>
      </w:r>
      <w:r w:rsidR="00E221D2" w:rsidRPr="001F30CC">
        <w:rPr>
          <w:rFonts w:eastAsia="Calibri"/>
        </w:rPr>
        <w:t xml:space="preserve">point estimates were near zero, and the </w:t>
      </w:r>
      <w:r w:rsidRPr="001F30CC">
        <w:rPr>
          <w:rFonts w:eastAsia="Calibri"/>
        </w:rPr>
        <w:t>conclusion of non-inferior comparative efficacy was reasonable.</w:t>
      </w:r>
    </w:p>
    <w:p w14:paraId="02303AA0" w14:textId="622C3290" w:rsidR="000C53B5" w:rsidRPr="001F30CC" w:rsidRDefault="00242493" w:rsidP="00B3555A">
      <w:pPr>
        <w:pStyle w:val="3-BodyText"/>
        <w:rPr>
          <w:rFonts w:eastAsia="Calibri"/>
        </w:rPr>
      </w:pPr>
      <w:r w:rsidRPr="001F30CC">
        <w:rPr>
          <w:rFonts w:eastAsia="Calibri"/>
        </w:rPr>
        <w:t>The ESC</w:t>
      </w:r>
      <w:r w:rsidR="00A114C3" w:rsidRPr="001F30CC">
        <w:rPr>
          <w:rFonts w:eastAsia="Calibri"/>
        </w:rPr>
        <w:t xml:space="preserve"> noted both medicines were well established in clinical </w:t>
      </w:r>
      <w:r w:rsidR="00A151A4" w:rsidRPr="001F30CC">
        <w:rPr>
          <w:rFonts w:eastAsia="Calibri"/>
        </w:rPr>
        <w:t>practice</w:t>
      </w:r>
      <w:r w:rsidR="00A114C3" w:rsidRPr="001F30CC">
        <w:rPr>
          <w:rFonts w:eastAsia="Calibri"/>
        </w:rPr>
        <w:t xml:space="preserve"> </w:t>
      </w:r>
      <w:r w:rsidR="00B4752A" w:rsidRPr="001F30CC">
        <w:rPr>
          <w:rFonts w:eastAsia="Calibri"/>
        </w:rPr>
        <w:t xml:space="preserve">for other </w:t>
      </w:r>
      <w:r w:rsidR="008B6259" w:rsidRPr="001F30CC">
        <w:rPr>
          <w:rFonts w:eastAsia="Calibri"/>
        </w:rPr>
        <w:t xml:space="preserve">allergic disorders and </w:t>
      </w:r>
      <w:r w:rsidR="00FC2DF1" w:rsidRPr="001F30CC">
        <w:rPr>
          <w:rFonts w:eastAsia="Calibri"/>
        </w:rPr>
        <w:t xml:space="preserve">no new </w:t>
      </w:r>
      <w:r w:rsidR="008B6259" w:rsidRPr="001F30CC">
        <w:rPr>
          <w:rFonts w:eastAsia="Calibri"/>
        </w:rPr>
        <w:t xml:space="preserve">safety concerns were </w:t>
      </w:r>
      <w:r w:rsidR="00FC2DF1" w:rsidRPr="001F30CC">
        <w:rPr>
          <w:rFonts w:eastAsia="Calibri"/>
        </w:rPr>
        <w:t>signalled.</w:t>
      </w:r>
      <w:r w:rsidR="008B6259" w:rsidRPr="001F30CC">
        <w:rPr>
          <w:rFonts w:eastAsia="Calibri"/>
        </w:rPr>
        <w:t xml:space="preserve"> </w:t>
      </w:r>
    </w:p>
    <w:p w14:paraId="1CA1F348" w14:textId="4E50F62F" w:rsidR="00DA5684" w:rsidRPr="00CE42B4" w:rsidRDefault="00DA5684" w:rsidP="00DA5684">
      <w:pPr>
        <w:pStyle w:val="3-BodyText"/>
        <w:rPr>
          <w:snapToGrid w:val="0"/>
        </w:rPr>
      </w:pPr>
      <w:bookmarkStart w:id="55" w:name="_Hlk76376200"/>
      <w:r w:rsidRPr="00CE42B4">
        <w:rPr>
          <w:iCs/>
          <w:snapToGrid w:val="0"/>
        </w:rPr>
        <w:t>The</w:t>
      </w:r>
      <w:r w:rsidRPr="00CE42B4">
        <w:rPr>
          <w:snapToGrid w:val="0"/>
        </w:rPr>
        <w:t xml:space="preserve"> PBAC considered that the claim of non-inferior comparative effectiveness </w:t>
      </w:r>
      <w:r w:rsidR="0032300F">
        <w:rPr>
          <w:snapToGrid w:val="0"/>
        </w:rPr>
        <w:t xml:space="preserve">of omalizumab versus </w:t>
      </w:r>
      <w:r w:rsidR="007E4921">
        <w:rPr>
          <w:snapToGrid w:val="0"/>
        </w:rPr>
        <w:t>mepolizumab</w:t>
      </w:r>
      <w:r w:rsidR="0032300F">
        <w:rPr>
          <w:snapToGrid w:val="0"/>
        </w:rPr>
        <w:t xml:space="preserve"> </w:t>
      </w:r>
      <w:r w:rsidR="004B7041">
        <w:rPr>
          <w:snapToGrid w:val="0"/>
        </w:rPr>
        <w:t xml:space="preserve">in the overlap population and superior comparative </w:t>
      </w:r>
      <w:r w:rsidR="000E7D1E">
        <w:rPr>
          <w:snapToGrid w:val="0"/>
        </w:rPr>
        <w:t xml:space="preserve">effectiveness of omalizumab versus SOC </w:t>
      </w:r>
      <w:r w:rsidR="00114738">
        <w:rPr>
          <w:snapToGrid w:val="0"/>
        </w:rPr>
        <w:t xml:space="preserve">in the incremental population </w:t>
      </w:r>
      <w:r w:rsidRPr="00CE42B4">
        <w:rPr>
          <w:snapToGrid w:val="0"/>
        </w:rPr>
        <w:t xml:space="preserve">was reasonable </w:t>
      </w:r>
      <w:r w:rsidR="009C214A">
        <w:rPr>
          <w:snapToGrid w:val="0"/>
        </w:rPr>
        <w:t xml:space="preserve">and </w:t>
      </w:r>
      <w:r w:rsidRPr="00CE42B4">
        <w:rPr>
          <w:snapToGrid w:val="0"/>
        </w:rPr>
        <w:t>adequately supported by the data.</w:t>
      </w:r>
    </w:p>
    <w:p w14:paraId="03A68ECE" w14:textId="2F8F45D9" w:rsidR="006D600C" w:rsidRPr="00B52B72" w:rsidRDefault="00DA5684" w:rsidP="00B52B72">
      <w:pPr>
        <w:pStyle w:val="3-BodyText"/>
        <w:rPr>
          <w:snapToGrid w:val="0"/>
        </w:rPr>
      </w:pPr>
      <w:r w:rsidRPr="00CE42B4">
        <w:rPr>
          <w:snapToGrid w:val="0"/>
        </w:rPr>
        <w:t>The PBAC considered that the claim of non-inferior comparative safety was reasonable</w:t>
      </w:r>
      <w:r w:rsidR="00686F8B">
        <w:rPr>
          <w:snapToGrid w:val="0"/>
        </w:rPr>
        <w:t xml:space="preserve"> </w:t>
      </w:r>
      <w:r w:rsidR="009C214A">
        <w:rPr>
          <w:snapToGrid w:val="0"/>
        </w:rPr>
        <w:t>and</w:t>
      </w:r>
      <w:r w:rsidRPr="00CE42B4">
        <w:rPr>
          <w:snapToGrid w:val="0"/>
        </w:rPr>
        <w:t xml:space="preserve"> adequately supported by the data.</w:t>
      </w:r>
      <w:bookmarkEnd w:id="55"/>
    </w:p>
    <w:p w14:paraId="3170366C" w14:textId="77777777" w:rsidR="002C1266" w:rsidRPr="0098262F" w:rsidRDefault="002C1266" w:rsidP="002C1266">
      <w:pPr>
        <w:pStyle w:val="4-SubsectionHeading"/>
      </w:pPr>
      <w:bookmarkStart w:id="56" w:name="_Toc22897645"/>
      <w:bookmarkStart w:id="57" w:name="_Toc193290751"/>
      <w:r w:rsidRPr="0098262F">
        <w:t>Economic analysis</w:t>
      </w:r>
      <w:bookmarkEnd w:id="56"/>
      <w:bookmarkEnd w:id="57"/>
      <w:r w:rsidRPr="0098262F">
        <w:t xml:space="preserve"> </w:t>
      </w:r>
    </w:p>
    <w:p w14:paraId="38E4983D" w14:textId="1D85C9B5" w:rsidR="002C1266" w:rsidRPr="000830C4" w:rsidRDefault="002C1266" w:rsidP="002C1266">
      <w:pPr>
        <w:pStyle w:val="3-BodyText"/>
      </w:pPr>
      <w:r w:rsidRPr="2BCE08C6">
        <w:t>The submission presented a CMA of omalizumab versus mepolizumab based on the claim of non-inferiority efficacy and safety.</w:t>
      </w:r>
      <w:r w:rsidRPr="000830C4">
        <w:t xml:space="preserve"> </w:t>
      </w:r>
    </w:p>
    <w:p w14:paraId="4D52BA3D" w14:textId="64B0C29A" w:rsidR="003B6660" w:rsidRDefault="003B6660" w:rsidP="003B6660">
      <w:pPr>
        <w:pStyle w:val="3-BodyText"/>
      </w:pPr>
      <w:r>
        <w:t>The CMA presented in the submission was based on the published price for mepolizumab.</w:t>
      </w:r>
    </w:p>
    <w:p w14:paraId="3CD878E8" w14:textId="06CC399D" w:rsidR="002F3C7A" w:rsidRPr="002F3C7A" w:rsidRDefault="003B16A2" w:rsidP="002C1266">
      <w:pPr>
        <w:pStyle w:val="3-BodyText"/>
      </w:pPr>
      <w:r w:rsidRPr="00B73992">
        <w:t xml:space="preserve">The </w:t>
      </w:r>
      <w:r w:rsidR="00511A03" w:rsidRPr="00B73992">
        <w:t xml:space="preserve">submission </w:t>
      </w:r>
      <w:r w:rsidR="00B73992">
        <w:t>claim</w:t>
      </w:r>
      <w:r w:rsidR="007E58C6">
        <w:t>ed</w:t>
      </w:r>
      <w:r w:rsidR="00B73992">
        <w:t xml:space="preserve"> </w:t>
      </w:r>
      <w:r w:rsidR="00B73992" w:rsidRPr="00B73992">
        <w:t xml:space="preserve">there </w:t>
      </w:r>
      <w:r w:rsidR="00910EB0">
        <w:t>was</w:t>
      </w:r>
      <w:r w:rsidR="00910EB0" w:rsidRPr="00B73992">
        <w:t xml:space="preserve"> </w:t>
      </w:r>
      <w:r w:rsidR="00B73992" w:rsidRPr="00B73992">
        <w:t>no statistically significant difference in terms of efficacy and safety between the BEC &lt;300 cells/µ</w:t>
      </w:r>
      <w:r w:rsidR="003F3367">
        <w:t>L</w:t>
      </w:r>
      <w:r w:rsidR="00B73992" w:rsidRPr="00B73992">
        <w:t xml:space="preserve"> subgroup and the BEC ≥</w:t>
      </w:r>
      <w:r w:rsidR="007E4921" w:rsidRPr="00B73992">
        <w:t>300</w:t>
      </w:r>
      <w:r w:rsidR="007E4921">
        <w:t> </w:t>
      </w:r>
      <w:r w:rsidR="00B73992" w:rsidRPr="00B73992">
        <w:t>cells/µ</w:t>
      </w:r>
      <w:r w:rsidR="007E4921">
        <w:t>L</w:t>
      </w:r>
      <w:r w:rsidR="00B73992" w:rsidRPr="00B73992">
        <w:t xml:space="preserve"> subgroup among omalizumab-treated patients</w:t>
      </w:r>
      <w:r w:rsidR="00B73992" w:rsidRPr="007D1E85">
        <w:t xml:space="preserve">. </w:t>
      </w:r>
      <w:r w:rsidR="00D52175" w:rsidRPr="007D1E85">
        <w:t>The subgroup analyses have additional potential for bias due to being post-hoc.</w:t>
      </w:r>
      <w:r w:rsidR="00B73992">
        <w:rPr>
          <w:i/>
        </w:rPr>
        <w:t xml:space="preserve"> </w:t>
      </w:r>
      <w:r w:rsidR="00B73992" w:rsidRPr="00B73992">
        <w:t>Hence, the proposed price for omalizumab, as determined in th</w:t>
      </w:r>
      <w:r w:rsidR="00B73992">
        <w:t>e</w:t>
      </w:r>
      <w:r w:rsidR="00B73992" w:rsidRPr="00B73992">
        <w:t xml:space="preserve"> CMA based on the </w:t>
      </w:r>
      <w:proofErr w:type="spellStart"/>
      <w:r w:rsidR="00B73992" w:rsidRPr="00B73992">
        <w:t>equi</w:t>
      </w:r>
      <w:proofErr w:type="spellEnd"/>
      <w:r w:rsidR="00B73992" w:rsidRPr="00B73992">
        <w:t>-effective dose to mepolizumab for the BEC ≥300 cells/µ</w:t>
      </w:r>
      <w:r w:rsidR="007E4921">
        <w:t>L</w:t>
      </w:r>
      <w:r w:rsidR="00B73992" w:rsidRPr="00B73992">
        <w:t xml:space="preserve"> subgroup, would also represent a cost-effective price for omalizumab in the BEC &lt;300 cells/µ</w:t>
      </w:r>
      <w:r w:rsidR="007E4921">
        <w:t>L</w:t>
      </w:r>
      <w:r w:rsidR="00B73992" w:rsidRPr="00B73992">
        <w:t xml:space="preserve"> subgroup.</w:t>
      </w:r>
      <w:r w:rsidR="00B73992">
        <w:t xml:space="preserve"> </w:t>
      </w:r>
      <w:r w:rsidR="007A5A53" w:rsidRPr="000402ED">
        <w:t xml:space="preserve">The </w:t>
      </w:r>
      <w:r w:rsidR="00F6120C" w:rsidRPr="000402ED">
        <w:t>ESC advised that it was reasonable to apply the same price in the BEC &lt;300 cells/µ</w:t>
      </w:r>
      <w:r w:rsidR="007E4921">
        <w:t>L</w:t>
      </w:r>
      <w:r w:rsidR="00F6120C" w:rsidRPr="000402ED">
        <w:t xml:space="preserve"> and the BEC ≥300 cells/µ</w:t>
      </w:r>
      <w:r w:rsidR="007E4921">
        <w:t>L</w:t>
      </w:r>
      <w:r w:rsidR="00F6120C" w:rsidRPr="000402ED">
        <w:t xml:space="preserve"> subgroups. </w:t>
      </w:r>
      <w:r w:rsidR="007A5A53" w:rsidRPr="000402ED">
        <w:t xml:space="preserve">The </w:t>
      </w:r>
      <w:r w:rsidR="00F6120C" w:rsidRPr="000402ED">
        <w:t xml:space="preserve">ESC noted that both the BEC and IgE thresholds aim to identify patients with the same underlying biological process but account for the </w:t>
      </w:r>
      <w:r w:rsidR="00F6120C" w:rsidRPr="000402ED">
        <w:rPr>
          <w:lang w:val="en-US"/>
        </w:rPr>
        <w:t>different modes of action between the two treatments</w:t>
      </w:r>
      <w:r w:rsidR="00F6120C" w:rsidRPr="000402ED">
        <w:t xml:space="preserve">. </w:t>
      </w:r>
      <w:r w:rsidR="007A5A53" w:rsidRPr="000402ED">
        <w:t xml:space="preserve">The </w:t>
      </w:r>
      <w:r w:rsidR="00F6120C" w:rsidRPr="000402ED">
        <w:t xml:space="preserve">ESC noted that this difference has been previously acknowledged by the PBAC (para 7.2, mepolizumab, PSD). </w:t>
      </w:r>
    </w:p>
    <w:p w14:paraId="731C5F6B" w14:textId="396945A8" w:rsidR="003B16A2" w:rsidRPr="000830C4" w:rsidRDefault="00B73992" w:rsidP="002C1266">
      <w:pPr>
        <w:pStyle w:val="3-BodyText"/>
      </w:pPr>
      <w:r w:rsidRPr="00E12FF8">
        <w:lastRenderedPageBreak/>
        <w:t>Th</w:t>
      </w:r>
      <w:r w:rsidR="00AA171B" w:rsidRPr="00E12FF8">
        <w:t>e</w:t>
      </w:r>
      <w:r w:rsidRPr="00E12FF8">
        <w:t xml:space="preserve"> </w:t>
      </w:r>
      <w:r w:rsidR="00AE34B9" w:rsidRPr="00E12FF8">
        <w:t xml:space="preserve">submission estimated a </w:t>
      </w:r>
      <w:r w:rsidR="007F3646" w:rsidRPr="000704B3">
        <w:rPr>
          <w:color w:val="000000"/>
          <w:w w:val="60"/>
          <w:shd w:val="solid" w:color="000000" w:fill="000000"/>
          <w:fitText w:val="470" w:id="-663525631"/>
          <w14:textFill>
            <w14:solidFill>
              <w14:srgbClr w14:val="000000">
                <w14:alpha w14:val="100000"/>
              </w14:srgbClr>
            </w14:solidFill>
          </w14:textFill>
        </w:rPr>
        <w:t>||</w:t>
      </w:r>
      <w:proofErr w:type="gramStart"/>
      <w:r w:rsidR="007F3646" w:rsidRPr="000704B3">
        <w:rPr>
          <w:color w:val="000000"/>
          <w:w w:val="60"/>
          <w:shd w:val="solid" w:color="000000" w:fill="000000"/>
          <w:fitText w:val="470" w:id="-663525631"/>
          <w14:textFill>
            <w14:solidFill>
              <w14:srgbClr w14:val="000000">
                <w14:alpha w14:val="100000"/>
              </w14:srgbClr>
            </w14:solidFill>
          </w14:textFill>
        </w:rPr>
        <w:t>|  |</w:t>
      </w:r>
      <w:proofErr w:type="gramEnd"/>
      <w:r w:rsidR="007F3646" w:rsidRPr="000704B3">
        <w:rPr>
          <w:color w:val="000000"/>
          <w:w w:val="60"/>
          <w:shd w:val="solid" w:color="000000" w:fill="000000"/>
          <w:fitText w:val="470" w:id="-663525631"/>
          <w14:textFill>
            <w14:solidFill>
              <w14:srgbClr w14:val="000000">
                <w14:alpha w14:val="100000"/>
              </w14:srgbClr>
            </w14:solidFill>
          </w14:textFill>
        </w:rPr>
        <w:t>|</w:t>
      </w:r>
      <w:r w:rsidR="007F3646" w:rsidRPr="000704B3">
        <w:rPr>
          <w:color w:val="000000"/>
          <w:spacing w:val="6"/>
          <w:w w:val="60"/>
          <w:shd w:val="solid" w:color="000000" w:fill="000000"/>
          <w:fitText w:val="470" w:id="-663525631"/>
          <w14:textFill>
            <w14:solidFill>
              <w14:srgbClr w14:val="000000">
                <w14:alpha w14:val="100000"/>
              </w14:srgbClr>
            </w14:solidFill>
          </w14:textFill>
        </w:rPr>
        <w:t>|</w:t>
      </w:r>
      <w:r w:rsidR="00AE34B9" w:rsidRPr="00E12FF8">
        <w:t xml:space="preserve">% increase in the current expenditure cap for </w:t>
      </w:r>
      <w:proofErr w:type="spellStart"/>
      <w:r w:rsidR="00AE34B9" w:rsidRPr="00E12FF8">
        <w:t>CRSwNP</w:t>
      </w:r>
      <w:proofErr w:type="spellEnd"/>
      <w:r w:rsidR="00AE34B9" w:rsidRPr="00E12FF8">
        <w:t xml:space="preserve"> </w:t>
      </w:r>
      <w:r w:rsidR="006829D5" w:rsidRPr="00E12FF8">
        <w:t xml:space="preserve">based on the expanded population </w:t>
      </w:r>
      <w:r w:rsidR="00E12FF8" w:rsidRPr="00E12FF8">
        <w:t>proposed in the submission (patients with BEC &lt;300 cells/µL and IgE ≥30 IU/mL)</w:t>
      </w:r>
      <w:r w:rsidR="00E12FF8">
        <w:t xml:space="preserve"> (see paragraph </w:t>
      </w:r>
      <w:r w:rsidR="00E12FF8">
        <w:fldChar w:fldCharType="begin"/>
      </w:r>
      <w:r w:rsidR="00E12FF8">
        <w:instrText xml:space="preserve"> REF _Ref192513322 \r \h </w:instrText>
      </w:r>
      <w:r w:rsidR="00E12FF8">
        <w:fldChar w:fldCharType="separate"/>
      </w:r>
      <w:r w:rsidR="00CE52BF">
        <w:t>6.84</w:t>
      </w:r>
      <w:r w:rsidR="00E12FF8">
        <w:fldChar w:fldCharType="end"/>
      </w:r>
      <w:r w:rsidR="00E12FF8">
        <w:t>)</w:t>
      </w:r>
      <w:r w:rsidR="00E12FF8" w:rsidRPr="00E12FF8">
        <w:t>.</w:t>
      </w:r>
      <w:r w:rsidR="00E12FF8">
        <w:rPr>
          <w:i/>
          <w:iCs/>
        </w:rPr>
        <w:t xml:space="preserve"> </w:t>
      </w:r>
    </w:p>
    <w:p w14:paraId="0C6BDB72" w14:textId="7335FEEC" w:rsidR="002C1266" w:rsidRDefault="002C1266" w:rsidP="2BCE08C6">
      <w:pPr>
        <w:pStyle w:val="3-BodyText"/>
        <w:rPr>
          <w:i/>
          <w:iCs/>
        </w:rPr>
      </w:pPr>
      <w:r w:rsidRPr="2BCE08C6">
        <w:t>The submission stated that the proposed PBS restriction subgroup analysis (ITC including post-surgical population for omalizumab and post-surgical+BEC</w:t>
      </w:r>
      <w:r w:rsidRPr="2BCE08C6">
        <w:rPr>
          <w:color w:val="000000" w:themeColor="text1"/>
        </w:rPr>
        <w:t>≥300 cells/µL population for mepolizumab</w:t>
      </w:r>
      <w:r w:rsidRPr="2BCE08C6">
        <w:t>) supports the ‘frame-of-reference’ approach to pricing, whereby it is assumed that similar treatment benefits in the currently reimbursed population and the population proposed for reimbursement should translate to similar cost-effectiveness in both groups</w:t>
      </w:r>
      <w:r w:rsidRPr="00695555">
        <w:t xml:space="preserve">. </w:t>
      </w:r>
      <w:r w:rsidR="001A4D3E" w:rsidRPr="00695555">
        <w:t xml:space="preserve">The </w:t>
      </w:r>
      <w:r w:rsidR="00693C1B" w:rsidRPr="00695555">
        <w:t xml:space="preserve">ESC </w:t>
      </w:r>
      <w:r w:rsidR="001A4D3E" w:rsidRPr="00695555">
        <w:t>considered</w:t>
      </w:r>
      <w:r w:rsidR="001A4D3E">
        <w:t xml:space="preserve"> t</w:t>
      </w:r>
      <w:r w:rsidRPr="000830C4">
        <w:t xml:space="preserve">his approach to pricing </w:t>
      </w:r>
      <w:r w:rsidR="004457F7" w:rsidRPr="003C60C9">
        <w:t>was</w:t>
      </w:r>
      <w:r w:rsidRPr="000830C4">
        <w:t xml:space="preserve"> reasonable given that results were similar between subgroups. </w:t>
      </w:r>
    </w:p>
    <w:p w14:paraId="20CE4ED3" w14:textId="4FA18DFB" w:rsidR="002C1266" w:rsidRDefault="002C1266" w:rsidP="002C1266">
      <w:pPr>
        <w:pStyle w:val="3-BodyText"/>
      </w:pPr>
      <w:r w:rsidRPr="2BCE08C6">
        <w:t xml:space="preserve">The </w:t>
      </w:r>
      <w:r w:rsidR="00B14C91">
        <w:t xml:space="preserve">submission </w:t>
      </w:r>
      <w:proofErr w:type="spellStart"/>
      <w:r w:rsidRPr="2BCE08C6">
        <w:t>equi</w:t>
      </w:r>
      <w:proofErr w:type="spellEnd"/>
      <w:r w:rsidRPr="2BCE08C6">
        <w:t xml:space="preserve">-effective doses were estimated as omalizumab 292.8 mg every </w:t>
      </w:r>
      <w:r w:rsidR="003E4BCA" w:rsidRPr="2BCE08C6">
        <w:t>4</w:t>
      </w:r>
      <w:r w:rsidR="003E4BCA">
        <w:t> </w:t>
      </w:r>
      <w:r w:rsidRPr="2BCE08C6">
        <w:t>weeks is equivalent to mepolizumab 100 mg every 4 weeks.</w:t>
      </w:r>
    </w:p>
    <w:p w14:paraId="25B2C726" w14:textId="43E884EE" w:rsidR="002C1266" w:rsidRPr="00731052" w:rsidRDefault="002C1266" w:rsidP="002C1266">
      <w:pPr>
        <w:pStyle w:val="3-BodyText"/>
        <w:rPr>
          <w:i/>
          <w:iCs/>
        </w:rPr>
      </w:pPr>
      <w:r w:rsidRPr="2BCE08C6">
        <w:t xml:space="preserve">The proposed dose for mepolizumab was based on the recommended </w:t>
      </w:r>
      <w:r w:rsidR="007E1108">
        <w:t xml:space="preserve">fixed </w:t>
      </w:r>
      <w:r w:rsidRPr="2BCE08C6">
        <w:t>dose in the approved TGA product information (PI)</w:t>
      </w:r>
      <w:r w:rsidR="007E1108">
        <w:t xml:space="preserve"> of 100 mg every 4 weeks, which also reflects the dos</w:t>
      </w:r>
      <w:r w:rsidR="008130D2">
        <w:t>e</w:t>
      </w:r>
      <w:r w:rsidR="007E1108">
        <w:t xml:space="preserve"> in</w:t>
      </w:r>
      <w:r w:rsidR="008130D2">
        <w:t xml:space="preserve"> </w:t>
      </w:r>
      <w:r w:rsidR="007E1108">
        <w:t>th</w:t>
      </w:r>
      <w:r w:rsidR="008130D2">
        <w:t>e</w:t>
      </w:r>
      <w:r w:rsidR="007E1108">
        <w:t xml:space="preserve"> SYNAPSE trial.</w:t>
      </w:r>
      <w:r w:rsidRPr="2BCE08C6">
        <w:t xml:space="preserve"> </w:t>
      </w:r>
      <w:r w:rsidR="00FD4720">
        <w:t>F</w:t>
      </w:r>
      <w:r w:rsidRPr="2BCE08C6">
        <w:t>or omalizumab</w:t>
      </w:r>
      <w:r w:rsidR="00003EB6">
        <w:t>,</w:t>
      </w:r>
      <w:r w:rsidRPr="2BCE08C6">
        <w:t xml:space="preserve"> the average 4-weekly dose from the POLYP 1/2 trial populations was used, after excluding patients </w:t>
      </w:r>
      <w:r w:rsidR="00BA75CE">
        <w:t>who</w:t>
      </w:r>
      <w:r w:rsidR="00BA75CE" w:rsidRPr="2BCE08C6">
        <w:t xml:space="preserve"> </w:t>
      </w:r>
      <w:r w:rsidRPr="2BCE08C6">
        <w:t xml:space="preserve">were administered doses outside of the recommended dose (&gt; 750 mg per 4-weekly cycle) as described in the </w:t>
      </w:r>
      <w:r w:rsidR="00711A31">
        <w:t xml:space="preserve">TGA approved </w:t>
      </w:r>
      <w:r w:rsidRPr="2BCE08C6">
        <w:t xml:space="preserve">PI (n=10, 7.4%). </w:t>
      </w:r>
      <w:r w:rsidRPr="000830C4">
        <w:t>The exclusion of patients with doses &gt; 750 mg</w:t>
      </w:r>
      <w:r w:rsidR="005250D4" w:rsidRPr="000830C4">
        <w:t xml:space="preserve"> does not reflect the </w:t>
      </w:r>
      <w:r w:rsidR="004E3C5A" w:rsidRPr="000830C4">
        <w:t>data used to support the non-inferiority claim and</w:t>
      </w:r>
      <w:r w:rsidRPr="000830C4">
        <w:t xml:space="preserve"> </w:t>
      </w:r>
      <w:r w:rsidR="00B848FD" w:rsidRPr="000830C4">
        <w:t xml:space="preserve">does not </w:t>
      </w:r>
      <w:r w:rsidR="00E52728" w:rsidRPr="000830C4">
        <w:t xml:space="preserve">align with the PBAC </w:t>
      </w:r>
      <w:r w:rsidR="008C5284" w:rsidRPr="000830C4">
        <w:t>guidelines</w:t>
      </w:r>
      <w:r w:rsidR="0083027F" w:rsidRPr="000830C4">
        <w:t xml:space="preserve"> (2016 v5.0)</w:t>
      </w:r>
      <w:r w:rsidR="00E52728" w:rsidRPr="000830C4">
        <w:t xml:space="preserve"> which </w:t>
      </w:r>
      <w:r w:rsidR="008C5284" w:rsidRPr="000830C4">
        <w:t>suggests the ‘steady state’ dose comparison is generally most relevant</w:t>
      </w:r>
      <w:r w:rsidRPr="000830C4">
        <w:t>.</w:t>
      </w:r>
      <w:r w:rsidRPr="2BCE08C6">
        <w:rPr>
          <w:i/>
          <w:iCs/>
        </w:rPr>
        <w:t xml:space="preserve"> </w:t>
      </w:r>
      <w:r w:rsidR="004E3C5A" w:rsidRPr="008E0079">
        <w:t>However, the submission argue</w:t>
      </w:r>
      <w:r w:rsidR="00606D32">
        <w:t>d</w:t>
      </w:r>
      <w:r w:rsidR="008E0079" w:rsidRPr="008E0079">
        <w:t>, the exclusion of this small number of patients exposed to the higher doses is not expected to compromise the clinical trial evidence and associated non-inferiority claims upon which the current CMA is based</w:t>
      </w:r>
      <w:r w:rsidR="008E0079" w:rsidRPr="008E0079">
        <w:rPr>
          <w:i/>
          <w:iCs/>
        </w:rPr>
        <w:t>.</w:t>
      </w:r>
      <w:r w:rsidR="00606D32">
        <w:rPr>
          <w:i/>
          <w:iCs/>
        </w:rPr>
        <w:t xml:space="preserve"> </w:t>
      </w:r>
      <w:r w:rsidR="00606D32" w:rsidRPr="00281D51">
        <w:t>The</w:t>
      </w:r>
      <w:r w:rsidR="0029139F" w:rsidRPr="00281D51">
        <w:t xml:space="preserve"> subgroup analysis </w:t>
      </w:r>
      <w:r w:rsidR="00AE4FD7" w:rsidRPr="00281D51">
        <w:t xml:space="preserve">described in the submission </w:t>
      </w:r>
      <w:r w:rsidR="002F683A" w:rsidRPr="00281D51">
        <w:t>for</w:t>
      </w:r>
      <w:r w:rsidR="00AE4FD7" w:rsidRPr="00281D51">
        <w:t xml:space="preserve"> this claim</w:t>
      </w:r>
      <w:r w:rsidR="0029139F" w:rsidRPr="00281D51">
        <w:t xml:space="preserve"> could not be verified during the evaluation. </w:t>
      </w:r>
      <w:r w:rsidRPr="00281D51">
        <w:t>The mean average dose when all patients in the POLYP trials were considered</w:t>
      </w:r>
      <w:r w:rsidR="00461E6B" w:rsidRPr="00281D51">
        <w:t xml:space="preserve"> was 346.67 mg</w:t>
      </w:r>
      <w:r w:rsidRPr="00281D51">
        <w:t xml:space="preserve">. The impact of this is tested in sensitivity analysis during the evaluation and presented in para </w:t>
      </w:r>
      <w:r w:rsidRPr="00281D51">
        <w:fldChar w:fldCharType="begin"/>
      </w:r>
      <w:r w:rsidRPr="00281D51">
        <w:instrText xml:space="preserve"> REF _Ref190286929 \r \h </w:instrText>
      </w:r>
      <w:r w:rsidR="00281D51" w:rsidRPr="00281D51">
        <w:instrText xml:space="preserve"> \* MERGEFORMAT </w:instrText>
      </w:r>
      <w:r w:rsidRPr="00281D51">
        <w:fldChar w:fldCharType="separate"/>
      </w:r>
      <w:r w:rsidR="00CE52BF">
        <w:t>6.71</w:t>
      </w:r>
      <w:r w:rsidRPr="00281D51">
        <w:fldChar w:fldCharType="end"/>
      </w:r>
      <w:r w:rsidRPr="00281D51">
        <w:t>.</w:t>
      </w:r>
      <w:r w:rsidRPr="2BCE08C6">
        <w:t xml:space="preserve"> </w:t>
      </w:r>
    </w:p>
    <w:p w14:paraId="59395553" w14:textId="38CDB7D2" w:rsidR="00090460" w:rsidRPr="00236251" w:rsidRDefault="002C1266" w:rsidP="00C804EB">
      <w:pPr>
        <w:pStyle w:val="3-BodyText"/>
      </w:pPr>
      <w:bookmarkStart w:id="58" w:name="_Ref190343697"/>
      <w:r>
        <w:t xml:space="preserve">The results of the CMA based on the published AEMP of mepolizumab are presented </w:t>
      </w:r>
      <w:r w:rsidRPr="00236251">
        <w:t>in</w:t>
      </w:r>
      <w:r>
        <w:t xml:space="preserve"> </w:t>
      </w:r>
      <w:bookmarkEnd w:id="58"/>
      <w:r>
        <w:fldChar w:fldCharType="begin"/>
      </w:r>
      <w:r>
        <w:instrText xml:space="preserve"> REF _Ref190436159 \h </w:instrText>
      </w:r>
      <w:r w:rsidR="00C804EB">
        <w:instrText xml:space="preserve"> \* MERGEFORMAT </w:instrText>
      </w:r>
      <w:r>
        <w:fldChar w:fldCharType="separate"/>
      </w:r>
      <w:r w:rsidR="00CE52BF">
        <w:t xml:space="preserve">Table </w:t>
      </w:r>
      <w:r w:rsidR="00CE52BF">
        <w:rPr>
          <w:noProof/>
        </w:rPr>
        <w:t>11</w:t>
      </w:r>
      <w:r>
        <w:fldChar w:fldCharType="end"/>
      </w:r>
      <w:r>
        <w:t>.</w:t>
      </w:r>
      <w:r w:rsidR="00474F62" w:rsidRPr="00474F62">
        <w:rPr>
          <w:i/>
          <w:iCs/>
        </w:rPr>
        <w:t xml:space="preserve"> </w:t>
      </w:r>
    </w:p>
    <w:p w14:paraId="40B92A85" w14:textId="12423224" w:rsidR="002C1266" w:rsidRPr="00CB733F" w:rsidRDefault="002C1266" w:rsidP="00D07CFE">
      <w:pPr>
        <w:pStyle w:val="Caption"/>
      </w:pPr>
      <w:bookmarkStart w:id="59" w:name="_Ref190436159"/>
      <w:r>
        <w:t xml:space="preserve">Table </w:t>
      </w:r>
      <w:r>
        <w:fldChar w:fldCharType="begin"/>
      </w:r>
      <w:r>
        <w:instrText>SEQ Table \* ARABIC</w:instrText>
      </w:r>
      <w:r>
        <w:fldChar w:fldCharType="separate"/>
      </w:r>
      <w:r w:rsidR="00CE52BF">
        <w:rPr>
          <w:noProof/>
        </w:rPr>
        <w:t>11</w:t>
      </w:r>
      <w:r>
        <w:fldChar w:fldCharType="end"/>
      </w:r>
      <w:bookmarkEnd w:id="59"/>
      <w:r>
        <w:t xml:space="preserve">: </w:t>
      </w:r>
      <w:r w:rsidRPr="00CB733F">
        <w:t>Results of the cost-minimisation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03"/>
        <w:gridCol w:w="3006"/>
      </w:tblGrid>
      <w:tr w:rsidR="002C1266" w:rsidRPr="0098262F" w14:paraId="3394036A" w14:textId="77777777" w:rsidTr="00E2616C">
        <w:tc>
          <w:tcPr>
            <w:tcW w:w="3008" w:type="dxa"/>
          </w:tcPr>
          <w:p w14:paraId="1AA10031" w14:textId="77777777" w:rsidR="002C1266" w:rsidRPr="0098262F" w:rsidRDefault="002C1266" w:rsidP="00D07CFE">
            <w:pPr>
              <w:pStyle w:val="In-tableHeading"/>
              <w:rPr>
                <w:lang w:val="en-AU"/>
              </w:rPr>
            </w:pPr>
            <w:r w:rsidRPr="0098262F">
              <w:rPr>
                <w:lang w:val="en-AU"/>
              </w:rPr>
              <w:t>Component</w:t>
            </w:r>
          </w:p>
        </w:tc>
        <w:tc>
          <w:tcPr>
            <w:tcW w:w="3003" w:type="dxa"/>
          </w:tcPr>
          <w:p w14:paraId="2D912368" w14:textId="77777777" w:rsidR="002C1266" w:rsidRPr="0098262F" w:rsidRDefault="002C1266" w:rsidP="00D07CFE">
            <w:pPr>
              <w:pStyle w:val="In-tableHeading"/>
              <w:jc w:val="center"/>
              <w:rPr>
                <w:lang w:val="en-AU"/>
              </w:rPr>
            </w:pPr>
            <w:r>
              <w:rPr>
                <w:lang w:val="en-AU"/>
              </w:rPr>
              <w:t>Omalizumab</w:t>
            </w:r>
          </w:p>
        </w:tc>
        <w:tc>
          <w:tcPr>
            <w:tcW w:w="3006" w:type="dxa"/>
          </w:tcPr>
          <w:p w14:paraId="34080AD3" w14:textId="77777777" w:rsidR="002C1266" w:rsidRPr="0098262F" w:rsidRDefault="002C1266" w:rsidP="00D07CFE">
            <w:pPr>
              <w:pStyle w:val="In-tableHeading"/>
              <w:jc w:val="center"/>
              <w:rPr>
                <w:lang w:val="en-AU"/>
              </w:rPr>
            </w:pPr>
            <w:r>
              <w:rPr>
                <w:lang w:val="en-AU"/>
              </w:rPr>
              <w:t>Mepolizumab</w:t>
            </w:r>
          </w:p>
        </w:tc>
      </w:tr>
      <w:tr w:rsidR="002C1266" w:rsidRPr="0098262F" w14:paraId="382383EA" w14:textId="77777777" w:rsidTr="00E2616C">
        <w:tc>
          <w:tcPr>
            <w:tcW w:w="3008" w:type="dxa"/>
          </w:tcPr>
          <w:p w14:paraId="5053CD47" w14:textId="77777777" w:rsidR="002C1266" w:rsidRPr="0098262F" w:rsidRDefault="002C1266" w:rsidP="00D07CFE">
            <w:pPr>
              <w:pStyle w:val="TableText0"/>
              <w:keepNext/>
              <w:keepLines/>
            </w:pPr>
            <w:r w:rsidRPr="0098262F">
              <w:t>Cost per dose</w:t>
            </w:r>
          </w:p>
        </w:tc>
        <w:tc>
          <w:tcPr>
            <w:tcW w:w="3003" w:type="dxa"/>
          </w:tcPr>
          <w:p w14:paraId="39F6F97B" w14:textId="25EECFD2" w:rsidR="002C1266" w:rsidRPr="0075195F" w:rsidRDefault="002C1266" w:rsidP="00D07CFE">
            <w:pPr>
              <w:pStyle w:val="TableText0"/>
              <w:keepNext/>
              <w:keepLines/>
              <w:jc w:val="center"/>
              <w:rPr>
                <w:vertAlign w:val="superscript"/>
              </w:rPr>
            </w:pPr>
            <w:r w:rsidRPr="00DE23E3">
              <w:t>$1,556.10</w:t>
            </w:r>
          </w:p>
        </w:tc>
        <w:tc>
          <w:tcPr>
            <w:tcW w:w="3006" w:type="dxa"/>
          </w:tcPr>
          <w:p w14:paraId="52CDB19C" w14:textId="77777777" w:rsidR="002C1266" w:rsidRPr="0098262F" w:rsidRDefault="002C1266" w:rsidP="00D07CFE">
            <w:pPr>
              <w:pStyle w:val="TableText0"/>
              <w:keepNext/>
              <w:keepLines/>
              <w:jc w:val="center"/>
            </w:pPr>
            <w:r w:rsidRPr="0079341F">
              <w:t>$1,556.10</w:t>
            </w:r>
          </w:p>
        </w:tc>
      </w:tr>
      <w:tr w:rsidR="00D4053F" w:rsidRPr="0098262F" w14:paraId="53F09C75" w14:textId="77777777" w:rsidTr="00E2616C">
        <w:tc>
          <w:tcPr>
            <w:tcW w:w="3008" w:type="dxa"/>
          </w:tcPr>
          <w:p w14:paraId="49F9E9C1" w14:textId="0E2FDBF6" w:rsidR="00D4053F" w:rsidRPr="0098262F" w:rsidRDefault="00D4053F" w:rsidP="00D07CFE">
            <w:pPr>
              <w:pStyle w:val="TableText0"/>
              <w:keepNext/>
              <w:keepLines/>
            </w:pPr>
            <w:r>
              <w:t>Equi-effective dose (mg)</w:t>
            </w:r>
          </w:p>
        </w:tc>
        <w:tc>
          <w:tcPr>
            <w:tcW w:w="3003" w:type="dxa"/>
          </w:tcPr>
          <w:p w14:paraId="1389748C" w14:textId="5D1621CA" w:rsidR="00D4053F" w:rsidRPr="00DE23E3" w:rsidRDefault="00D4053F" w:rsidP="00D07CFE">
            <w:pPr>
              <w:pStyle w:val="TableText0"/>
              <w:keepNext/>
              <w:keepLines/>
              <w:jc w:val="center"/>
            </w:pPr>
            <w:r>
              <w:t>292.8</w:t>
            </w:r>
          </w:p>
        </w:tc>
        <w:tc>
          <w:tcPr>
            <w:tcW w:w="3006" w:type="dxa"/>
          </w:tcPr>
          <w:p w14:paraId="1B48D3C3" w14:textId="351B2FC7" w:rsidR="00D4053F" w:rsidRPr="0079341F" w:rsidRDefault="00D4053F" w:rsidP="00D07CFE">
            <w:pPr>
              <w:pStyle w:val="TableText0"/>
              <w:keepNext/>
              <w:keepLines/>
              <w:jc w:val="center"/>
            </w:pPr>
            <w:r>
              <w:t>100</w:t>
            </w:r>
          </w:p>
        </w:tc>
      </w:tr>
      <w:tr w:rsidR="00D4053F" w:rsidRPr="0098262F" w14:paraId="07F4BEA6" w14:textId="77777777" w:rsidTr="00E2616C">
        <w:tc>
          <w:tcPr>
            <w:tcW w:w="3008" w:type="dxa"/>
          </w:tcPr>
          <w:p w14:paraId="6622300E" w14:textId="6F04C69F" w:rsidR="00D4053F" w:rsidRPr="0098262F" w:rsidRDefault="00D4053F" w:rsidP="00D07CFE">
            <w:pPr>
              <w:pStyle w:val="TableText0"/>
              <w:keepNext/>
              <w:keepLines/>
            </w:pPr>
            <w:r>
              <w:t>Cost per mg</w:t>
            </w:r>
          </w:p>
        </w:tc>
        <w:tc>
          <w:tcPr>
            <w:tcW w:w="3003" w:type="dxa"/>
          </w:tcPr>
          <w:p w14:paraId="489A84B8" w14:textId="2544C018" w:rsidR="00D4053F" w:rsidRPr="00DE23E3" w:rsidRDefault="00D4053F" w:rsidP="00D07CFE">
            <w:pPr>
              <w:pStyle w:val="TableText0"/>
              <w:keepNext/>
              <w:keepLines/>
              <w:jc w:val="center"/>
            </w:pPr>
            <w:r w:rsidRPr="00D16A01">
              <w:t>$5.31</w:t>
            </w:r>
          </w:p>
        </w:tc>
        <w:tc>
          <w:tcPr>
            <w:tcW w:w="3006" w:type="dxa"/>
          </w:tcPr>
          <w:p w14:paraId="6AE25571" w14:textId="598A15C9" w:rsidR="00D4053F" w:rsidRPr="0079341F" w:rsidRDefault="00D4053F" w:rsidP="00D07CFE">
            <w:pPr>
              <w:pStyle w:val="TableText0"/>
              <w:keepNext/>
              <w:keepLines/>
              <w:jc w:val="center"/>
            </w:pPr>
            <w:r w:rsidRPr="001A45E5">
              <w:t>$15.56</w:t>
            </w:r>
          </w:p>
        </w:tc>
      </w:tr>
      <w:tr w:rsidR="002C1266" w:rsidRPr="0098262F" w14:paraId="7C9343EF" w14:textId="77777777" w:rsidTr="00E2616C">
        <w:tc>
          <w:tcPr>
            <w:tcW w:w="3008" w:type="dxa"/>
          </w:tcPr>
          <w:p w14:paraId="45888478" w14:textId="77777777" w:rsidR="002C1266" w:rsidRPr="0098262F" w:rsidRDefault="002C1266" w:rsidP="00D07CFE">
            <w:pPr>
              <w:pStyle w:val="TableText0"/>
              <w:keepNext/>
              <w:keepLines/>
            </w:pPr>
            <w:r w:rsidRPr="0098262F">
              <w:t xml:space="preserve">Dose </w:t>
            </w:r>
            <w:r>
              <w:t>frequency</w:t>
            </w:r>
          </w:p>
        </w:tc>
        <w:tc>
          <w:tcPr>
            <w:tcW w:w="3003" w:type="dxa"/>
          </w:tcPr>
          <w:p w14:paraId="214ECEFB" w14:textId="77777777" w:rsidR="002C1266" w:rsidRPr="0098262F" w:rsidRDefault="002C1266" w:rsidP="00D07CFE">
            <w:pPr>
              <w:pStyle w:val="TableText0"/>
              <w:keepNext/>
              <w:keepLines/>
              <w:jc w:val="center"/>
            </w:pPr>
            <w:r>
              <w:t>Every 4 weeks</w:t>
            </w:r>
          </w:p>
        </w:tc>
        <w:tc>
          <w:tcPr>
            <w:tcW w:w="3006" w:type="dxa"/>
          </w:tcPr>
          <w:p w14:paraId="67672F6D" w14:textId="77777777" w:rsidR="002C1266" w:rsidRPr="0098262F" w:rsidRDefault="002C1266" w:rsidP="00D07CFE">
            <w:pPr>
              <w:pStyle w:val="TableText0"/>
              <w:keepNext/>
              <w:keepLines/>
              <w:jc w:val="center"/>
            </w:pPr>
            <w:r>
              <w:t>Every 4 weeks</w:t>
            </w:r>
          </w:p>
        </w:tc>
      </w:tr>
      <w:tr w:rsidR="002C1266" w:rsidRPr="0098262F" w14:paraId="7B66434B" w14:textId="77777777" w:rsidTr="00E2616C">
        <w:tc>
          <w:tcPr>
            <w:tcW w:w="3008" w:type="dxa"/>
          </w:tcPr>
          <w:p w14:paraId="38A211C6" w14:textId="77777777" w:rsidR="002C1266" w:rsidRPr="0098262F" w:rsidRDefault="002C1266" w:rsidP="00D07CFE">
            <w:pPr>
              <w:pStyle w:val="TableText0"/>
              <w:keepNext/>
              <w:keepLines/>
            </w:pPr>
            <w:r w:rsidRPr="0098262F">
              <w:t xml:space="preserve">Administrations per </w:t>
            </w:r>
            <w:r>
              <w:t>year</w:t>
            </w:r>
          </w:p>
        </w:tc>
        <w:tc>
          <w:tcPr>
            <w:tcW w:w="3003" w:type="dxa"/>
          </w:tcPr>
          <w:p w14:paraId="3C90ACC6" w14:textId="77777777" w:rsidR="002C1266" w:rsidRPr="0098262F" w:rsidRDefault="002C1266" w:rsidP="00D07CFE">
            <w:pPr>
              <w:pStyle w:val="TableText0"/>
              <w:keepNext/>
              <w:keepLines/>
              <w:jc w:val="center"/>
            </w:pPr>
            <w:r>
              <w:t>13</w:t>
            </w:r>
          </w:p>
        </w:tc>
        <w:tc>
          <w:tcPr>
            <w:tcW w:w="3006" w:type="dxa"/>
          </w:tcPr>
          <w:p w14:paraId="15410B96" w14:textId="77777777" w:rsidR="002C1266" w:rsidRPr="0098262F" w:rsidRDefault="002C1266" w:rsidP="00D07CFE">
            <w:pPr>
              <w:pStyle w:val="TableText0"/>
              <w:keepNext/>
              <w:keepLines/>
              <w:jc w:val="center"/>
            </w:pPr>
            <w:r>
              <w:t>13</w:t>
            </w:r>
          </w:p>
        </w:tc>
      </w:tr>
      <w:tr w:rsidR="002C1266" w:rsidRPr="0098262F" w14:paraId="0D118148" w14:textId="77777777" w:rsidTr="00E2616C">
        <w:tc>
          <w:tcPr>
            <w:tcW w:w="3008" w:type="dxa"/>
          </w:tcPr>
          <w:p w14:paraId="1D30913B" w14:textId="77777777" w:rsidR="002C1266" w:rsidRPr="0098262F" w:rsidRDefault="002C1266" w:rsidP="00D07CFE">
            <w:pPr>
              <w:pStyle w:val="TableText0"/>
              <w:keepNext/>
              <w:keepLines/>
            </w:pPr>
            <w:r w:rsidRPr="0098262F">
              <w:t xml:space="preserve">Total medicine cost per </w:t>
            </w:r>
            <w:r>
              <w:t>year</w:t>
            </w:r>
          </w:p>
        </w:tc>
        <w:tc>
          <w:tcPr>
            <w:tcW w:w="3003" w:type="dxa"/>
          </w:tcPr>
          <w:p w14:paraId="6B403702" w14:textId="77777777" w:rsidR="002C1266" w:rsidRPr="00DE23E3" w:rsidRDefault="002C1266" w:rsidP="00D07CFE">
            <w:pPr>
              <w:pStyle w:val="TableText0"/>
              <w:keepNext/>
              <w:keepLines/>
              <w:jc w:val="center"/>
            </w:pPr>
            <w:r w:rsidRPr="00DE23E3">
              <w:t>$20,229.30</w:t>
            </w:r>
          </w:p>
        </w:tc>
        <w:tc>
          <w:tcPr>
            <w:tcW w:w="3006" w:type="dxa"/>
          </w:tcPr>
          <w:p w14:paraId="198B38DF" w14:textId="77777777" w:rsidR="002C1266" w:rsidRPr="00DE23E3" w:rsidRDefault="002C1266" w:rsidP="00D07CFE">
            <w:pPr>
              <w:pStyle w:val="TableText0"/>
              <w:keepNext/>
              <w:keepLines/>
              <w:jc w:val="center"/>
            </w:pPr>
            <w:r w:rsidRPr="00DE23E3">
              <w:t>$20,229.30</w:t>
            </w:r>
          </w:p>
        </w:tc>
      </w:tr>
      <w:tr w:rsidR="002C1266" w:rsidRPr="0098262F" w14:paraId="52DE5AC1" w14:textId="77777777" w:rsidTr="00E2616C">
        <w:tc>
          <w:tcPr>
            <w:tcW w:w="3008" w:type="dxa"/>
          </w:tcPr>
          <w:p w14:paraId="73995875" w14:textId="77777777" w:rsidR="002C1266" w:rsidRPr="0098262F" w:rsidRDefault="002C1266" w:rsidP="00D07CFE">
            <w:pPr>
              <w:pStyle w:val="TableText0"/>
              <w:keepNext/>
              <w:keepLines/>
            </w:pPr>
            <w:r w:rsidRPr="0098262F">
              <w:t xml:space="preserve">Difference in cost per </w:t>
            </w:r>
            <w:r>
              <w:t>year</w:t>
            </w:r>
          </w:p>
        </w:tc>
        <w:tc>
          <w:tcPr>
            <w:tcW w:w="3003" w:type="dxa"/>
          </w:tcPr>
          <w:p w14:paraId="5CE36E46" w14:textId="77777777" w:rsidR="002C1266" w:rsidRPr="00DE23E3" w:rsidRDefault="002C1266" w:rsidP="00D07CFE">
            <w:pPr>
              <w:pStyle w:val="TableText0"/>
              <w:keepNext/>
              <w:keepLines/>
              <w:jc w:val="center"/>
            </w:pPr>
            <w:r w:rsidRPr="00DE23E3">
              <w:t>$0</w:t>
            </w:r>
          </w:p>
        </w:tc>
        <w:tc>
          <w:tcPr>
            <w:tcW w:w="3006" w:type="dxa"/>
          </w:tcPr>
          <w:p w14:paraId="1C0A5151" w14:textId="77777777" w:rsidR="002C1266" w:rsidRPr="00DE23E3" w:rsidRDefault="002C1266" w:rsidP="00D07CFE">
            <w:pPr>
              <w:pStyle w:val="TableText0"/>
              <w:keepNext/>
              <w:keepLines/>
              <w:jc w:val="center"/>
            </w:pPr>
            <w:r w:rsidRPr="00DE23E3">
              <w:t>$0</w:t>
            </w:r>
          </w:p>
        </w:tc>
      </w:tr>
      <w:tr w:rsidR="00E2616C" w:rsidRPr="0098262F" w14:paraId="787AB0E3" w14:textId="77777777">
        <w:tc>
          <w:tcPr>
            <w:tcW w:w="9017" w:type="dxa"/>
            <w:gridSpan w:val="3"/>
          </w:tcPr>
          <w:p w14:paraId="7D6DCDBC" w14:textId="73C07C1E" w:rsidR="00E2616C" w:rsidRPr="00AD4123" w:rsidRDefault="00E2616C" w:rsidP="00D07CFE">
            <w:pPr>
              <w:pStyle w:val="TableText0"/>
              <w:keepNext/>
              <w:keepLines/>
              <w:rPr>
                <w:vertAlign w:val="superscript"/>
              </w:rPr>
            </w:pPr>
            <w:r w:rsidRPr="005B624A">
              <w:t>Estimated cost minimised price for omalizumab</w:t>
            </w:r>
          </w:p>
        </w:tc>
      </w:tr>
      <w:tr w:rsidR="00E2616C" w:rsidRPr="0098262F" w14:paraId="7EC7D6F3" w14:textId="77777777">
        <w:tc>
          <w:tcPr>
            <w:tcW w:w="3008" w:type="dxa"/>
          </w:tcPr>
          <w:p w14:paraId="684B8C40" w14:textId="574C6461" w:rsidR="00E2616C" w:rsidRPr="00E2616C" w:rsidRDefault="00E2616C" w:rsidP="00D07CFE">
            <w:pPr>
              <w:pStyle w:val="TableText0"/>
              <w:keepNext/>
              <w:keepLines/>
            </w:pPr>
            <w:r w:rsidRPr="00E2616C">
              <w:t>75 mg pre-filled syringe</w:t>
            </w:r>
          </w:p>
        </w:tc>
        <w:tc>
          <w:tcPr>
            <w:tcW w:w="6009" w:type="dxa"/>
            <w:gridSpan w:val="2"/>
          </w:tcPr>
          <w:p w14:paraId="6A69FACF" w14:textId="3922E9EF" w:rsidR="00E2616C" w:rsidRPr="00DE23E3" w:rsidRDefault="00E2616C" w:rsidP="00D07CFE">
            <w:pPr>
              <w:pStyle w:val="TableText0"/>
              <w:keepNext/>
              <w:keepLines/>
              <w:jc w:val="center"/>
            </w:pPr>
            <w:r w:rsidRPr="00E2616C">
              <w:t>$398.59</w:t>
            </w:r>
          </w:p>
        </w:tc>
      </w:tr>
      <w:tr w:rsidR="00A0345D" w:rsidRPr="0098262F" w14:paraId="575365B3" w14:textId="77777777">
        <w:tc>
          <w:tcPr>
            <w:tcW w:w="3008" w:type="dxa"/>
          </w:tcPr>
          <w:p w14:paraId="7AF8F523" w14:textId="28B3B4E9" w:rsidR="00A0345D" w:rsidRPr="00E2616C" w:rsidRDefault="00A0345D" w:rsidP="00D07CFE">
            <w:pPr>
              <w:pStyle w:val="TableText0"/>
              <w:keepNext/>
              <w:keepLines/>
            </w:pPr>
            <w:r w:rsidRPr="00E2616C">
              <w:t>150 mg pre-filled syringe</w:t>
            </w:r>
          </w:p>
        </w:tc>
        <w:tc>
          <w:tcPr>
            <w:tcW w:w="6009" w:type="dxa"/>
            <w:gridSpan w:val="2"/>
          </w:tcPr>
          <w:p w14:paraId="4CC25C15" w14:textId="02E5C600" w:rsidR="00A0345D" w:rsidRPr="00DE23E3" w:rsidRDefault="00A0345D" w:rsidP="00D07CFE">
            <w:pPr>
              <w:pStyle w:val="TableText0"/>
              <w:keepNext/>
              <w:keepLines/>
              <w:jc w:val="center"/>
            </w:pPr>
            <w:r w:rsidRPr="00E2616C">
              <w:t>$797.18</w:t>
            </w:r>
          </w:p>
        </w:tc>
      </w:tr>
    </w:tbl>
    <w:p w14:paraId="04426AD2" w14:textId="156258B4" w:rsidR="00AD4123" w:rsidRPr="00F30A48" w:rsidRDefault="002C1266" w:rsidP="00AD4123">
      <w:pPr>
        <w:pStyle w:val="TableFooter"/>
        <w:rPr>
          <w:lang w:eastAsia="en-US"/>
        </w:rPr>
      </w:pPr>
      <w:r w:rsidRPr="00DD310B">
        <w:t xml:space="preserve">Source: </w:t>
      </w:r>
      <w:r>
        <w:t xml:space="preserve">Table 3.3, p142 of the submission and </w:t>
      </w:r>
      <w:r w:rsidRPr="00AD4123">
        <w:rPr>
          <w:i/>
          <w:iCs/>
        </w:rPr>
        <w:t>completed during the evaluation based on data provided in the submission</w:t>
      </w:r>
    </w:p>
    <w:p w14:paraId="52E194F4" w14:textId="64129A31" w:rsidR="002C1266" w:rsidRPr="00811611" w:rsidRDefault="002C1266" w:rsidP="002C1266">
      <w:pPr>
        <w:pStyle w:val="3-BodyText"/>
        <w:numPr>
          <w:ilvl w:val="1"/>
          <w:numId w:val="1"/>
        </w:numPr>
        <w:spacing w:before="0"/>
        <w:rPr>
          <w:i/>
          <w:iCs/>
        </w:rPr>
      </w:pPr>
      <w:r w:rsidRPr="009A20DC">
        <w:lastRenderedPageBreak/>
        <w:t>The resulting cost-minimised price for the 75 mg and 150 mg presentations were calculated to be $398.59 and $797.18, respectively</w:t>
      </w:r>
      <w:r w:rsidR="008A1C2E">
        <w:t>, based on published me</w:t>
      </w:r>
      <w:r w:rsidR="00FE73AC">
        <w:t>polizumab prices</w:t>
      </w:r>
      <w:r w:rsidRPr="009A20DC">
        <w:t>.</w:t>
      </w:r>
      <w:r>
        <w:t xml:space="preserve"> </w:t>
      </w:r>
    </w:p>
    <w:p w14:paraId="5636F713" w14:textId="78F1AA8F" w:rsidR="00811611" w:rsidRPr="00281D51" w:rsidRDefault="00811611" w:rsidP="002C1266">
      <w:pPr>
        <w:pStyle w:val="3-BodyText"/>
        <w:numPr>
          <w:ilvl w:val="1"/>
          <w:numId w:val="1"/>
        </w:numPr>
        <w:spacing w:before="0"/>
      </w:pPr>
      <w:r w:rsidRPr="00281D51">
        <w:t>Based on the approach applied, the submission assumed a 100% treatment compliance (resulting in 13 scripts per year). Patients in the POLYP 1/2 trials reported a mean treatment duration with omalizumab of approximately 20 weeks (out of 24</w:t>
      </w:r>
      <w:r w:rsidR="00A04E8E">
        <w:t> </w:t>
      </w:r>
      <w:r w:rsidRPr="00281D51">
        <w:t>weeks). Further, this did not align with the 9.6 scripts applied in the financial estimates which was based on a (assumed) compliance rate of 94.6% and response rate of 72.6% from PBAC’s consideration of mepolizumab in November 2022 (para 6.61, mepolizumab PSD, July 2016 PBAC meeting.</w:t>
      </w:r>
    </w:p>
    <w:bookmarkStart w:id="60" w:name="_Ref190286929"/>
    <w:bookmarkStart w:id="61" w:name="_Ref190685872"/>
    <w:p w14:paraId="6E3C40F4" w14:textId="4A4CDB2A" w:rsidR="0021735E" w:rsidRPr="00281D51" w:rsidRDefault="00080EDF" w:rsidP="0021735E">
      <w:pPr>
        <w:pStyle w:val="3-BodyText"/>
      </w:pPr>
      <w:r w:rsidRPr="00281D51">
        <w:fldChar w:fldCharType="begin"/>
      </w:r>
      <w:r w:rsidRPr="00281D51">
        <w:instrText xml:space="preserve"> REF _Ref192664158 \h  \* MERGEFORMAT </w:instrText>
      </w:r>
      <w:r w:rsidRPr="00281D51">
        <w:fldChar w:fldCharType="separate"/>
      </w:r>
      <w:r w:rsidR="00CE52BF">
        <w:t xml:space="preserve">Table </w:t>
      </w:r>
      <w:r w:rsidR="00CE52BF">
        <w:rPr>
          <w:noProof/>
        </w:rPr>
        <w:t>12</w:t>
      </w:r>
      <w:r w:rsidRPr="00281D51">
        <w:fldChar w:fldCharType="end"/>
      </w:r>
      <w:r w:rsidRPr="00281D51">
        <w:t xml:space="preserve"> shows the cost-minimisation approach results when a</w:t>
      </w:r>
      <w:r w:rsidR="0021735E" w:rsidRPr="00281D51">
        <w:t>pplying a mean treatment dose of 346.67 mg which was the average for all patients in POLYP trials (compared to 292.8 mg in base case)</w:t>
      </w:r>
      <w:r w:rsidRPr="00281D51">
        <w:t xml:space="preserve">. This </w:t>
      </w:r>
      <w:r w:rsidR="0021735E" w:rsidRPr="00281D51">
        <w:t>resulted in lower cost-minimised prices of $336.66 and $673.31 for 75 mg and 150 mg presentations (pre-filled syringe), respectively. This represents a 16% difference.</w:t>
      </w:r>
      <w:bookmarkEnd w:id="60"/>
      <w:r w:rsidR="0021735E" w:rsidRPr="00281D51">
        <w:t xml:space="preserve">   </w:t>
      </w:r>
    </w:p>
    <w:p w14:paraId="087F2762" w14:textId="4A404F61" w:rsidR="00C100DC" w:rsidRPr="00C100DC" w:rsidRDefault="00080EDF" w:rsidP="000130A4">
      <w:pPr>
        <w:pStyle w:val="TableFigureHeading"/>
        <w:rPr>
          <w:b w:val="0"/>
          <w:bCs w:val="0"/>
          <w:i/>
          <w:iCs/>
        </w:rPr>
      </w:pPr>
      <w:bookmarkStart w:id="62" w:name="_Ref192664158"/>
      <w:r>
        <w:t xml:space="preserve">Table </w:t>
      </w:r>
      <w:r w:rsidR="006C08C0">
        <w:fldChar w:fldCharType="begin"/>
      </w:r>
      <w:r w:rsidR="006C08C0">
        <w:instrText xml:space="preserve"> SEQ Table \* ARABIC </w:instrText>
      </w:r>
      <w:r w:rsidR="006C08C0">
        <w:fldChar w:fldCharType="separate"/>
      </w:r>
      <w:r w:rsidR="00CE52BF">
        <w:rPr>
          <w:noProof/>
        </w:rPr>
        <w:t>12</w:t>
      </w:r>
      <w:r w:rsidR="006C08C0">
        <w:rPr>
          <w:noProof/>
        </w:rPr>
        <w:fldChar w:fldCharType="end"/>
      </w:r>
      <w:bookmarkEnd w:id="62"/>
      <w:r w:rsidRPr="00C100DC">
        <w:t>:</w:t>
      </w:r>
      <w:r w:rsidRPr="00C100DC">
        <w:rPr>
          <w:b w:val="0"/>
          <w:bCs w:val="0"/>
        </w:rPr>
        <w:t xml:space="preserve"> </w:t>
      </w:r>
      <w:r w:rsidR="00C100DC" w:rsidRPr="00C100DC">
        <w:rPr>
          <w:rStyle w:val="CommentReference"/>
          <w:b/>
          <w:bCs w:val="0"/>
          <w:szCs w:val="24"/>
        </w:rPr>
        <w:t>Sensitivity analysis conducted during the evaluation using mean treatment dose of all POLYP patients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001"/>
        <w:gridCol w:w="3004"/>
      </w:tblGrid>
      <w:tr w:rsidR="00C100DC" w:rsidRPr="00CF17F2" w14:paraId="4F9638BD" w14:textId="637FBC02" w:rsidTr="009A12B5">
        <w:tc>
          <w:tcPr>
            <w:tcW w:w="1670" w:type="pct"/>
          </w:tcPr>
          <w:p w14:paraId="1116A250" w14:textId="77777777" w:rsidR="00C100DC" w:rsidRPr="00CF17F2" w:rsidRDefault="00C100DC" w:rsidP="000130A4">
            <w:pPr>
              <w:pStyle w:val="In-tableHeading"/>
            </w:pPr>
            <w:r w:rsidRPr="00CF17F2">
              <w:t>Component</w:t>
            </w:r>
          </w:p>
        </w:tc>
        <w:tc>
          <w:tcPr>
            <w:tcW w:w="1664" w:type="pct"/>
          </w:tcPr>
          <w:p w14:paraId="2C5D8405" w14:textId="77777777" w:rsidR="00C100DC" w:rsidRPr="00CF17F2" w:rsidRDefault="00C100DC" w:rsidP="000130A4">
            <w:pPr>
              <w:pStyle w:val="In-tableHeading"/>
              <w:jc w:val="center"/>
            </w:pPr>
            <w:r w:rsidRPr="00CF17F2">
              <w:t>Omalizumab</w:t>
            </w:r>
          </w:p>
        </w:tc>
        <w:tc>
          <w:tcPr>
            <w:tcW w:w="1666" w:type="pct"/>
          </w:tcPr>
          <w:p w14:paraId="1A9E8D0F" w14:textId="77777777" w:rsidR="00C100DC" w:rsidRPr="00CF17F2" w:rsidRDefault="00C100DC" w:rsidP="000130A4">
            <w:pPr>
              <w:pStyle w:val="In-tableHeading"/>
              <w:jc w:val="center"/>
            </w:pPr>
            <w:r w:rsidRPr="00CF17F2">
              <w:t>Mepolizumab</w:t>
            </w:r>
          </w:p>
        </w:tc>
      </w:tr>
      <w:tr w:rsidR="00C100DC" w:rsidRPr="00CF17F2" w14:paraId="1F2A6249" w14:textId="42D38D81" w:rsidTr="009A12B5">
        <w:tc>
          <w:tcPr>
            <w:tcW w:w="1670" w:type="pct"/>
          </w:tcPr>
          <w:p w14:paraId="510B7EA7" w14:textId="77777777" w:rsidR="00C100DC" w:rsidRPr="00CF17F2" w:rsidRDefault="00C100DC" w:rsidP="000130A4">
            <w:pPr>
              <w:pStyle w:val="TableText0"/>
              <w:keepNext/>
              <w:rPr>
                <w:iCs w:val="0"/>
              </w:rPr>
            </w:pPr>
            <w:r w:rsidRPr="00CF17F2">
              <w:rPr>
                <w:iCs w:val="0"/>
              </w:rPr>
              <w:t>Cost per dose</w:t>
            </w:r>
          </w:p>
        </w:tc>
        <w:tc>
          <w:tcPr>
            <w:tcW w:w="1664" w:type="pct"/>
          </w:tcPr>
          <w:p w14:paraId="4106BE42" w14:textId="77777777" w:rsidR="00C100DC" w:rsidRPr="00CF17F2" w:rsidRDefault="00C100DC" w:rsidP="000130A4">
            <w:pPr>
              <w:pStyle w:val="TableText0"/>
              <w:keepNext/>
              <w:jc w:val="center"/>
              <w:rPr>
                <w:iCs w:val="0"/>
                <w:vertAlign w:val="superscript"/>
              </w:rPr>
            </w:pPr>
            <w:r w:rsidRPr="00CF17F2">
              <w:rPr>
                <w:iCs w:val="0"/>
              </w:rPr>
              <w:t>$1,556.10</w:t>
            </w:r>
          </w:p>
        </w:tc>
        <w:tc>
          <w:tcPr>
            <w:tcW w:w="1666" w:type="pct"/>
          </w:tcPr>
          <w:p w14:paraId="3ABDD1E7" w14:textId="77777777" w:rsidR="00C100DC" w:rsidRPr="00CF17F2" w:rsidRDefault="00C100DC" w:rsidP="000130A4">
            <w:pPr>
              <w:pStyle w:val="TableText0"/>
              <w:keepNext/>
              <w:jc w:val="center"/>
              <w:rPr>
                <w:iCs w:val="0"/>
              </w:rPr>
            </w:pPr>
            <w:r w:rsidRPr="00CF17F2">
              <w:rPr>
                <w:iCs w:val="0"/>
              </w:rPr>
              <w:t>$1,556.10</w:t>
            </w:r>
          </w:p>
        </w:tc>
      </w:tr>
      <w:tr w:rsidR="00C100DC" w:rsidRPr="00CF17F2" w14:paraId="6EFEDBE7" w14:textId="6D7B5E01" w:rsidTr="009A12B5">
        <w:tc>
          <w:tcPr>
            <w:tcW w:w="1670" w:type="pct"/>
          </w:tcPr>
          <w:p w14:paraId="38095C6B" w14:textId="77777777" w:rsidR="00C100DC" w:rsidRPr="00CF17F2" w:rsidRDefault="00C100DC" w:rsidP="000130A4">
            <w:pPr>
              <w:pStyle w:val="TableText0"/>
              <w:keepNext/>
              <w:rPr>
                <w:iCs w:val="0"/>
              </w:rPr>
            </w:pPr>
            <w:r w:rsidRPr="00CF17F2">
              <w:rPr>
                <w:iCs w:val="0"/>
              </w:rPr>
              <w:t>Equi-effective dose (mg)</w:t>
            </w:r>
          </w:p>
        </w:tc>
        <w:tc>
          <w:tcPr>
            <w:tcW w:w="1664" w:type="pct"/>
          </w:tcPr>
          <w:p w14:paraId="5A2B3CCD" w14:textId="77777777" w:rsidR="00C100DC" w:rsidRPr="00CF17F2" w:rsidRDefault="00C100DC" w:rsidP="000130A4">
            <w:pPr>
              <w:pStyle w:val="TableText0"/>
              <w:keepNext/>
              <w:jc w:val="center"/>
              <w:rPr>
                <w:iCs w:val="0"/>
              </w:rPr>
            </w:pPr>
            <w:r w:rsidRPr="00CF17F2">
              <w:rPr>
                <w:iCs w:val="0"/>
              </w:rPr>
              <w:t>346.7</w:t>
            </w:r>
          </w:p>
        </w:tc>
        <w:tc>
          <w:tcPr>
            <w:tcW w:w="1666" w:type="pct"/>
          </w:tcPr>
          <w:p w14:paraId="47C86CB3" w14:textId="77777777" w:rsidR="00C100DC" w:rsidRPr="00CF17F2" w:rsidRDefault="00C100DC" w:rsidP="000130A4">
            <w:pPr>
              <w:pStyle w:val="TableText0"/>
              <w:keepNext/>
              <w:jc w:val="center"/>
              <w:rPr>
                <w:iCs w:val="0"/>
              </w:rPr>
            </w:pPr>
            <w:r w:rsidRPr="00CF17F2">
              <w:rPr>
                <w:iCs w:val="0"/>
              </w:rPr>
              <w:t>100</w:t>
            </w:r>
          </w:p>
        </w:tc>
      </w:tr>
      <w:tr w:rsidR="00C100DC" w:rsidRPr="00CF17F2" w14:paraId="1C769CFF" w14:textId="3CD175B7" w:rsidTr="009A12B5">
        <w:tc>
          <w:tcPr>
            <w:tcW w:w="1670" w:type="pct"/>
          </w:tcPr>
          <w:p w14:paraId="424714B2" w14:textId="77777777" w:rsidR="00C100DC" w:rsidRPr="00CF17F2" w:rsidRDefault="00C100DC" w:rsidP="000130A4">
            <w:pPr>
              <w:pStyle w:val="TableText0"/>
              <w:keepNext/>
              <w:rPr>
                <w:iCs w:val="0"/>
              </w:rPr>
            </w:pPr>
            <w:r w:rsidRPr="00CF17F2">
              <w:rPr>
                <w:iCs w:val="0"/>
              </w:rPr>
              <w:t>Cost per mg</w:t>
            </w:r>
          </w:p>
        </w:tc>
        <w:tc>
          <w:tcPr>
            <w:tcW w:w="1664" w:type="pct"/>
          </w:tcPr>
          <w:p w14:paraId="3BF1BA2B" w14:textId="77777777" w:rsidR="00C100DC" w:rsidRPr="00CF17F2" w:rsidRDefault="00C100DC" w:rsidP="000130A4">
            <w:pPr>
              <w:pStyle w:val="TableText0"/>
              <w:keepNext/>
              <w:jc w:val="center"/>
              <w:rPr>
                <w:iCs w:val="0"/>
              </w:rPr>
            </w:pPr>
            <w:r w:rsidRPr="00CF17F2">
              <w:rPr>
                <w:iCs w:val="0"/>
              </w:rPr>
              <w:t>$4.49</w:t>
            </w:r>
          </w:p>
        </w:tc>
        <w:tc>
          <w:tcPr>
            <w:tcW w:w="1666" w:type="pct"/>
          </w:tcPr>
          <w:p w14:paraId="437FE4BA" w14:textId="77777777" w:rsidR="00C100DC" w:rsidRPr="00CF17F2" w:rsidRDefault="00C100DC" w:rsidP="000130A4">
            <w:pPr>
              <w:pStyle w:val="TableText0"/>
              <w:keepNext/>
              <w:jc w:val="center"/>
              <w:rPr>
                <w:iCs w:val="0"/>
              </w:rPr>
            </w:pPr>
            <w:r w:rsidRPr="00CF17F2">
              <w:rPr>
                <w:iCs w:val="0"/>
              </w:rPr>
              <w:t>$15.56</w:t>
            </w:r>
          </w:p>
        </w:tc>
      </w:tr>
      <w:tr w:rsidR="00C100DC" w:rsidRPr="00CF17F2" w14:paraId="2C51FD2C" w14:textId="512B8A23" w:rsidTr="009A12B5">
        <w:tc>
          <w:tcPr>
            <w:tcW w:w="1670" w:type="pct"/>
          </w:tcPr>
          <w:p w14:paraId="0D71ABEC" w14:textId="77777777" w:rsidR="00C100DC" w:rsidRPr="00CF17F2" w:rsidRDefault="00C100DC" w:rsidP="000130A4">
            <w:pPr>
              <w:pStyle w:val="TableText0"/>
              <w:keepNext/>
              <w:rPr>
                <w:iCs w:val="0"/>
              </w:rPr>
            </w:pPr>
            <w:r w:rsidRPr="00CF17F2">
              <w:rPr>
                <w:iCs w:val="0"/>
              </w:rPr>
              <w:t>Dose frequency</w:t>
            </w:r>
          </w:p>
        </w:tc>
        <w:tc>
          <w:tcPr>
            <w:tcW w:w="1664" w:type="pct"/>
          </w:tcPr>
          <w:p w14:paraId="5CDD2292" w14:textId="77777777" w:rsidR="00C100DC" w:rsidRPr="00CF17F2" w:rsidRDefault="00C100DC" w:rsidP="000130A4">
            <w:pPr>
              <w:pStyle w:val="TableText0"/>
              <w:keepNext/>
              <w:jc w:val="center"/>
              <w:rPr>
                <w:iCs w:val="0"/>
              </w:rPr>
            </w:pPr>
            <w:r w:rsidRPr="00CF17F2">
              <w:rPr>
                <w:iCs w:val="0"/>
              </w:rPr>
              <w:t>Every 4 weeks</w:t>
            </w:r>
          </w:p>
        </w:tc>
        <w:tc>
          <w:tcPr>
            <w:tcW w:w="1666" w:type="pct"/>
          </w:tcPr>
          <w:p w14:paraId="2A8430D4" w14:textId="77777777" w:rsidR="00C100DC" w:rsidRPr="00CF17F2" w:rsidRDefault="00C100DC" w:rsidP="000130A4">
            <w:pPr>
              <w:pStyle w:val="TableText0"/>
              <w:keepNext/>
              <w:jc w:val="center"/>
              <w:rPr>
                <w:iCs w:val="0"/>
              </w:rPr>
            </w:pPr>
            <w:r w:rsidRPr="00CF17F2">
              <w:rPr>
                <w:iCs w:val="0"/>
              </w:rPr>
              <w:t>Every 4 weeks</w:t>
            </w:r>
          </w:p>
        </w:tc>
      </w:tr>
      <w:tr w:rsidR="00C100DC" w:rsidRPr="00CF17F2" w14:paraId="07E60169" w14:textId="5263EE83" w:rsidTr="009A12B5">
        <w:tc>
          <w:tcPr>
            <w:tcW w:w="1670" w:type="pct"/>
          </w:tcPr>
          <w:p w14:paraId="606A57C0" w14:textId="77777777" w:rsidR="00C100DC" w:rsidRPr="00CF17F2" w:rsidRDefault="00C100DC" w:rsidP="000130A4">
            <w:pPr>
              <w:pStyle w:val="TableText0"/>
              <w:keepNext/>
              <w:rPr>
                <w:iCs w:val="0"/>
              </w:rPr>
            </w:pPr>
            <w:r w:rsidRPr="00CF17F2">
              <w:rPr>
                <w:iCs w:val="0"/>
              </w:rPr>
              <w:t>Administrations per year</w:t>
            </w:r>
          </w:p>
        </w:tc>
        <w:tc>
          <w:tcPr>
            <w:tcW w:w="1664" w:type="pct"/>
          </w:tcPr>
          <w:p w14:paraId="6AB547A0" w14:textId="77777777" w:rsidR="00C100DC" w:rsidRPr="00CF17F2" w:rsidRDefault="00C100DC" w:rsidP="000130A4">
            <w:pPr>
              <w:pStyle w:val="TableText0"/>
              <w:keepNext/>
              <w:jc w:val="center"/>
              <w:rPr>
                <w:iCs w:val="0"/>
              </w:rPr>
            </w:pPr>
            <w:r w:rsidRPr="00CF17F2">
              <w:rPr>
                <w:iCs w:val="0"/>
              </w:rPr>
              <w:t>13</w:t>
            </w:r>
          </w:p>
        </w:tc>
        <w:tc>
          <w:tcPr>
            <w:tcW w:w="1666" w:type="pct"/>
          </w:tcPr>
          <w:p w14:paraId="4789AE06" w14:textId="77777777" w:rsidR="00C100DC" w:rsidRPr="00CF17F2" w:rsidRDefault="00C100DC" w:rsidP="000130A4">
            <w:pPr>
              <w:pStyle w:val="TableText0"/>
              <w:keepNext/>
              <w:jc w:val="center"/>
              <w:rPr>
                <w:iCs w:val="0"/>
              </w:rPr>
            </w:pPr>
            <w:r w:rsidRPr="00CF17F2">
              <w:rPr>
                <w:iCs w:val="0"/>
              </w:rPr>
              <w:t>13</w:t>
            </w:r>
          </w:p>
        </w:tc>
      </w:tr>
      <w:tr w:rsidR="00C100DC" w:rsidRPr="00CF17F2" w14:paraId="43AE0BDE" w14:textId="384D177D" w:rsidTr="009A12B5">
        <w:tc>
          <w:tcPr>
            <w:tcW w:w="1670" w:type="pct"/>
          </w:tcPr>
          <w:p w14:paraId="1DD0DBD5" w14:textId="77777777" w:rsidR="00C100DC" w:rsidRPr="00CF17F2" w:rsidRDefault="00C100DC" w:rsidP="000130A4">
            <w:pPr>
              <w:pStyle w:val="TableText0"/>
              <w:keepNext/>
              <w:rPr>
                <w:iCs w:val="0"/>
              </w:rPr>
            </w:pPr>
            <w:r w:rsidRPr="00CF17F2">
              <w:rPr>
                <w:iCs w:val="0"/>
              </w:rPr>
              <w:t>Total medicine cost per year</w:t>
            </w:r>
          </w:p>
        </w:tc>
        <w:tc>
          <w:tcPr>
            <w:tcW w:w="1664" w:type="pct"/>
          </w:tcPr>
          <w:p w14:paraId="708E472E" w14:textId="77777777" w:rsidR="00C100DC" w:rsidRPr="00CF17F2" w:rsidRDefault="00C100DC" w:rsidP="000130A4">
            <w:pPr>
              <w:pStyle w:val="TableText0"/>
              <w:keepNext/>
              <w:jc w:val="center"/>
              <w:rPr>
                <w:iCs w:val="0"/>
              </w:rPr>
            </w:pPr>
            <w:r w:rsidRPr="00CF17F2">
              <w:rPr>
                <w:iCs w:val="0"/>
              </w:rPr>
              <w:t>$20,229.30</w:t>
            </w:r>
          </w:p>
        </w:tc>
        <w:tc>
          <w:tcPr>
            <w:tcW w:w="1666" w:type="pct"/>
          </w:tcPr>
          <w:p w14:paraId="1D4D9085" w14:textId="77777777" w:rsidR="00C100DC" w:rsidRPr="00CF17F2" w:rsidRDefault="00C100DC" w:rsidP="000130A4">
            <w:pPr>
              <w:pStyle w:val="TableText0"/>
              <w:keepNext/>
              <w:jc w:val="center"/>
              <w:rPr>
                <w:iCs w:val="0"/>
              </w:rPr>
            </w:pPr>
            <w:r w:rsidRPr="00CF17F2">
              <w:rPr>
                <w:iCs w:val="0"/>
              </w:rPr>
              <w:t>$20,229.30</w:t>
            </w:r>
          </w:p>
        </w:tc>
      </w:tr>
      <w:tr w:rsidR="00C100DC" w:rsidRPr="00CF17F2" w14:paraId="072426D8" w14:textId="341BF5D4" w:rsidTr="009A12B5">
        <w:tc>
          <w:tcPr>
            <w:tcW w:w="1670" w:type="pct"/>
          </w:tcPr>
          <w:p w14:paraId="070A1D6B" w14:textId="77777777" w:rsidR="00C100DC" w:rsidRPr="00CF17F2" w:rsidRDefault="00C100DC" w:rsidP="000130A4">
            <w:pPr>
              <w:pStyle w:val="TableText0"/>
              <w:keepNext/>
              <w:rPr>
                <w:iCs w:val="0"/>
              </w:rPr>
            </w:pPr>
            <w:r w:rsidRPr="00CF17F2">
              <w:rPr>
                <w:iCs w:val="0"/>
              </w:rPr>
              <w:t>Difference in cost per year</w:t>
            </w:r>
          </w:p>
        </w:tc>
        <w:tc>
          <w:tcPr>
            <w:tcW w:w="1664" w:type="pct"/>
          </w:tcPr>
          <w:p w14:paraId="2A173637" w14:textId="77777777" w:rsidR="00C100DC" w:rsidRPr="00CF17F2" w:rsidRDefault="00C100DC" w:rsidP="000130A4">
            <w:pPr>
              <w:pStyle w:val="TableText0"/>
              <w:keepNext/>
              <w:jc w:val="center"/>
              <w:rPr>
                <w:iCs w:val="0"/>
              </w:rPr>
            </w:pPr>
            <w:r w:rsidRPr="00CF17F2">
              <w:rPr>
                <w:iCs w:val="0"/>
              </w:rPr>
              <w:t>$0</w:t>
            </w:r>
          </w:p>
        </w:tc>
        <w:tc>
          <w:tcPr>
            <w:tcW w:w="1666" w:type="pct"/>
          </w:tcPr>
          <w:p w14:paraId="57879320" w14:textId="77777777" w:rsidR="00C100DC" w:rsidRPr="00CF17F2" w:rsidRDefault="00C100DC" w:rsidP="000130A4">
            <w:pPr>
              <w:pStyle w:val="TableText0"/>
              <w:keepNext/>
              <w:jc w:val="center"/>
              <w:rPr>
                <w:iCs w:val="0"/>
              </w:rPr>
            </w:pPr>
            <w:r w:rsidRPr="00CF17F2">
              <w:rPr>
                <w:iCs w:val="0"/>
              </w:rPr>
              <w:t>$0</w:t>
            </w:r>
          </w:p>
        </w:tc>
      </w:tr>
      <w:tr w:rsidR="00C100DC" w:rsidRPr="00CF17F2" w14:paraId="4EF0CAD2" w14:textId="195B2856" w:rsidTr="00C100DC">
        <w:tc>
          <w:tcPr>
            <w:tcW w:w="5000" w:type="pct"/>
            <w:gridSpan w:val="3"/>
          </w:tcPr>
          <w:p w14:paraId="10F2D562" w14:textId="77777777" w:rsidR="00C100DC" w:rsidRPr="00CF17F2" w:rsidRDefault="00C100DC" w:rsidP="000130A4">
            <w:pPr>
              <w:pStyle w:val="TableText0"/>
              <w:keepNext/>
              <w:rPr>
                <w:iCs w:val="0"/>
                <w:vertAlign w:val="superscript"/>
              </w:rPr>
            </w:pPr>
            <w:r w:rsidRPr="00CF17F2">
              <w:rPr>
                <w:iCs w:val="0"/>
              </w:rPr>
              <w:t>Estimated cost minimised price for omalizumab</w:t>
            </w:r>
          </w:p>
        </w:tc>
      </w:tr>
      <w:tr w:rsidR="00C100DC" w:rsidRPr="00CF17F2" w14:paraId="2F60E23E" w14:textId="0384230B" w:rsidTr="009A12B5">
        <w:tc>
          <w:tcPr>
            <w:tcW w:w="1670" w:type="pct"/>
          </w:tcPr>
          <w:p w14:paraId="06A1B94D" w14:textId="77777777" w:rsidR="00C100DC" w:rsidRPr="00CF17F2" w:rsidRDefault="00C100DC" w:rsidP="000130A4">
            <w:pPr>
              <w:pStyle w:val="TableText0"/>
              <w:keepNext/>
              <w:rPr>
                <w:iCs w:val="0"/>
              </w:rPr>
            </w:pPr>
            <w:r w:rsidRPr="00CF17F2">
              <w:rPr>
                <w:iCs w:val="0"/>
              </w:rPr>
              <w:t>75 mg pre-filled syringe</w:t>
            </w:r>
          </w:p>
        </w:tc>
        <w:tc>
          <w:tcPr>
            <w:tcW w:w="3330" w:type="pct"/>
            <w:gridSpan w:val="2"/>
          </w:tcPr>
          <w:p w14:paraId="054E7EBE" w14:textId="77777777" w:rsidR="00C100DC" w:rsidRPr="00CF17F2" w:rsidRDefault="00C100DC" w:rsidP="000130A4">
            <w:pPr>
              <w:pStyle w:val="TableText0"/>
              <w:keepNext/>
              <w:jc w:val="center"/>
              <w:rPr>
                <w:iCs w:val="0"/>
              </w:rPr>
            </w:pPr>
            <w:r w:rsidRPr="00CF17F2">
              <w:rPr>
                <w:iCs w:val="0"/>
              </w:rPr>
              <w:t>$336.66</w:t>
            </w:r>
          </w:p>
        </w:tc>
      </w:tr>
      <w:tr w:rsidR="00C100DC" w:rsidRPr="00CF17F2" w14:paraId="1455FC1A" w14:textId="7E505FFD" w:rsidTr="009A12B5">
        <w:tc>
          <w:tcPr>
            <w:tcW w:w="1670" w:type="pct"/>
          </w:tcPr>
          <w:p w14:paraId="32D4263D" w14:textId="77777777" w:rsidR="00C100DC" w:rsidRPr="00CF17F2" w:rsidRDefault="00C100DC" w:rsidP="000130A4">
            <w:pPr>
              <w:pStyle w:val="TableText0"/>
              <w:keepNext/>
              <w:rPr>
                <w:iCs w:val="0"/>
              </w:rPr>
            </w:pPr>
            <w:r w:rsidRPr="00CF17F2">
              <w:rPr>
                <w:iCs w:val="0"/>
              </w:rPr>
              <w:t>150 mg pre-filled syringe</w:t>
            </w:r>
          </w:p>
        </w:tc>
        <w:tc>
          <w:tcPr>
            <w:tcW w:w="3330" w:type="pct"/>
            <w:gridSpan w:val="2"/>
          </w:tcPr>
          <w:p w14:paraId="0FCBB11A" w14:textId="77777777" w:rsidR="00C100DC" w:rsidRPr="00CF17F2" w:rsidRDefault="00C100DC" w:rsidP="000130A4">
            <w:pPr>
              <w:pStyle w:val="TableText0"/>
              <w:keepNext/>
              <w:jc w:val="center"/>
              <w:rPr>
                <w:iCs w:val="0"/>
              </w:rPr>
            </w:pPr>
            <w:r w:rsidRPr="00CF17F2">
              <w:rPr>
                <w:iCs w:val="0"/>
              </w:rPr>
              <w:t>$673.31</w:t>
            </w:r>
          </w:p>
        </w:tc>
      </w:tr>
    </w:tbl>
    <w:p w14:paraId="41B53A20" w14:textId="77777777" w:rsidR="00C100DC" w:rsidRPr="00DD310B" w:rsidRDefault="00C100DC" w:rsidP="000130A4">
      <w:pPr>
        <w:pStyle w:val="TableFooter"/>
        <w:keepNext/>
      </w:pPr>
      <w:r w:rsidRPr="00DD310B">
        <w:t xml:space="preserve">Source: </w:t>
      </w:r>
      <w:r w:rsidRPr="00AD68E9">
        <w:rPr>
          <w:i/>
          <w:iCs/>
        </w:rPr>
        <w:t>Calculated during the evaluation based on data provided in the submission</w:t>
      </w:r>
    </w:p>
    <w:p w14:paraId="72D93C7E" w14:textId="0804D6BF" w:rsidR="00703C89" w:rsidRPr="00281D51" w:rsidRDefault="002C1266" w:rsidP="00DA6B3D">
      <w:pPr>
        <w:pStyle w:val="3-BodyText"/>
      </w:pPr>
      <w:bookmarkStart w:id="63" w:name="_Ref192843252"/>
      <w:r w:rsidRPr="00281D51">
        <w:t xml:space="preserve">Anaphylaxis reactions </w:t>
      </w:r>
      <w:r w:rsidR="00CE66DD" w:rsidRPr="00281D51">
        <w:t xml:space="preserve">following administration of omalizumab </w:t>
      </w:r>
      <w:r w:rsidRPr="00281D51">
        <w:t xml:space="preserve">have been reported, with </w:t>
      </w:r>
      <w:r w:rsidR="00CE66DD">
        <w:t xml:space="preserve">the </w:t>
      </w:r>
      <w:r w:rsidRPr="00281D51">
        <w:t>majority occurring within the first three doses of omalizumab (p6 of omalizumab PI). Given this, it may be reasonable to expect the first three administrations to be supervised and associated costs be included, consistent with the approach taken in the PBAC’s prior consideration of mepolizumab</w:t>
      </w:r>
      <w:r w:rsidR="00E21D28">
        <w:t xml:space="preserve">, and to align with the TGA PI </w:t>
      </w:r>
      <w:r w:rsidRPr="00281D51">
        <w:t xml:space="preserve">(para 6.21, 6.22, mepolizumab PSD, July 2016 PBAC meeting). This includes specialist fees for administration (MBS item 116; $87.30) and nurse supervision post dose (MBS item 82210; $58.85). </w:t>
      </w:r>
      <w:r w:rsidR="00162924" w:rsidRPr="00281D51">
        <w:t xml:space="preserve">Sensitivity analysis conducted during the evaluation including these costs are presented in </w:t>
      </w:r>
      <w:r w:rsidR="001F1DC7" w:rsidRPr="00281D51">
        <w:fldChar w:fldCharType="begin"/>
      </w:r>
      <w:r w:rsidR="001F1DC7" w:rsidRPr="00281D51">
        <w:instrText xml:space="preserve"> REF _Ref192684958 \h  \* MERGEFORMAT </w:instrText>
      </w:r>
      <w:r w:rsidR="001F1DC7" w:rsidRPr="00281D51">
        <w:fldChar w:fldCharType="separate"/>
      </w:r>
      <w:r w:rsidR="00CE52BF" w:rsidRPr="00CE52BF">
        <w:t>Table 13</w:t>
      </w:r>
      <w:r w:rsidR="001F1DC7" w:rsidRPr="00281D51">
        <w:fldChar w:fldCharType="end"/>
      </w:r>
      <w:r w:rsidR="001F1DC7" w:rsidRPr="00281D51">
        <w:t>.</w:t>
      </w:r>
      <w:bookmarkEnd w:id="63"/>
    </w:p>
    <w:p w14:paraId="0EBE808E" w14:textId="3BE34479" w:rsidR="00162924" w:rsidRPr="0098262F" w:rsidRDefault="00162924" w:rsidP="00A04E8E">
      <w:pPr>
        <w:pStyle w:val="Caption"/>
        <w:rPr>
          <w:rStyle w:val="CommentReference"/>
          <w:b/>
        </w:rPr>
      </w:pPr>
      <w:bookmarkStart w:id="64" w:name="_Ref192684958"/>
      <w:r>
        <w:rPr>
          <w:rStyle w:val="CommentReference"/>
          <w:b/>
        </w:rPr>
        <w:lastRenderedPageBreak/>
        <w:t xml:space="preserve">Table </w:t>
      </w:r>
      <w:r w:rsidR="001F1DC7">
        <w:rPr>
          <w:rStyle w:val="CommentReference"/>
          <w:b/>
        </w:rPr>
        <w:fldChar w:fldCharType="begin"/>
      </w:r>
      <w:r w:rsidR="001F1DC7">
        <w:rPr>
          <w:rStyle w:val="CommentReference"/>
          <w:b/>
        </w:rPr>
        <w:instrText xml:space="preserve"> SEQ Table \* ARABIC </w:instrText>
      </w:r>
      <w:r w:rsidR="001F1DC7">
        <w:rPr>
          <w:rStyle w:val="CommentReference"/>
          <w:b/>
        </w:rPr>
        <w:fldChar w:fldCharType="separate"/>
      </w:r>
      <w:r w:rsidR="00CE52BF">
        <w:rPr>
          <w:rStyle w:val="CommentReference"/>
          <w:b/>
          <w:noProof/>
        </w:rPr>
        <w:t>13</w:t>
      </w:r>
      <w:r w:rsidR="001F1DC7">
        <w:rPr>
          <w:rStyle w:val="CommentReference"/>
          <w:b/>
        </w:rPr>
        <w:fldChar w:fldCharType="end"/>
      </w:r>
      <w:bookmarkEnd w:id="64"/>
      <w:r w:rsidRPr="2BCE08C6">
        <w:rPr>
          <w:rStyle w:val="CommentReference"/>
          <w:b/>
        </w:rPr>
        <w:t xml:space="preserve">: Additional administration costs incorporated into the </w:t>
      </w:r>
      <w:r w:rsidR="007A5A53">
        <w:rPr>
          <w:rStyle w:val="CommentReference"/>
          <w:b/>
        </w:rPr>
        <w:t xml:space="preserve">submission </w:t>
      </w:r>
      <w:r w:rsidRPr="2BCE08C6">
        <w:rPr>
          <w:rStyle w:val="CommentReference"/>
          <w:b/>
        </w:rPr>
        <w:t>cost-minimisation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03"/>
        <w:gridCol w:w="3006"/>
      </w:tblGrid>
      <w:tr w:rsidR="00162924" w:rsidRPr="00CF17F2" w14:paraId="51E28417" w14:textId="77777777">
        <w:tc>
          <w:tcPr>
            <w:tcW w:w="3008" w:type="dxa"/>
          </w:tcPr>
          <w:p w14:paraId="3D566FAC" w14:textId="77777777" w:rsidR="00162924" w:rsidRPr="00CF17F2" w:rsidRDefault="00162924" w:rsidP="00A04E8E">
            <w:pPr>
              <w:pStyle w:val="In-tableHeading"/>
            </w:pPr>
            <w:r w:rsidRPr="00CF17F2">
              <w:t>Component</w:t>
            </w:r>
          </w:p>
        </w:tc>
        <w:tc>
          <w:tcPr>
            <w:tcW w:w="3003" w:type="dxa"/>
          </w:tcPr>
          <w:p w14:paraId="3806FA25" w14:textId="77777777" w:rsidR="00162924" w:rsidRPr="00CF17F2" w:rsidRDefault="00162924" w:rsidP="00A04E8E">
            <w:pPr>
              <w:pStyle w:val="In-tableHeading"/>
              <w:jc w:val="center"/>
            </w:pPr>
            <w:r w:rsidRPr="00CF17F2">
              <w:t>Omalizumab</w:t>
            </w:r>
          </w:p>
        </w:tc>
        <w:tc>
          <w:tcPr>
            <w:tcW w:w="3006" w:type="dxa"/>
          </w:tcPr>
          <w:p w14:paraId="7EB71D0D" w14:textId="77777777" w:rsidR="00162924" w:rsidRPr="00CF17F2" w:rsidRDefault="00162924" w:rsidP="00A04E8E">
            <w:pPr>
              <w:pStyle w:val="In-tableHeading"/>
              <w:jc w:val="center"/>
            </w:pPr>
            <w:r w:rsidRPr="00CF17F2">
              <w:t>Mepolizumab</w:t>
            </w:r>
          </w:p>
        </w:tc>
      </w:tr>
      <w:tr w:rsidR="00162924" w:rsidRPr="00CF17F2" w14:paraId="18B94927" w14:textId="77777777">
        <w:tc>
          <w:tcPr>
            <w:tcW w:w="3008" w:type="dxa"/>
          </w:tcPr>
          <w:p w14:paraId="79F256AB" w14:textId="77777777" w:rsidR="00162924" w:rsidRPr="00CF17F2" w:rsidRDefault="00162924" w:rsidP="00A04E8E">
            <w:pPr>
              <w:pStyle w:val="TableText0"/>
              <w:keepNext/>
              <w:keepLines/>
              <w:rPr>
                <w:iCs w:val="0"/>
              </w:rPr>
            </w:pPr>
            <w:r w:rsidRPr="00CF17F2">
              <w:rPr>
                <w:iCs w:val="0"/>
              </w:rPr>
              <w:t>Cost per dose</w:t>
            </w:r>
          </w:p>
        </w:tc>
        <w:tc>
          <w:tcPr>
            <w:tcW w:w="3003" w:type="dxa"/>
          </w:tcPr>
          <w:p w14:paraId="60F3E909" w14:textId="77777777" w:rsidR="00162924" w:rsidRPr="00CF17F2" w:rsidRDefault="00162924" w:rsidP="00A04E8E">
            <w:pPr>
              <w:pStyle w:val="TableText0"/>
              <w:keepNext/>
              <w:keepLines/>
              <w:jc w:val="center"/>
              <w:rPr>
                <w:iCs w:val="0"/>
                <w:vertAlign w:val="superscript"/>
              </w:rPr>
            </w:pPr>
            <w:r w:rsidRPr="00CF17F2">
              <w:rPr>
                <w:iCs w:val="0"/>
              </w:rPr>
              <w:t>$1,539.24</w:t>
            </w:r>
          </w:p>
        </w:tc>
        <w:tc>
          <w:tcPr>
            <w:tcW w:w="3006" w:type="dxa"/>
          </w:tcPr>
          <w:p w14:paraId="083FF57C" w14:textId="77777777" w:rsidR="00162924" w:rsidRPr="00CF17F2" w:rsidRDefault="00162924" w:rsidP="00A04E8E">
            <w:pPr>
              <w:pStyle w:val="TableText0"/>
              <w:keepNext/>
              <w:keepLines/>
              <w:jc w:val="center"/>
              <w:rPr>
                <w:iCs w:val="0"/>
              </w:rPr>
            </w:pPr>
            <w:r w:rsidRPr="00CF17F2">
              <w:rPr>
                <w:iCs w:val="0"/>
              </w:rPr>
              <w:t>$1,556.10</w:t>
            </w:r>
          </w:p>
        </w:tc>
      </w:tr>
      <w:tr w:rsidR="00162924" w:rsidRPr="00CF17F2" w14:paraId="3ECA0A40" w14:textId="77777777">
        <w:tc>
          <w:tcPr>
            <w:tcW w:w="3008" w:type="dxa"/>
          </w:tcPr>
          <w:p w14:paraId="17380C00" w14:textId="77777777" w:rsidR="00162924" w:rsidRPr="00CF17F2" w:rsidRDefault="00162924" w:rsidP="00A04E8E">
            <w:pPr>
              <w:pStyle w:val="TableText0"/>
              <w:keepNext/>
              <w:keepLines/>
              <w:rPr>
                <w:iCs w:val="0"/>
              </w:rPr>
            </w:pPr>
            <w:r w:rsidRPr="00CF17F2">
              <w:rPr>
                <w:iCs w:val="0"/>
              </w:rPr>
              <w:t>Equi-effective dose (mg)</w:t>
            </w:r>
          </w:p>
        </w:tc>
        <w:tc>
          <w:tcPr>
            <w:tcW w:w="3003" w:type="dxa"/>
          </w:tcPr>
          <w:p w14:paraId="5C3123A1" w14:textId="77777777" w:rsidR="00162924" w:rsidRPr="00CF17F2" w:rsidRDefault="00162924" w:rsidP="00A04E8E">
            <w:pPr>
              <w:pStyle w:val="TableText0"/>
              <w:keepNext/>
              <w:keepLines/>
              <w:jc w:val="center"/>
              <w:rPr>
                <w:iCs w:val="0"/>
              </w:rPr>
            </w:pPr>
            <w:r w:rsidRPr="00CF17F2">
              <w:rPr>
                <w:iCs w:val="0"/>
              </w:rPr>
              <w:t>292.8</w:t>
            </w:r>
          </w:p>
        </w:tc>
        <w:tc>
          <w:tcPr>
            <w:tcW w:w="3006" w:type="dxa"/>
          </w:tcPr>
          <w:p w14:paraId="6430CA34" w14:textId="77777777" w:rsidR="00162924" w:rsidRPr="00CF17F2" w:rsidRDefault="00162924" w:rsidP="00A04E8E">
            <w:pPr>
              <w:pStyle w:val="TableText0"/>
              <w:keepNext/>
              <w:keepLines/>
              <w:jc w:val="center"/>
              <w:rPr>
                <w:iCs w:val="0"/>
              </w:rPr>
            </w:pPr>
            <w:r w:rsidRPr="00CF17F2">
              <w:rPr>
                <w:iCs w:val="0"/>
              </w:rPr>
              <w:t>100</w:t>
            </w:r>
          </w:p>
        </w:tc>
      </w:tr>
      <w:tr w:rsidR="00162924" w:rsidRPr="00CF17F2" w14:paraId="206094B6" w14:textId="77777777">
        <w:tc>
          <w:tcPr>
            <w:tcW w:w="3008" w:type="dxa"/>
          </w:tcPr>
          <w:p w14:paraId="67F81F86" w14:textId="77777777" w:rsidR="00162924" w:rsidRPr="00CF17F2" w:rsidRDefault="00162924" w:rsidP="00A04E8E">
            <w:pPr>
              <w:pStyle w:val="TableText0"/>
              <w:keepNext/>
              <w:keepLines/>
              <w:rPr>
                <w:iCs w:val="0"/>
              </w:rPr>
            </w:pPr>
            <w:r w:rsidRPr="00CF17F2">
              <w:rPr>
                <w:iCs w:val="0"/>
              </w:rPr>
              <w:t>Cost per mg</w:t>
            </w:r>
          </w:p>
        </w:tc>
        <w:tc>
          <w:tcPr>
            <w:tcW w:w="3003" w:type="dxa"/>
          </w:tcPr>
          <w:p w14:paraId="34DE558F" w14:textId="77777777" w:rsidR="00162924" w:rsidRPr="00CF17F2" w:rsidRDefault="00162924" w:rsidP="00A04E8E">
            <w:pPr>
              <w:pStyle w:val="TableText0"/>
              <w:keepNext/>
              <w:keepLines/>
              <w:jc w:val="center"/>
              <w:rPr>
                <w:iCs w:val="0"/>
              </w:rPr>
            </w:pPr>
            <w:r w:rsidRPr="00CF17F2">
              <w:rPr>
                <w:iCs w:val="0"/>
              </w:rPr>
              <w:t>$5.26</w:t>
            </w:r>
          </w:p>
        </w:tc>
        <w:tc>
          <w:tcPr>
            <w:tcW w:w="3006" w:type="dxa"/>
          </w:tcPr>
          <w:p w14:paraId="50852EC8" w14:textId="77777777" w:rsidR="00162924" w:rsidRPr="00CF17F2" w:rsidRDefault="00162924" w:rsidP="00A04E8E">
            <w:pPr>
              <w:pStyle w:val="TableText0"/>
              <w:keepNext/>
              <w:keepLines/>
              <w:jc w:val="center"/>
              <w:rPr>
                <w:iCs w:val="0"/>
              </w:rPr>
            </w:pPr>
            <w:r w:rsidRPr="00CF17F2">
              <w:rPr>
                <w:iCs w:val="0"/>
              </w:rPr>
              <w:t>$15.56</w:t>
            </w:r>
          </w:p>
        </w:tc>
      </w:tr>
      <w:tr w:rsidR="00162924" w:rsidRPr="00CF17F2" w14:paraId="55D7F887" w14:textId="77777777">
        <w:tc>
          <w:tcPr>
            <w:tcW w:w="3008" w:type="dxa"/>
          </w:tcPr>
          <w:p w14:paraId="3435CCBB" w14:textId="77777777" w:rsidR="00162924" w:rsidRPr="00CF17F2" w:rsidRDefault="00162924" w:rsidP="00A04E8E">
            <w:pPr>
              <w:pStyle w:val="TableText0"/>
              <w:keepNext/>
              <w:keepLines/>
              <w:rPr>
                <w:iCs w:val="0"/>
              </w:rPr>
            </w:pPr>
            <w:r w:rsidRPr="00CF17F2">
              <w:rPr>
                <w:iCs w:val="0"/>
              </w:rPr>
              <w:t>Dose frequency</w:t>
            </w:r>
          </w:p>
        </w:tc>
        <w:tc>
          <w:tcPr>
            <w:tcW w:w="3003" w:type="dxa"/>
          </w:tcPr>
          <w:p w14:paraId="0EFBE7C5" w14:textId="77777777" w:rsidR="00162924" w:rsidRPr="00CF17F2" w:rsidRDefault="00162924" w:rsidP="00A04E8E">
            <w:pPr>
              <w:pStyle w:val="TableText0"/>
              <w:keepNext/>
              <w:keepLines/>
              <w:jc w:val="center"/>
              <w:rPr>
                <w:iCs w:val="0"/>
              </w:rPr>
            </w:pPr>
            <w:r w:rsidRPr="00CF17F2">
              <w:rPr>
                <w:iCs w:val="0"/>
              </w:rPr>
              <w:t>Every 4 weeks</w:t>
            </w:r>
          </w:p>
        </w:tc>
        <w:tc>
          <w:tcPr>
            <w:tcW w:w="3006" w:type="dxa"/>
          </w:tcPr>
          <w:p w14:paraId="70F72F21" w14:textId="77777777" w:rsidR="00162924" w:rsidRPr="00CF17F2" w:rsidRDefault="00162924" w:rsidP="00A04E8E">
            <w:pPr>
              <w:pStyle w:val="TableText0"/>
              <w:keepNext/>
              <w:keepLines/>
              <w:jc w:val="center"/>
              <w:rPr>
                <w:iCs w:val="0"/>
              </w:rPr>
            </w:pPr>
            <w:r w:rsidRPr="00CF17F2">
              <w:rPr>
                <w:iCs w:val="0"/>
              </w:rPr>
              <w:t>Every 4 weeks</w:t>
            </w:r>
          </w:p>
        </w:tc>
      </w:tr>
      <w:tr w:rsidR="00162924" w:rsidRPr="00CF17F2" w14:paraId="1CD1B5C0" w14:textId="77777777">
        <w:tc>
          <w:tcPr>
            <w:tcW w:w="3008" w:type="dxa"/>
          </w:tcPr>
          <w:p w14:paraId="5966307A" w14:textId="77777777" w:rsidR="00162924" w:rsidRPr="00CF17F2" w:rsidRDefault="00162924" w:rsidP="00A04E8E">
            <w:pPr>
              <w:pStyle w:val="TableText0"/>
              <w:keepNext/>
              <w:keepLines/>
              <w:rPr>
                <w:iCs w:val="0"/>
              </w:rPr>
            </w:pPr>
            <w:r w:rsidRPr="00CF17F2">
              <w:rPr>
                <w:iCs w:val="0"/>
              </w:rPr>
              <w:t>Administrations over 2 years</w:t>
            </w:r>
          </w:p>
        </w:tc>
        <w:tc>
          <w:tcPr>
            <w:tcW w:w="3003" w:type="dxa"/>
          </w:tcPr>
          <w:p w14:paraId="405EA591" w14:textId="77777777" w:rsidR="00162924" w:rsidRPr="00CF17F2" w:rsidRDefault="00162924" w:rsidP="00A04E8E">
            <w:pPr>
              <w:pStyle w:val="TableText0"/>
              <w:keepNext/>
              <w:keepLines/>
              <w:jc w:val="center"/>
              <w:rPr>
                <w:iCs w:val="0"/>
              </w:rPr>
            </w:pPr>
            <w:r w:rsidRPr="00CF17F2">
              <w:rPr>
                <w:iCs w:val="0"/>
              </w:rPr>
              <w:t>26</w:t>
            </w:r>
          </w:p>
        </w:tc>
        <w:tc>
          <w:tcPr>
            <w:tcW w:w="3006" w:type="dxa"/>
          </w:tcPr>
          <w:p w14:paraId="0A027F13" w14:textId="77777777" w:rsidR="00162924" w:rsidRPr="00CF17F2" w:rsidRDefault="00162924" w:rsidP="00A04E8E">
            <w:pPr>
              <w:pStyle w:val="TableText0"/>
              <w:keepNext/>
              <w:keepLines/>
              <w:jc w:val="center"/>
              <w:rPr>
                <w:iCs w:val="0"/>
              </w:rPr>
            </w:pPr>
            <w:r w:rsidRPr="00CF17F2">
              <w:rPr>
                <w:iCs w:val="0"/>
              </w:rPr>
              <w:t>26</w:t>
            </w:r>
          </w:p>
        </w:tc>
      </w:tr>
      <w:tr w:rsidR="00162924" w:rsidRPr="00CF17F2" w14:paraId="6D1C0640" w14:textId="77777777">
        <w:tc>
          <w:tcPr>
            <w:tcW w:w="3008" w:type="dxa"/>
          </w:tcPr>
          <w:p w14:paraId="343642EB" w14:textId="77777777" w:rsidR="00162924" w:rsidRPr="00CF17F2" w:rsidRDefault="00162924" w:rsidP="00A04E8E">
            <w:pPr>
              <w:pStyle w:val="TableText0"/>
              <w:keepNext/>
              <w:keepLines/>
              <w:rPr>
                <w:iCs w:val="0"/>
              </w:rPr>
            </w:pPr>
            <w:r w:rsidRPr="00CF17F2">
              <w:rPr>
                <w:iCs w:val="0"/>
              </w:rPr>
              <w:t>Total medicine cost over 2 years</w:t>
            </w:r>
          </w:p>
        </w:tc>
        <w:tc>
          <w:tcPr>
            <w:tcW w:w="3003" w:type="dxa"/>
          </w:tcPr>
          <w:p w14:paraId="20B205BE" w14:textId="77777777" w:rsidR="00162924" w:rsidRPr="00CF17F2" w:rsidRDefault="00162924" w:rsidP="00A04E8E">
            <w:pPr>
              <w:pStyle w:val="TableText0"/>
              <w:keepNext/>
              <w:keepLines/>
              <w:jc w:val="center"/>
              <w:rPr>
                <w:iCs w:val="0"/>
              </w:rPr>
            </w:pPr>
            <w:r w:rsidRPr="00CF17F2">
              <w:rPr>
                <w:iCs w:val="0"/>
              </w:rPr>
              <w:t>$40,020.15</w:t>
            </w:r>
          </w:p>
        </w:tc>
        <w:tc>
          <w:tcPr>
            <w:tcW w:w="3006" w:type="dxa"/>
          </w:tcPr>
          <w:p w14:paraId="689311BA" w14:textId="77777777" w:rsidR="00162924" w:rsidRPr="00CF17F2" w:rsidRDefault="00162924" w:rsidP="00A04E8E">
            <w:pPr>
              <w:pStyle w:val="TableText0"/>
              <w:keepNext/>
              <w:keepLines/>
              <w:jc w:val="center"/>
              <w:rPr>
                <w:iCs w:val="0"/>
              </w:rPr>
            </w:pPr>
            <w:r w:rsidRPr="00CF17F2">
              <w:rPr>
                <w:iCs w:val="0"/>
              </w:rPr>
              <w:t>$40,458.60</w:t>
            </w:r>
          </w:p>
        </w:tc>
      </w:tr>
      <w:tr w:rsidR="00162924" w:rsidRPr="00CF17F2" w14:paraId="36BB9F23" w14:textId="77777777">
        <w:tc>
          <w:tcPr>
            <w:tcW w:w="3008" w:type="dxa"/>
          </w:tcPr>
          <w:p w14:paraId="6728C4DA" w14:textId="77777777" w:rsidR="00162924" w:rsidRPr="00CF17F2" w:rsidRDefault="00162924" w:rsidP="00A04E8E">
            <w:pPr>
              <w:pStyle w:val="TableText0"/>
              <w:keepNext/>
              <w:keepLines/>
              <w:rPr>
                <w:iCs w:val="0"/>
              </w:rPr>
            </w:pPr>
            <w:r w:rsidRPr="00CF17F2">
              <w:rPr>
                <w:iCs w:val="0"/>
              </w:rPr>
              <w:t xml:space="preserve">Total supervised administration cost </w:t>
            </w:r>
            <w:r w:rsidRPr="00CF17F2">
              <w:rPr>
                <w:iCs w:val="0"/>
                <w:vertAlign w:val="superscript"/>
              </w:rPr>
              <w:t>a</w:t>
            </w:r>
          </w:p>
        </w:tc>
        <w:tc>
          <w:tcPr>
            <w:tcW w:w="3003" w:type="dxa"/>
          </w:tcPr>
          <w:p w14:paraId="2214C5ED" w14:textId="77777777" w:rsidR="00162924" w:rsidRPr="00CF17F2" w:rsidRDefault="00162924" w:rsidP="00A04E8E">
            <w:pPr>
              <w:pStyle w:val="TableText0"/>
              <w:keepNext/>
              <w:keepLines/>
              <w:jc w:val="center"/>
              <w:rPr>
                <w:iCs w:val="0"/>
              </w:rPr>
            </w:pPr>
            <w:r w:rsidRPr="00CF17F2">
              <w:rPr>
                <w:iCs w:val="0"/>
              </w:rPr>
              <w:t>$438.45</w:t>
            </w:r>
          </w:p>
        </w:tc>
        <w:tc>
          <w:tcPr>
            <w:tcW w:w="3006" w:type="dxa"/>
          </w:tcPr>
          <w:p w14:paraId="11F9C9B3" w14:textId="77777777" w:rsidR="00162924" w:rsidRPr="00CF17F2" w:rsidRDefault="00162924" w:rsidP="00A04E8E">
            <w:pPr>
              <w:pStyle w:val="TableText0"/>
              <w:keepNext/>
              <w:keepLines/>
              <w:jc w:val="center"/>
              <w:rPr>
                <w:iCs w:val="0"/>
              </w:rPr>
            </w:pPr>
            <w:r w:rsidRPr="00CF17F2">
              <w:rPr>
                <w:iCs w:val="0"/>
              </w:rPr>
              <w:t>$0</w:t>
            </w:r>
          </w:p>
        </w:tc>
      </w:tr>
      <w:tr w:rsidR="00162924" w:rsidRPr="00CF17F2" w14:paraId="55CE84B1" w14:textId="77777777">
        <w:tc>
          <w:tcPr>
            <w:tcW w:w="3008" w:type="dxa"/>
          </w:tcPr>
          <w:p w14:paraId="56D4C3A7" w14:textId="77777777" w:rsidR="00162924" w:rsidRPr="00CF17F2" w:rsidRDefault="00162924" w:rsidP="00A04E8E">
            <w:pPr>
              <w:pStyle w:val="TableText0"/>
              <w:keepNext/>
              <w:keepLines/>
              <w:rPr>
                <w:iCs w:val="0"/>
                <w:vertAlign w:val="superscript"/>
              </w:rPr>
            </w:pPr>
            <w:r w:rsidRPr="00CF17F2">
              <w:rPr>
                <w:iCs w:val="0"/>
              </w:rPr>
              <w:t xml:space="preserve">   Specialist </w:t>
            </w:r>
            <w:r w:rsidRPr="00CF17F2">
              <w:rPr>
                <w:iCs w:val="0"/>
                <w:vertAlign w:val="superscript"/>
              </w:rPr>
              <w:t>b</w:t>
            </w:r>
          </w:p>
        </w:tc>
        <w:tc>
          <w:tcPr>
            <w:tcW w:w="3003" w:type="dxa"/>
          </w:tcPr>
          <w:p w14:paraId="3B62B183" w14:textId="77777777" w:rsidR="00162924" w:rsidRPr="00CF17F2" w:rsidRDefault="00162924" w:rsidP="00A04E8E">
            <w:pPr>
              <w:pStyle w:val="TableText0"/>
              <w:keepNext/>
              <w:keepLines/>
              <w:jc w:val="center"/>
              <w:rPr>
                <w:iCs w:val="0"/>
              </w:rPr>
            </w:pPr>
            <w:r w:rsidRPr="00CF17F2">
              <w:rPr>
                <w:iCs w:val="0"/>
              </w:rPr>
              <w:t>$261.90</w:t>
            </w:r>
          </w:p>
        </w:tc>
        <w:tc>
          <w:tcPr>
            <w:tcW w:w="3006" w:type="dxa"/>
          </w:tcPr>
          <w:p w14:paraId="5440D23E" w14:textId="77777777" w:rsidR="00162924" w:rsidRPr="00CF17F2" w:rsidRDefault="00162924" w:rsidP="00A04E8E">
            <w:pPr>
              <w:pStyle w:val="TableText0"/>
              <w:keepNext/>
              <w:keepLines/>
              <w:jc w:val="center"/>
              <w:rPr>
                <w:iCs w:val="0"/>
              </w:rPr>
            </w:pPr>
            <w:r w:rsidRPr="00CF17F2">
              <w:rPr>
                <w:iCs w:val="0"/>
              </w:rPr>
              <w:t>$0</w:t>
            </w:r>
          </w:p>
        </w:tc>
      </w:tr>
      <w:tr w:rsidR="00162924" w:rsidRPr="00CF17F2" w14:paraId="25A16775" w14:textId="77777777">
        <w:tc>
          <w:tcPr>
            <w:tcW w:w="3008" w:type="dxa"/>
          </w:tcPr>
          <w:p w14:paraId="6EC550EA" w14:textId="77777777" w:rsidR="00162924" w:rsidRPr="00CF17F2" w:rsidRDefault="00162924" w:rsidP="00A04E8E">
            <w:pPr>
              <w:pStyle w:val="TableText0"/>
              <w:keepNext/>
              <w:keepLines/>
              <w:rPr>
                <w:iCs w:val="0"/>
                <w:vertAlign w:val="superscript"/>
              </w:rPr>
            </w:pPr>
            <w:r w:rsidRPr="00CF17F2">
              <w:rPr>
                <w:iCs w:val="0"/>
              </w:rPr>
              <w:t xml:space="preserve">   Nurse supervision post-dose </w:t>
            </w:r>
            <w:r w:rsidRPr="00CF17F2">
              <w:rPr>
                <w:iCs w:val="0"/>
                <w:vertAlign w:val="superscript"/>
              </w:rPr>
              <w:t>c</w:t>
            </w:r>
          </w:p>
        </w:tc>
        <w:tc>
          <w:tcPr>
            <w:tcW w:w="3003" w:type="dxa"/>
          </w:tcPr>
          <w:p w14:paraId="22BE2050" w14:textId="77777777" w:rsidR="00162924" w:rsidRPr="00CF17F2" w:rsidRDefault="00162924" w:rsidP="00A04E8E">
            <w:pPr>
              <w:pStyle w:val="TableText0"/>
              <w:keepNext/>
              <w:keepLines/>
              <w:jc w:val="center"/>
              <w:rPr>
                <w:iCs w:val="0"/>
              </w:rPr>
            </w:pPr>
            <w:r w:rsidRPr="00CF17F2">
              <w:rPr>
                <w:iCs w:val="0"/>
              </w:rPr>
              <w:t>$176.55</w:t>
            </w:r>
          </w:p>
        </w:tc>
        <w:tc>
          <w:tcPr>
            <w:tcW w:w="3006" w:type="dxa"/>
          </w:tcPr>
          <w:p w14:paraId="72EA67EA" w14:textId="77777777" w:rsidR="00162924" w:rsidRPr="00CF17F2" w:rsidRDefault="00162924" w:rsidP="00A04E8E">
            <w:pPr>
              <w:pStyle w:val="TableText0"/>
              <w:keepNext/>
              <w:keepLines/>
              <w:jc w:val="center"/>
              <w:rPr>
                <w:iCs w:val="0"/>
              </w:rPr>
            </w:pPr>
            <w:r w:rsidRPr="00CF17F2">
              <w:rPr>
                <w:iCs w:val="0"/>
              </w:rPr>
              <w:t>$0</w:t>
            </w:r>
          </w:p>
        </w:tc>
      </w:tr>
      <w:tr w:rsidR="00162924" w:rsidRPr="00CF17F2" w14:paraId="5E7407FA" w14:textId="77777777">
        <w:tc>
          <w:tcPr>
            <w:tcW w:w="3008" w:type="dxa"/>
          </w:tcPr>
          <w:p w14:paraId="3C0AB943" w14:textId="77777777" w:rsidR="00162924" w:rsidRPr="00CF17F2" w:rsidRDefault="00162924" w:rsidP="00A04E8E">
            <w:pPr>
              <w:pStyle w:val="TableText0"/>
              <w:keepNext/>
              <w:keepLines/>
              <w:rPr>
                <w:iCs w:val="0"/>
              </w:rPr>
            </w:pPr>
            <w:r w:rsidRPr="00CF17F2">
              <w:rPr>
                <w:iCs w:val="0"/>
              </w:rPr>
              <w:t>Difference in cost per year</w:t>
            </w:r>
          </w:p>
        </w:tc>
        <w:tc>
          <w:tcPr>
            <w:tcW w:w="3003" w:type="dxa"/>
          </w:tcPr>
          <w:p w14:paraId="02721D4E" w14:textId="77777777" w:rsidR="00162924" w:rsidRPr="00CF17F2" w:rsidRDefault="00162924" w:rsidP="00A04E8E">
            <w:pPr>
              <w:pStyle w:val="TableText0"/>
              <w:keepNext/>
              <w:keepLines/>
              <w:jc w:val="center"/>
              <w:rPr>
                <w:iCs w:val="0"/>
              </w:rPr>
            </w:pPr>
            <w:r w:rsidRPr="00CF17F2">
              <w:rPr>
                <w:iCs w:val="0"/>
              </w:rPr>
              <w:t>$0</w:t>
            </w:r>
          </w:p>
        </w:tc>
        <w:tc>
          <w:tcPr>
            <w:tcW w:w="3006" w:type="dxa"/>
          </w:tcPr>
          <w:p w14:paraId="6EDAE444" w14:textId="77777777" w:rsidR="00162924" w:rsidRPr="00CF17F2" w:rsidRDefault="00162924" w:rsidP="00A04E8E">
            <w:pPr>
              <w:pStyle w:val="TableText0"/>
              <w:keepNext/>
              <w:keepLines/>
              <w:jc w:val="center"/>
              <w:rPr>
                <w:iCs w:val="0"/>
              </w:rPr>
            </w:pPr>
            <w:r w:rsidRPr="00CF17F2">
              <w:rPr>
                <w:iCs w:val="0"/>
              </w:rPr>
              <w:t>$0</w:t>
            </w:r>
          </w:p>
        </w:tc>
      </w:tr>
      <w:tr w:rsidR="00162924" w:rsidRPr="00CF17F2" w14:paraId="045FFCB8" w14:textId="77777777">
        <w:tc>
          <w:tcPr>
            <w:tcW w:w="9017" w:type="dxa"/>
            <w:gridSpan w:val="3"/>
          </w:tcPr>
          <w:p w14:paraId="2462FBBB" w14:textId="77777777" w:rsidR="00162924" w:rsidRPr="00CF17F2" w:rsidRDefault="00162924" w:rsidP="00A04E8E">
            <w:pPr>
              <w:pStyle w:val="TableText0"/>
              <w:keepNext/>
              <w:keepLines/>
              <w:rPr>
                <w:iCs w:val="0"/>
                <w:vertAlign w:val="superscript"/>
              </w:rPr>
            </w:pPr>
            <w:r w:rsidRPr="00CF17F2">
              <w:rPr>
                <w:iCs w:val="0"/>
              </w:rPr>
              <w:t>Estimated cost minimised price for omalizumab</w:t>
            </w:r>
          </w:p>
        </w:tc>
      </w:tr>
      <w:tr w:rsidR="00162924" w:rsidRPr="00CF17F2" w14:paraId="51F2B49A" w14:textId="77777777">
        <w:tc>
          <w:tcPr>
            <w:tcW w:w="3008" w:type="dxa"/>
          </w:tcPr>
          <w:p w14:paraId="716ED2C4" w14:textId="77777777" w:rsidR="00162924" w:rsidRPr="00CF17F2" w:rsidRDefault="00162924" w:rsidP="00A04E8E">
            <w:pPr>
              <w:pStyle w:val="TableText0"/>
              <w:keepNext/>
              <w:keepLines/>
              <w:rPr>
                <w:iCs w:val="0"/>
              </w:rPr>
            </w:pPr>
            <w:r w:rsidRPr="00CF17F2">
              <w:rPr>
                <w:iCs w:val="0"/>
              </w:rPr>
              <w:t>75 mg pre-filled syringe</w:t>
            </w:r>
          </w:p>
        </w:tc>
        <w:tc>
          <w:tcPr>
            <w:tcW w:w="6009" w:type="dxa"/>
            <w:gridSpan w:val="2"/>
          </w:tcPr>
          <w:p w14:paraId="4398A4AF" w14:textId="77777777" w:rsidR="00162924" w:rsidRPr="00CF17F2" w:rsidRDefault="00162924" w:rsidP="00A04E8E">
            <w:pPr>
              <w:pStyle w:val="TableText0"/>
              <w:keepNext/>
              <w:keepLines/>
              <w:jc w:val="center"/>
              <w:rPr>
                <w:iCs w:val="0"/>
              </w:rPr>
            </w:pPr>
            <w:r w:rsidRPr="00CF17F2">
              <w:rPr>
                <w:iCs w:val="0"/>
              </w:rPr>
              <w:t>$394.27</w:t>
            </w:r>
          </w:p>
        </w:tc>
      </w:tr>
      <w:tr w:rsidR="00162924" w:rsidRPr="00CF17F2" w14:paraId="3B8A745C" w14:textId="77777777">
        <w:tc>
          <w:tcPr>
            <w:tcW w:w="3008" w:type="dxa"/>
          </w:tcPr>
          <w:p w14:paraId="6707486B" w14:textId="77777777" w:rsidR="00162924" w:rsidRPr="00CF17F2" w:rsidRDefault="00162924" w:rsidP="00A04E8E">
            <w:pPr>
              <w:pStyle w:val="TableText0"/>
              <w:keepNext/>
              <w:keepLines/>
              <w:rPr>
                <w:iCs w:val="0"/>
              </w:rPr>
            </w:pPr>
            <w:r w:rsidRPr="00CF17F2">
              <w:rPr>
                <w:iCs w:val="0"/>
              </w:rPr>
              <w:t>150 mg pre-filled syringe</w:t>
            </w:r>
          </w:p>
        </w:tc>
        <w:tc>
          <w:tcPr>
            <w:tcW w:w="6009" w:type="dxa"/>
            <w:gridSpan w:val="2"/>
          </w:tcPr>
          <w:p w14:paraId="1D720DDC" w14:textId="77777777" w:rsidR="00162924" w:rsidRPr="00CF17F2" w:rsidRDefault="00162924" w:rsidP="00A04E8E">
            <w:pPr>
              <w:pStyle w:val="TableText0"/>
              <w:keepNext/>
              <w:keepLines/>
              <w:jc w:val="center"/>
              <w:rPr>
                <w:iCs w:val="0"/>
              </w:rPr>
            </w:pPr>
            <w:r w:rsidRPr="00CF17F2">
              <w:rPr>
                <w:iCs w:val="0"/>
              </w:rPr>
              <w:t>$788.15</w:t>
            </w:r>
          </w:p>
        </w:tc>
      </w:tr>
    </w:tbl>
    <w:p w14:paraId="499EB32E" w14:textId="77777777" w:rsidR="00162924" w:rsidRPr="00162924" w:rsidRDefault="00162924" w:rsidP="00A04E8E">
      <w:pPr>
        <w:pStyle w:val="TableFigureFooter"/>
        <w:keepNext/>
      </w:pPr>
      <w:r w:rsidRPr="00162924">
        <w:t xml:space="preserve">Source: Calculated during the evaluation based on data provided in the submission </w:t>
      </w:r>
    </w:p>
    <w:p w14:paraId="684CC9AB" w14:textId="465E1DE3" w:rsidR="00162924" w:rsidRPr="00162924" w:rsidRDefault="00162924" w:rsidP="00A04E8E">
      <w:pPr>
        <w:pStyle w:val="TableFigureFooter"/>
        <w:keepNext/>
      </w:pPr>
      <w:proofErr w:type="spellStart"/>
      <w:r w:rsidRPr="00162924">
        <w:rPr>
          <w:vertAlign w:val="superscript"/>
        </w:rPr>
        <w:t>a</w:t>
      </w:r>
      <w:proofErr w:type="spellEnd"/>
      <w:r w:rsidRPr="00162924">
        <w:t xml:space="preserve"> For the first three initiating doses to monitor for anaphylaxis and anaphylactoid reactions</w:t>
      </w:r>
    </w:p>
    <w:p w14:paraId="64E19CC8" w14:textId="77777777" w:rsidR="00162924" w:rsidRPr="00162924" w:rsidRDefault="00162924" w:rsidP="00A04E8E">
      <w:pPr>
        <w:pStyle w:val="TableFigureFooter"/>
        <w:keepNext/>
      </w:pPr>
      <w:r w:rsidRPr="00162924">
        <w:rPr>
          <w:vertAlign w:val="superscript"/>
        </w:rPr>
        <w:t>b</w:t>
      </w:r>
      <w:r w:rsidRPr="00162924">
        <w:t xml:space="preserve"> MBS item 116</w:t>
      </w:r>
    </w:p>
    <w:p w14:paraId="3E488191" w14:textId="77777777" w:rsidR="00162924" w:rsidRPr="00162924" w:rsidRDefault="00162924" w:rsidP="00022C1B">
      <w:pPr>
        <w:pStyle w:val="TableFigureFooter"/>
      </w:pPr>
      <w:r w:rsidRPr="00162924">
        <w:rPr>
          <w:vertAlign w:val="superscript"/>
        </w:rPr>
        <w:t>c</w:t>
      </w:r>
      <w:r w:rsidRPr="00162924">
        <w:t xml:space="preserve"> MBS item 82210</w:t>
      </w:r>
    </w:p>
    <w:p w14:paraId="503A886F" w14:textId="3FD6B47A" w:rsidR="00DA6B3D" w:rsidRPr="00DA0F7E" w:rsidRDefault="002C1266" w:rsidP="00DA6B3D">
      <w:pPr>
        <w:pStyle w:val="3-BodyText"/>
      </w:pPr>
      <w:r w:rsidRPr="00DA0F7E" w:rsidDel="0052125A">
        <w:t xml:space="preserve">Sensitivity analysis </w:t>
      </w:r>
      <w:r w:rsidRPr="00DA0F7E">
        <w:t>conducted during the evaluation</w:t>
      </w:r>
      <w:r w:rsidR="0045524F" w:rsidRPr="00DA0F7E">
        <w:t xml:space="preserve"> </w:t>
      </w:r>
      <w:r w:rsidR="00D83744" w:rsidRPr="00DA0F7E">
        <w:t xml:space="preserve">applying </w:t>
      </w:r>
      <w:r w:rsidR="001F1DC7" w:rsidRPr="00DA0F7E">
        <w:t>the</w:t>
      </w:r>
      <w:r w:rsidR="00D83744" w:rsidRPr="00DA0F7E">
        <w:t xml:space="preserve"> mean treatment dose </w:t>
      </w:r>
      <w:r w:rsidR="001F1DC7" w:rsidRPr="00DA0F7E">
        <w:t>(</w:t>
      </w:r>
      <w:r w:rsidR="00D83744" w:rsidRPr="00DA0F7E">
        <w:t>346.67 mg</w:t>
      </w:r>
      <w:r w:rsidR="001F1DC7" w:rsidRPr="00DA0F7E">
        <w:t>)</w:t>
      </w:r>
      <w:r w:rsidR="00D83744" w:rsidRPr="00DA0F7E">
        <w:t xml:space="preserve"> </w:t>
      </w:r>
      <w:r w:rsidR="00FD26C1" w:rsidRPr="00DA0F7E">
        <w:t>based on</w:t>
      </w:r>
      <w:r w:rsidR="00D83744" w:rsidRPr="00DA0F7E">
        <w:t xml:space="preserve"> all patients in POLYP trials </w:t>
      </w:r>
      <w:r w:rsidR="00FD26C1" w:rsidRPr="00DA0F7E">
        <w:t xml:space="preserve">and </w:t>
      </w:r>
      <w:r w:rsidR="0061044C" w:rsidRPr="00DA0F7E">
        <w:t>supervised administration costs</w:t>
      </w:r>
      <w:r w:rsidR="005E2637" w:rsidRPr="00DA0F7E">
        <w:t xml:space="preserve"> </w:t>
      </w:r>
      <w:r w:rsidR="00D83744" w:rsidRPr="00DA0F7E">
        <w:t>is</w:t>
      </w:r>
      <w:r w:rsidR="008C3FC2" w:rsidRPr="00DA0F7E">
        <w:t xml:space="preserve"> presented in </w:t>
      </w:r>
      <w:r w:rsidR="009A12B5" w:rsidRPr="00DA0F7E">
        <w:fldChar w:fldCharType="begin"/>
      </w:r>
      <w:r w:rsidR="009A12B5" w:rsidRPr="00DA0F7E">
        <w:instrText xml:space="preserve"> REF _Ref192685159 \h  \* MERGEFORMAT </w:instrText>
      </w:r>
      <w:r w:rsidR="009A12B5" w:rsidRPr="00DA0F7E">
        <w:fldChar w:fldCharType="separate"/>
      </w:r>
      <w:r w:rsidR="00CE52BF" w:rsidRPr="00CE52BF">
        <w:t>Table 14</w:t>
      </w:r>
      <w:r w:rsidR="009A12B5" w:rsidRPr="00DA0F7E">
        <w:fldChar w:fldCharType="end"/>
      </w:r>
      <w:r w:rsidR="00382D71" w:rsidRPr="00DA0F7E">
        <w:t xml:space="preserve"> </w:t>
      </w:r>
      <w:r w:rsidR="008C3FC2" w:rsidRPr="00DA0F7E">
        <w:t>below</w:t>
      </w:r>
      <w:r w:rsidRPr="00DA0F7E">
        <w:t>. The resulting cost-minimised price for the 75</w:t>
      </w:r>
      <w:r w:rsidR="00A04E8E">
        <w:t> </w:t>
      </w:r>
      <w:r w:rsidRPr="00DA0F7E">
        <w:t>mg and 150 mg presentations (pre-filled syringe) were calculated to be $3</w:t>
      </w:r>
      <w:r w:rsidR="00A647F5" w:rsidRPr="00DA0F7E">
        <w:t>33.01</w:t>
      </w:r>
      <w:r w:rsidRPr="00DA0F7E">
        <w:t xml:space="preserve"> and $</w:t>
      </w:r>
      <w:r w:rsidR="00A647F5" w:rsidRPr="00DA0F7E">
        <w:t>666.02</w:t>
      </w:r>
      <w:r w:rsidRPr="00DA0F7E">
        <w:t>, respectively, which is 1</w:t>
      </w:r>
      <w:r w:rsidR="00A647F5" w:rsidRPr="00DA0F7E">
        <w:t>6</w:t>
      </w:r>
      <w:r w:rsidRPr="00DA0F7E">
        <w:t>% lower than the base case prices.</w:t>
      </w:r>
      <w:bookmarkEnd w:id="61"/>
    </w:p>
    <w:p w14:paraId="036A4BC8" w14:textId="36C08588" w:rsidR="005E2637" w:rsidRPr="005E2637" w:rsidRDefault="005E2637" w:rsidP="00666D34">
      <w:pPr>
        <w:pStyle w:val="Caption"/>
        <w:rPr>
          <w:rStyle w:val="CommentReference"/>
          <w:b/>
          <w:bCs w:val="0"/>
        </w:rPr>
      </w:pPr>
      <w:bookmarkStart w:id="65" w:name="_Ref192685159"/>
      <w:r w:rsidRPr="005E2637">
        <w:rPr>
          <w:rStyle w:val="CommentReference"/>
          <w:b/>
          <w:bCs w:val="0"/>
        </w:rPr>
        <w:t xml:space="preserve">Table </w:t>
      </w:r>
      <w:r w:rsidRPr="005E2637">
        <w:rPr>
          <w:rStyle w:val="CommentReference"/>
          <w:b/>
          <w:bCs w:val="0"/>
        </w:rPr>
        <w:fldChar w:fldCharType="begin"/>
      </w:r>
      <w:r w:rsidRPr="005E2637">
        <w:rPr>
          <w:rStyle w:val="CommentReference"/>
          <w:b/>
          <w:bCs w:val="0"/>
        </w:rPr>
        <w:instrText xml:space="preserve"> SEQ Table \* ARABIC </w:instrText>
      </w:r>
      <w:r w:rsidRPr="005E2637">
        <w:rPr>
          <w:rStyle w:val="CommentReference"/>
          <w:b/>
          <w:bCs w:val="0"/>
        </w:rPr>
        <w:fldChar w:fldCharType="separate"/>
      </w:r>
      <w:r w:rsidR="00CE52BF">
        <w:rPr>
          <w:rStyle w:val="CommentReference"/>
          <w:b/>
          <w:bCs w:val="0"/>
          <w:noProof/>
        </w:rPr>
        <w:t>14</w:t>
      </w:r>
      <w:r w:rsidRPr="005E2637">
        <w:rPr>
          <w:rStyle w:val="CommentReference"/>
          <w:b/>
          <w:bCs w:val="0"/>
        </w:rPr>
        <w:fldChar w:fldCharType="end"/>
      </w:r>
      <w:bookmarkEnd w:id="65"/>
      <w:r w:rsidRPr="005E2637">
        <w:rPr>
          <w:rStyle w:val="CommentReference"/>
          <w:b/>
          <w:bCs w:val="0"/>
        </w:rPr>
        <w:t xml:space="preserve">: </w:t>
      </w:r>
      <w:r w:rsidR="006D5CB2" w:rsidRPr="00C100DC">
        <w:rPr>
          <w:rStyle w:val="CommentReference"/>
          <w:b/>
          <w:bCs w:val="0"/>
          <w:szCs w:val="24"/>
        </w:rPr>
        <w:t>Sensitivity</w:t>
      </w:r>
      <w:r w:rsidRPr="00C100DC">
        <w:rPr>
          <w:rStyle w:val="CommentReference"/>
          <w:b/>
          <w:szCs w:val="24"/>
        </w:rPr>
        <w:t xml:space="preserve"> analysis </w:t>
      </w:r>
      <w:r w:rsidR="006D5CB2" w:rsidRPr="00C100DC">
        <w:rPr>
          <w:rStyle w:val="CommentReference"/>
          <w:b/>
          <w:bCs w:val="0"/>
          <w:szCs w:val="24"/>
        </w:rPr>
        <w:t>using mean treatment dose of all POLYP patients</w:t>
      </w:r>
      <w:r>
        <w:rPr>
          <w:rStyle w:val="CommentReference"/>
          <w:b/>
          <w:szCs w:val="24"/>
        </w:rPr>
        <w:t xml:space="preserve"> </w:t>
      </w:r>
      <w:r w:rsidR="008E6D93">
        <w:rPr>
          <w:rStyle w:val="CommentReference"/>
          <w:b/>
          <w:bCs w:val="0"/>
          <w:szCs w:val="24"/>
        </w:rPr>
        <w:t>and supervised administration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03"/>
        <w:gridCol w:w="3006"/>
      </w:tblGrid>
      <w:tr w:rsidR="005E2637" w:rsidRPr="0098262F" w14:paraId="48788D84" w14:textId="77777777">
        <w:tc>
          <w:tcPr>
            <w:tcW w:w="3008" w:type="dxa"/>
          </w:tcPr>
          <w:p w14:paraId="1FE9FAB8" w14:textId="77777777" w:rsidR="005E2637" w:rsidRPr="0098262F" w:rsidRDefault="005E2637" w:rsidP="00666D34">
            <w:pPr>
              <w:pStyle w:val="In-tableHeading"/>
            </w:pPr>
            <w:r w:rsidRPr="0098262F">
              <w:t>Component</w:t>
            </w:r>
          </w:p>
        </w:tc>
        <w:tc>
          <w:tcPr>
            <w:tcW w:w="3003" w:type="dxa"/>
          </w:tcPr>
          <w:p w14:paraId="6E442E1F" w14:textId="77777777" w:rsidR="005E2637" w:rsidRPr="0098262F" w:rsidRDefault="005E2637" w:rsidP="00666D34">
            <w:pPr>
              <w:pStyle w:val="In-tableHeading"/>
              <w:jc w:val="center"/>
            </w:pPr>
            <w:r>
              <w:t>Omalizumab</w:t>
            </w:r>
          </w:p>
        </w:tc>
        <w:tc>
          <w:tcPr>
            <w:tcW w:w="3006" w:type="dxa"/>
          </w:tcPr>
          <w:p w14:paraId="48AA4DD4" w14:textId="77777777" w:rsidR="005E2637" w:rsidRPr="0098262F" w:rsidRDefault="005E2637" w:rsidP="00666D34">
            <w:pPr>
              <w:pStyle w:val="In-tableHeading"/>
              <w:jc w:val="center"/>
            </w:pPr>
            <w:r>
              <w:t>Mepolizumab</w:t>
            </w:r>
          </w:p>
        </w:tc>
      </w:tr>
      <w:tr w:rsidR="005E2637" w:rsidRPr="0098262F" w14:paraId="2E0D4C92" w14:textId="77777777">
        <w:tc>
          <w:tcPr>
            <w:tcW w:w="3008" w:type="dxa"/>
          </w:tcPr>
          <w:p w14:paraId="53D9D014" w14:textId="77777777" w:rsidR="005E2637" w:rsidRPr="0098262F" w:rsidRDefault="005E2637" w:rsidP="00666D34">
            <w:pPr>
              <w:pStyle w:val="TableText0"/>
              <w:keepNext/>
            </w:pPr>
            <w:r w:rsidRPr="0098262F">
              <w:t>Cost per dose</w:t>
            </w:r>
          </w:p>
        </w:tc>
        <w:tc>
          <w:tcPr>
            <w:tcW w:w="3003" w:type="dxa"/>
          </w:tcPr>
          <w:p w14:paraId="661061E9" w14:textId="77777777" w:rsidR="005E2637" w:rsidRPr="00411B18" w:rsidRDefault="005E2637" w:rsidP="00666D34">
            <w:pPr>
              <w:pStyle w:val="TableText0"/>
              <w:keepNext/>
              <w:jc w:val="center"/>
              <w:rPr>
                <w:i/>
                <w:iCs w:val="0"/>
                <w:vertAlign w:val="superscript"/>
              </w:rPr>
            </w:pPr>
            <w:r w:rsidRPr="00411B18">
              <w:rPr>
                <w:i/>
                <w:iCs w:val="0"/>
              </w:rPr>
              <w:t>$1,539.24</w:t>
            </w:r>
          </w:p>
        </w:tc>
        <w:tc>
          <w:tcPr>
            <w:tcW w:w="3006" w:type="dxa"/>
          </w:tcPr>
          <w:p w14:paraId="1D890EE6" w14:textId="77777777" w:rsidR="005E2637" w:rsidRPr="0098262F" w:rsidRDefault="005E2637" w:rsidP="00666D34">
            <w:pPr>
              <w:pStyle w:val="TableText0"/>
              <w:keepNext/>
              <w:jc w:val="center"/>
            </w:pPr>
            <w:r w:rsidRPr="0079341F">
              <w:t>$1,556.10</w:t>
            </w:r>
          </w:p>
        </w:tc>
      </w:tr>
      <w:tr w:rsidR="005E2637" w:rsidRPr="0098262F" w14:paraId="70122D0D" w14:textId="77777777">
        <w:tc>
          <w:tcPr>
            <w:tcW w:w="3008" w:type="dxa"/>
          </w:tcPr>
          <w:p w14:paraId="4F3F4DA9" w14:textId="77777777" w:rsidR="005E2637" w:rsidRPr="0098262F" w:rsidRDefault="005E2637" w:rsidP="00666D34">
            <w:pPr>
              <w:pStyle w:val="TableText0"/>
              <w:keepNext/>
            </w:pPr>
            <w:r>
              <w:t>Equi-effective dose (mg)</w:t>
            </w:r>
          </w:p>
        </w:tc>
        <w:tc>
          <w:tcPr>
            <w:tcW w:w="3003" w:type="dxa"/>
          </w:tcPr>
          <w:p w14:paraId="4A933751" w14:textId="77777777" w:rsidR="005E2637" w:rsidRPr="00411B18" w:rsidRDefault="005E2637" w:rsidP="00666D34">
            <w:pPr>
              <w:pStyle w:val="TableText0"/>
              <w:keepNext/>
              <w:jc w:val="center"/>
              <w:rPr>
                <w:i/>
                <w:iCs w:val="0"/>
              </w:rPr>
            </w:pPr>
            <w:r w:rsidRPr="006650CB">
              <w:rPr>
                <w:i/>
                <w:iCs w:val="0"/>
              </w:rPr>
              <w:t>346.7</w:t>
            </w:r>
          </w:p>
        </w:tc>
        <w:tc>
          <w:tcPr>
            <w:tcW w:w="3006" w:type="dxa"/>
          </w:tcPr>
          <w:p w14:paraId="0CBDFFFC" w14:textId="77777777" w:rsidR="005E2637" w:rsidRPr="0079341F" w:rsidRDefault="005E2637" w:rsidP="00666D34">
            <w:pPr>
              <w:pStyle w:val="TableText0"/>
              <w:keepNext/>
              <w:jc w:val="center"/>
            </w:pPr>
            <w:r>
              <w:t>100</w:t>
            </w:r>
          </w:p>
        </w:tc>
      </w:tr>
      <w:tr w:rsidR="005E2637" w:rsidRPr="0098262F" w14:paraId="4EE9A752" w14:textId="77777777">
        <w:tc>
          <w:tcPr>
            <w:tcW w:w="3008" w:type="dxa"/>
          </w:tcPr>
          <w:p w14:paraId="04574902" w14:textId="77777777" w:rsidR="005E2637" w:rsidRPr="0098262F" w:rsidRDefault="005E2637" w:rsidP="00666D34">
            <w:pPr>
              <w:pStyle w:val="TableText0"/>
              <w:keepNext/>
            </w:pPr>
            <w:r>
              <w:t>Cost per mg</w:t>
            </w:r>
          </w:p>
        </w:tc>
        <w:tc>
          <w:tcPr>
            <w:tcW w:w="3003" w:type="dxa"/>
          </w:tcPr>
          <w:p w14:paraId="239879D1" w14:textId="77777777" w:rsidR="005E2637" w:rsidRPr="00411B18" w:rsidRDefault="005E2637" w:rsidP="00666D34">
            <w:pPr>
              <w:pStyle w:val="TableText0"/>
              <w:keepNext/>
              <w:jc w:val="center"/>
              <w:rPr>
                <w:i/>
                <w:iCs w:val="0"/>
              </w:rPr>
            </w:pPr>
            <w:r w:rsidRPr="006650CB">
              <w:rPr>
                <w:i/>
                <w:iCs w:val="0"/>
              </w:rPr>
              <w:t>$4.</w:t>
            </w:r>
            <w:r>
              <w:rPr>
                <w:i/>
                <w:iCs w:val="0"/>
              </w:rPr>
              <w:t>44</w:t>
            </w:r>
          </w:p>
        </w:tc>
        <w:tc>
          <w:tcPr>
            <w:tcW w:w="3006" w:type="dxa"/>
          </w:tcPr>
          <w:p w14:paraId="2B860139" w14:textId="77777777" w:rsidR="005E2637" w:rsidRPr="0079341F" w:rsidRDefault="005E2637" w:rsidP="00666D34">
            <w:pPr>
              <w:pStyle w:val="TableText0"/>
              <w:keepNext/>
              <w:jc w:val="center"/>
            </w:pPr>
            <w:r w:rsidRPr="001A45E5">
              <w:t>$15.56</w:t>
            </w:r>
          </w:p>
        </w:tc>
      </w:tr>
      <w:tr w:rsidR="005E2637" w:rsidRPr="0098262F" w14:paraId="21A712B8" w14:textId="77777777">
        <w:tc>
          <w:tcPr>
            <w:tcW w:w="3008" w:type="dxa"/>
          </w:tcPr>
          <w:p w14:paraId="74C4D6CB" w14:textId="77777777" w:rsidR="005E2637" w:rsidRPr="0098262F" w:rsidRDefault="005E2637" w:rsidP="00666D34">
            <w:pPr>
              <w:pStyle w:val="TableText0"/>
              <w:keepNext/>
            </w:pPr>
            <w:r w:rsidRPr="0098262F">
              <w:t xml:space="preserve">Dose </w:t>
            </w:r>
            <w:r>
              <w:t>frequency</w:t>
            </w:r>
          </w:p>
        </w:tc>
        <w:tc>
          <w:tcPr>
            <w:tcW w:w="3003" w:type="dxa"/>
          </w:tcPr>
          <w:p w14:paraId="3E711A10" w14:textId="77777777" w:rsidR="005E2637" w:rsidRPr="0098262F" w:rsidRDefault="005E2637" w:rsidP="00666D34">
            <w:pPr>
              <w:pStyle w:val="TableText0"/>
              <w:keepNext/>
              <w:jc w:val="center"/>
            </w:pPr>
            <w:r>
              <w:t>Every 4 weeks</w:t>
            </w:r>
          </w:p>
        </w:tc>
        <w:tc>
          <w:tcPr>
            <w:tcW w:w="3006" w:type="dxa"/>
          </w:tcPr>
          <w:p w14:paraId="1401BC72" w14:textId="77777777" w:rsidR="005E2637" w:rsidRPr="0098262F" w:rsidRDefault="005E2637" w:rsidP="00666D34">
            <w:pPr>
              <w:pStyle w:val="TableText0"/>
              <w:keepNext/>
              <w:jc w:val="center"/>
            </w:pPr>
            <w:r>
              <w:t>Every 4 weeks</w:t>
            </w:r>
          </w:p>
        </w:tc>
      </w:tr>
      <w:tr w:rsidR="005E2637" w:rsidRPr="0098262F" w14:paraId="016BB324" w14:textId="77777777">
        <w:tc>
          <w:tcPr>
            <w:tcW w:w="3008" w:type="dxa"/>
          </w:tcPr>
          <w:p w14:paraId="2185E441" w14:textId="77777777" w:rsidR="005E2637" w:rsidRPr="0098262F" w:rsidRDefault="005E2637" w:rsidP="00666D34">
            <w:pPr>
              <w:pStyle w:val="TableText0"/>
              <w:keepNext/>
            </w:pPr>
            <w:r w:rsidRPr="0098262F">
              <w:t xml:space="preserve">Administrations </w:t>
            </w:r>
            <w:r>
              <w:t>over 2 years</w:t>
            </w:r>
          </w:p>
        </w:tc>
        <w:tc>
          <w:tcPr>
            <w:tcW w:w="3003" w:type="dxa"/>
          </w:tcPr>
          <w:p w14:paraId="28924910" w14:textId="77777777" w:rsidR="005E2637" w:rsidRPr="0098262F" w:rsidRDefault="005E2637" w:rsidP="00666D34">
            <w:pPr>
              <w:pStyle w:val="TableText0"/>
              <w:keepNext/>
              <w:jc w:val="center"/>
            </w:pPr>
            <w:r>
              <w:t>26</w:t>
            </w:r>
          </w:p>
        </w:tc>
        <w:tc>
          <w:tcPr>
            <w:tcW w:w="3006" w:type="dxa"/>
          </w:tcPr>
          <w:p w14:paraId="0F09AE2D" w14:textId="77777777" w:rsidR="005E2637" w:rsidRPr="0098262F" w:rsidRDefault="005E2637" w:rsidP="00666D34">
            <w:pPr>
              <w:pStyle w:val="TableText0"/>
              <w:keepNext/>
              <w:jc w:val="center"/>
            </w:pPr>
            <w:r>
              <w:t>26</w:t>
            </w:r>
          </w:p>
        </w:tc>
      </w:tr>
      <w:tr w:rsidR="005E2637" w:rsidRPr="0098262F" w14:paraId="30367BDD" w14:textId="77777777">
        <w:tc>
          <w:tcPr>
            <w:tcW w:w="3008" w:type="dxa"/>
          </w:tcPr>
          <w:p w14:paraId="1BC427CC" w14:textId="77777777" w:rsidR="005E2637" w:rsidRPr="0098262F" w:rsidRDefault="005E2637" w:rsidP="00666D34">
            <w:pPr>
              <w:pStyle w:val="TableText0"/>
              <w:keepNext/>
            </w:pPr>
            <w:r w:rsidRPr="0098262F">
              <w:t xml:space="preserve">Total medicine cost </w:t>
            </w:r>
            <w:r>
              <w:t>over 2 years</w:t>
            </w:r>
          </w:p>
        </w:tc>
        <w:tc>
          <w:tcPr>
            <w:tcW w:w="3003" w:type="dxa"/>
          </w:tcPr>
          <w:p w14:paraId="4F378E08" w14:textId="77777777" w:rsidR="005E2637" w:rsidRPr="00411B18" w:rsidRDefault="005E2637" w:rsidP="00666D34">
            <w:pPr>
              <w:pStyle w:val="TableText0"/>
              <w:keepNext/>
              <w:jc w:val="center"/>
              <w:rPr>
                <w:i/>
                <w:iCs w:val="0"/>
              </w:rPr>
            </w:pPr>
            <w:r w:rsidRPr="00411B18">
              <w:rPr>
                <w:i/>
                <w:iCs w:val="0"/>
              </w:rPr>
              <w:t>$40,020.15</w:t>
            </w:r>
          </w:p>
        </w:tc>
        <w:tc>
          <w:tcPr>
            <w:tcW w:w="3006" w:type="dxa"/>
          </w:tcPr>
          <w:p w14:paraId="2150B4D8" w14:textId="77777777" w:rsidR="005E2637" w:rsidRPr="00DE23E3" w:rsidRDefault="005E2637" w:rsidP="00666D34">
            <w:pPr>
              <w:pStyle w:val="TableText0"/>
              <w:keepNext/>
              <w:jc w:val="center"/>
            </w:pPr>
            <w:r w:rsidRPr="0038560E">
              <w:t>$40,458.60</w:t>
            </w:r>
          </w:p>
        </w:tc>
      </w:tr>
      <w:tr w:rsidR="005E2637" w:rsidRPr="0098262F" w14:paraId="59216D6B" w14:textId="77777777">
        <w:tc>
          <w:tcPr>
            <w:tcW w:w="3008" w:type="dxa"/>
          </w:tcPr>
          <w:p w14:paraId="353AAC5F" w14:textId="77777777" w:rsidR="005E2637" w:rsidRPr="00B2231C" w:rsidRDefault="005E2637" w:rsidP="00666D34">
            <w:pPr>
              <w:pStyle w:val="TableText0"/>
              <w:keepNext/>
            </w:pPr>
            <w:r>
              <w:t xml:space="preserve">Total supervised administration cost </w:t>
            </w:r>
            <w:r>
              <w:rPr>
                <w:vertAlign w:val="superscript"/>
              </w:rPr>
              <w:t>a</w:t>
            </w:r>
          </w:p>
        </w:tc>
        <w:tc>
          <w:tcPr>
            <w:tcW w:w="3003" w:type="dxa"/>
          </w:tcPr>
          <w:p w14:paraId="26F37F3F" w14:textId="77777777" w:rsidR="005E2637" w:rsidRPr="00411B18" w:rsidRDefault="005E2637" w:rsidP="00666D34">
            <w:pPr>
              <w:pStyle w:val="TableText0"/>
              <w:keepNext/>
              <w:jc w:val="center"/>
              <w:rPr>
                <w:i/>
                <w:iCs w:val="0"/>
              </w:rPr>
            </w:pPr>
            <w:r w:rsidRPr="00411B18">
              <w:rPr>
                <w:i/>
                <w:iCs w:val="0"/>
              </w:rPr>
              <w:t>$438.45</w:t>
            </w:r>
          </w:p>
        </w:tc>
        <w:tc>
          <w:tcPr>
            <w:tcW w:w="3006" w:type="dxa"/>
          </w:tcPr>
          <w:p w14:paraId="66655958" w14:textId="77777777" w:rsidR="005E2637" w:rsidRPr="00DE23E3" w:rsidRDefault="005E2637" w:rsidP="00666D34">
            <w:pPr>
              <w:pStyle w:val="TableText0"/>
              <w:keepNext/>
              <w:jc w:val="center"/>
            </w:pPr>
            <w:r>
              <w:t>$0</w:t>
            </w:r>
          </w:p>
        </w:tc>
      </w:tr>
      <w:tr w:rsidR="005E2637" w:rsidRPr="0098262F" w14:paraId="079C0BA7" w14:textId="77777777">
        <w:tc>
          <w:tcPr>
            <w:tcW w:w="3008" w:type="dxa"/>
          </w:tcPr>
          <w:p w14:paraId="726F83A6" w14:textId="77777777" w:rsidR="005E2637" w:rsidRPr="003C2488" w:rsidRDefault="005E2637" w:rsidP="00666D34">
            <w:pPr>
              <w:pStyle w:val="TableText0"/>
              <w:keepNext/>
              <w:rPr>
                <w:vertAlign w:val="superscript"/>
              </w:rPr>
            </w:pPr>
            <w:r>
              <w:t xml:space="preserve">   Specialist </w:t>
            </w:r>
            <w:r>
              <w:rPr>
                <w:vertAlign w:val="superscript"/>
              </w:rPr>
              <w:t>b</w:t>
            </w:r>
          </w:p>
        </w:tc>
        <w:tc>
          <w:tcPr>
            <w:tcW w:w="3003" w:type="dxa"/>
          </w:tcPr>
          <w:p w14:paraId="3B1A7915" w14:textId="77777777" w:rsidR="005E2637" w:rsidRPr="00411B18" w:rsidRDefault="005E2637" w:rsidP="00666D34">
            <w:pPr>
              <w:pStyle w:val="TableText0"/>
              <w:keepNext/>
              <w:jc w:val="center"/>
              <w:rPr>
                <w:i/>
                <w:iCs w:val="0"/>
              </w:rPr>
            </w:pPr>
            <w:r w:rsidRPr="00411B18">
              <w:rPr>
                <w:i/>
                <w:iCs w:val="0"/>
              </w:rPr>
              <w:t>$261.90</w:t>
            </w:r>
          </w:p>
        </w:tc>
        <w:tc>
          <w:tcPr>
            <w:tcW w:w="3006" w:type="dxa"/>
          </w:tcPr>
          <w:p w14:paraId="01A3E530" w14:textId="77777777" w:rsidR="005E2637" w:rsidRPr="00DE23E3" w:rsidRDefault="005E2637" w:rsidP="00666D34">
            <w:pPr>
              <w:pStyle w:val="TableText0"/>
              <w:keepNext/>
              <w:jc w:val="center"/>
            </w:pPr>
            <w:r w:rsidRPr="007B7A5D">
              <w:t>$0</w:t>
            </w:r>
          </w:p>
        </w:tc>
      </w:tr>
      <w:tr w:rsidR="005E2637" w:rsidRPr="0098262F" w14:paraId="58F89583" w14:textId="77777777">
        <w:tc>
          <w:tcPr>
            <w:tcW w:w="3008" w:type="dxa"/>
          </w:tcPr>
          <w:p w14:paraId="0877B567" w14:textId="77777777" w:rsidR="005E2637" w:rsidRPr="003C2488" w:rsidRDefault="005E2637" w:rsidP="00666D34">
            <w:pPr>
              <w:pStyle w:val="TableText0"/>
              <w:keepNext/>
              <w:rPr>
                <w:vertAlign w:val="superscript"/>
              </w:rPr>
            </w:pPr>
            <w:r>
              <w:t xml:space="preserve">   Nurse supervision post-dose </w:t>
            </w:r>
            <w:r>
              <w:rPr>
                <w:vertAlign w:val="superscript"/>
              </w:rPr>
              <w:t>c</w:t>
            </w:r>
          </w:p>
        </w:tc>
        <w:tc>
          <w:tcPr>
            <w:tcW w:w="3003" w:type="dxa"/>
          </w:tcPr>
          <w:p w14:paraId="7376E414" w14:textId="77777777" w:rsidR="005E2637" w:rsidRPr="00411B18" w:rsidRDefault="005E2637" w:rsidP="00666D34">
            <w:pPr>
              <w:pStyle w:val="TableText0"/>
              <w:keepNext/>
              <w:jc w:val="center"/>
              <w:rPr>
                <w:i/>
                <w:iCs w:val="0"/>
              </w:rPr>
            </w:pPr>
            <w:r w:rsidRPr="00411B18">
              <w:rPr>
                <w:i/>
                <w:iCs w:val="0"/>
              </w:rPr>
              <w:t>$176.55</w:t>
            </w:r>
          </w:p>
        </w:tc>
        <w:tc>
          <w:tcPr>
            <w:tcW w:w="3006" w:type="dxa"/>
          </w:tcPr>
          <w:p w14:paraId="3318C98B" w14:textId="77777777" w:rsidR="005E2637" w:rsidRPr="00DE23E3" w:rsidRDefault="005E2637" w:rsidP="00666D34">
            <w:pPr>
              <w:pStyle w:val="TableText0"/>
              <w:keepNext/>
              <w:jc w:val="center"/>
            </w:pPr>
            <w:r w:rsidRPr="007B7A5D">
              <w:t>$0</w:t>
            </w:r>
          </w:p>
        </w:tc>
      </w:tr>
      <w:tr w:rsidR="005E2637" w:rsidRPr="0098262F" w14:paraId="2B377D0D" w14:textId="77777777">
        <w:tc>
          <w:tcPr>
            <w:tcW w:w="3008" w:type="dxa"/>
          </w:tcPr>
          <w:p w14:paraId="538CAF63" w14:textId="77777777" w:rsidR="005E2637" w:rsidRPr="0098262F" w:rsidRDefault="005E2637" w:rsidP="00666D34">
            <w:pPr>
              <w:pStyle w:val="TableText0"/>
              <w:keepNext/>
            </w:pPr>
            <w:r w:rsidRPr="0098262F">
              <w:t xml:space="preserve">Difference in cost per </w:t>
            </w:r>
            <w:r>
              <w:t>year</w:t>
            </w:r>
          </w:p>
        </w:tc>
        <w:tc>
          <w:tcPr>
            <w:tcW w:w="3003" w:type="dxa"/>
          </w:tcPr>
          <w:p w14:paraId="573138EA" w14:textId="77777777" w:rsidR="005E2637" w:rsidRPr="00411B18" w:rsidRDefault="005E2637" w:rsidP="00666D34">
            <w:pPr>
              <w:pStyle w:val="TableText0"/>
              <w:keepNext/>
              <w:jc w:val="center"/>
              <w:rPr>
                <w:i/>
                <w:iCs w:val="0"/>
              </w:rPr>
            </w:pPr>
            <w:r w:rsidRPr="00411B18">
              <w:rPr>
                <w:i/>
                <w:iCs w:val="0"/>
              </w:rPr>
              <w:t>$0</w:t>
            </w:r>
          </w:p>
        </w:tc>
        <w:tc>
          <w:tcPr>
            <w:tcW w:w="3006" w:type="dxa"/>
          </w:tcPr>
          <w:p w14:paraId="16613B95" w14:textId="77777777" w:rsidR="005E2637" w:rsidRPr="00DE23E3" w:rsidRDefault="005E2637" w:rsidP="00666D34">
            <w:pPr>
              <w:pStyle w:val="TableText0"/>
              <w:keepNext/>
              <w:jc w:val="center"/>
            </w:pPr>
            <w:r w:rsidRPr="00DE23E3">
              <w:t>$0</w:t>
            </w:r>
          </w:p>
        </w:tc>
      </w:tr>
      <w:tr w:rsidR="005E2637" w:rsidRPr="0098262F" w14:paraId="473DAE2C" w14:textId="77777777">
        <w:tc>
          <w:tcPr>
            <w:tcW w:w="9017" w:type="dxa"/>
            <w:gridSpan w:val="3"/>
          </w:tcPr>
          <w:p w14:paraId="0AC51EDD" w14:textId="77777777" w:rsidR="005E2637" w:rsidRPr="00F730CC" w:rsidRDefault="005E2637" w:rsidP="00666D34">
            <w:pPr>
              <w:pStyle w:val="TableText0"/>
              <w:keepNext/>
              <w:rPr>
                <w:vertAlign w:val="superscript"/>
              </w:rPr>
            </w:pPr>
            <w:r w:rsidRPr="007461FC">
              <w:t>Estimated cost minimised price for omalizumab</w:t>
            </w:r>
          </w:p>
        </w:tc>
      </w:tr>
      <w:tr w:rsidR="005E2637" w:rsidRPr="0098262F" w14:paraId="65831074" w14:textId="77777777">
        <w:tc>
          <w:tcPr>
            <w:tcW w:w="3008" w:type="dxa"/>
          </w:tcPr>
          <w:p w14:paraId="244F9611" w14:textId="77777777" w:rsidR="005E2637" w:rsidRPr="0098262F" w:rsidRDefault="005E2637" w:rsidP="00666D34">
            <w:pPr>
              <w:pStyle w:val="TableText0"/>
              <w:keepNext/>
            </w:pPr>
            <w:r w:rsidRPr="007461FC">
              <w:t>75 mg pre-filled syringe</w:t>
            </w:r>
          </w:p>
        </w:tc>
        <w:tc>
          <w:tcPr>
            <w:tcW w:w="6009" w:type="dxa"/>
            <w:gridSpan w:val="2"/>
          </w:tcPr>
          <w:p w14:paraId="1C3CD9FA" w14:textId="77777777" w:rsidR="005E2637" w:rsidRPr="00411B18" w:rsidRDefault="005E2637" w:rsidP="00666D34">
            <w:pPr>
              <w:pStyle w:val="TableText0"/>
              <w:keepNext/>
              <w:jc w:val="center"/>
              <w:rPr>
                <w:i/>
                <w:iCs w:val="0"/>
              </w:rPr>
            </w:pPr>
            <w:r w:rsidRPr="00842CE4">
              <w:rPr>
                <w:i/>
                <w:iCs w:val="0"/>
              </w:rPr>
              <w:t>$333.01</w:t>
            </w:r>
          </w:p>
        </w:tc>
      </w:tr>
      <w:tr w:rsidR="005E2637" w:rsidRPr="0098262F" w14:paraId="181756AC" w14:textId="77777777">
        <w:tc>
          <w:tcPr>
            <w:tcW w:w="3008" w:type="dxa"/>
          </w:tcPr>
          <w:p w14:paraId="701B1AAA" w14:textId="77777777" w:rsidR="005E2637" w:rsidRPr="0098262F" w:rsidRDefault="005E2637" w:rsidP="00666D34">
            <w:pPr>
              <w:pStyle w:val="TableText0"/>
              <w:keepNext/>
            </w:pPr>
            <w:r w:rsidRPr="007461FC">
              <w:t>150 mg pre-filled syringe</w:t>
            </w:r>
          </w:p>
        </w:tc>
        <w:tc>
          <w:tcPr>
            <w:tcW w:w="6009" w:type="dxa"/>
            <w:gridSpan w:val="2"/>
          </w:tcPr>
          <w:p w14:paraId="5ADAD482" w14:textId="77777777" w:rsidR="005E2637" w:rsidRPr="00411B18" w:rsidRDefault="005E2637" w:rsidP="00666D34">
            <w:pPr>
              <w:pStyle w:val="TableText0"/>
              <w:keepNext/>
              <w:jc w:val="center"/>
              <w:rPr>
                <w:i/>
                <w:iCs w:val="0"/>
              </w:rPr>
            </w:pPr>
            <w:r w:rsidRPr="00EE3211">
              <w:rPr>
                <w:i/>
                <w:iCs w:val="0"/>
              </w:rPr>
              <w:t>$666.02</w:t>
            </w:r>
          </w:p>
        </w:tc>
      </w:tr>
    </w:tbl>
    <w:p w14:paraId="5264B6FC" w14:textId="77777777" w:rsidR="005E2637" w:rsidRPr="00DD310B" w:rsidRDefault="005E2637" w:rsidP="00666D34">
      <w:pPr>
        <w:pStyle w:val="TableFooter"/>
        <w:keepNext/>
      </w:pPr>
      <w:r w:rsidRPr="00DD310B">
        <w:t xml:space="preserve">Source: </w:t>
      </w:r>
      <w:r w:rsidRPr="00F730CC">
        <w:rPr>
          <w:i/>
          <w:iCs/>
        </w:rPr>
        <w:t>Calculated during the evaluation based on data provided in the submission</w:t>
      </w:r>
      <w:r>
        <w:t xml:space="preserve"> </w:t>
      </w:r>
    </w:p>
    <w:p w14:paraId="7CCCCBB8" w14:textId="77777777" w:rsidR="005E2637" w:rsidRDefault="005E2637" w:rsidP="00666D34">
      <w:pPr>
        <w:pStyle w:val="TableFooter"/>
        <w:keepNext/>
      </w:pPr>
      <w:proofErr w:type="spellStart"/>
      <w:r>
        <w:rPr>
          <w:vertAlign w:val="superscript"/>
        </w:rPr>
        <w:t>a</w:t>
      </w:r>
      <w:proofErr w:type="spellEnd"/>
      <w:r w:rsidRPr="2BCE08C6">
        <w:t xml:space="preserve"> For the first three initiating doses to monitor for anaphylaxis and anaphylactoid reactions</w:t>
      </w:r>
    </w:p>
    <w:p w14:paraId="57B03A71" w14:textId="77777777" w:rsidR="005E2637" w:rsidRDefault="005E2637" w:rsidP="00666D34">
      <w:pPr>
        <w:pStyle w:val="TableFooter"/>
        <w:keepNext/>
      </w:pPr>
      <w:r>
        <w:rPr>
          <w:vertAlign w:val="superscript"/>
        </w:rPr>
        <w:t>b</w:t>
      </w:r>
      <w:r>
        <w:t xml:space="preserve"> MBS item 116</w:t>
      </w:r>
    </w:p>
    <w:p w14:paraId="1EBEF0C5" w14:textId="77777777" w:rsidR="005E2637" w:rsidRDefault="005E2637" w:rsidP="00F42419">
      <w:pPr>
        <w:pStyle w:val="TableFooter"/>
        <w:keepNext/>
        <w:spacing w:after="120"/>
      </w:pPr>
      <w:r>
        <w:rPr>
          <w:vertAlign w:val="superscript"/>
        </w:rPr>
        <w:t>c</w:t>
      </w:r>
      <w:r>
        <w:t xml:space="preserve"> MBS item </w:t>
      </w:r>
      <w:r w:rsidRPr="0022128E">
        <w:t>82210</w:t>
      </w:r>
    </w:p>
    <w:p w14:paraId="596F48EA" w14:textId="03330B51" w:rsidR="002C1266" w:rsidRDefault="002C1266" w:rsidP="2BCE08C6">
      <w:pPr>
        <w:pStyle w:val="3-BodyText"/>
      </w:pPr>
      <w:r w:rsidRPr="00DA0F7E">
        <w:t xml:space="preserve">Should the PBAC accept the clinical claim of overall non-inferior effectiveness and safety, the cost-minimisation approach must establish that the cost per patient for treatment with omalizumab would be no more than the cost per patient of mepolizumab. Where these cost per patient calculations are uncertain, the guiding principle is that the Australian Government should not bear the financial risk of this uncertainty because the Australian population already has access to therapy that is at least as effective and safe. </w:t>
      </w:r>
    </w:p>
    <w:p w14:paraId="1CF81DAC" w14:textId="438D3C14" w:rsidR="009D7EF0" w:rsidRPr="00730032" w:rsidRDefault="009D7EF0" w:rsidP="00730032">
      <w:pPr>
        <w:pStyle w:val="3-BodyText"/>
        <w:rPr>
          <w:i/>
          <w:iCs/>
        </w:rPr>
      </w:pPr>
      <w:bookmarkStart w:id="66" w:name="_Ref198629120"/>
      <w:r w:rsidRPr="007F1DC2">
        <w:lastRenderedPageBreak/>
        <w:t xml:space="preserve">The ESC advised that the data used in the clinical and economic sections should be consistent. Consequently, ESC argued that it was more appropriate to apply the mean treatment dose of 346.67 mg which </w:t>
      </w:r>
      <w:r w:rsidR="007A5A53" w:rsidRPr="007F1DC2">
        <w:t xml:space="preserve">includes </w:t>
      </w:r>
      <w:r w:rsidRPr="007F1DC2">
        <w:t>all patients in the trials</w:t>
      </w:r>
      <w:r w:rsidR="004160AD" w:rsidRPr="007F1DC2">
        <w:t>,</w:t>
      </w:r>
      <w:r w:rsidRPr="007F1DC2">
        <w:t xml:space="preserve"> and </w:t>
      </w:r>
      <w:r w:rsidR="007A5A53" w:rsidRPr="007F1DC2">
        <w:t xml:space="preserve">which </w:t>
      </w:r>
      <w:r w:rsidRPr="007F1DC2">
        <w:t>resulted in lower cost-minimised prices.</w:t>
      </w:r>
      <w:r w:rsidR="0040322A">
        <w:t xml:space="preserve"> </w:t>
      </w:r>
      <w:r w:rsidRPr="007F1DC2">
        <w:t xml:space="preserve">The ESC also considered </w:t>
      </w:r>
      <w:r w:rsidR="00982635" w:rsidRPr="007F1DC2">
        <w:t>it appropriate to include t</w:t>
      </w:r>
      <w:r w:rsidRPr="007F1DC2">
        <w:t>he additional supervision costs required for initial monitoring for anaphylaxis and anaphylactoid reactions for omalizumab (see</w:t>
      </w:r>
      <w:r w:rsidR="00982635" w:rsidRPr="007F1DC2">
        <w:t xml:space="preserve"> </w:t>
      </w:r>
      <w:r w:rsidR="00982635" w:rsidRPr="007F1DC2">
        <w:fldChar w:fldCharType="begin"/>
      </w:r>
      <w:r w:rsidR="00982635" w:rsidRPr="007F1DC2">
        <w:instrText xml:space="preserve"> REF _Ref192685159 \h  \* MERGEFORMAT </w:instrText>
      </w:r>
      <w:r w:rsidR="00982635" w:rsidRPr="007F1DC2">
        <w:fldChar w:fldCharType="separate"/>
      </w:r>
      <w:r w:rsidR="00CE52BF" w:rsidRPr="00CE52BF">
        <w:t>Table 14</w:t>
      </w:r>
      <w:r w:rsidR="00982635" w:rsidRPr="007F1DC2">
        <w:fldChar w:fldCharType="end"/>
      </w:r>
      <w:r w:rsidR="001E7A3E" w:rsidRPr="007F1DC2">
        <w:t xml:space="preserve"> for the sensitivity analysis using mean treatment dose of all POLYP patients and including supervised administration costs</w:t>
      </w:r>
      <w:r w:rsidRPr="007F1DC2">
        <w:t>).</w:t>
      </w:r>
      <w:bookmarkEnd w:id="66"/>
      <w:r w:rsidR="00982635" w:rsidRPr="007F1DC2">
        <w:t xml:space="preserve"> </w:t>
      </w:r>
    </w:p>
    <w:p w14:paraId="1D4D0DE7" w14:textId="3CD267A6" w:rsidR="00472E71" w:rsidRDefault="006D4C1E" w:rsidP="00596563">
      <w:pPr>
        <w:pStyle w:val="4-SubsectionHeading"/>
      </w:pPr>
      <w:bookmarkStart w:id="67" w:name="_Toc22897646"/>
      <w:bookmarkStart w:id="68" w:name="_Toc193290752"/>
      <w:r w:rsidRPr="006D4C1E">
        <w:t xml:space="preserve">Drug </w:t>
      </w:r>
      <w:r w:rsidR="002C1266" w:rsidRPr="006D4C1E">
        <w:t>cost/patient/year</w:t>
      </w:r>
      <w:bookmarkEnd w:id="67"/>
      <w:bookmarkEnd w:id="68"/>
    </w:p>
    <w:p w14:paraId="301B290A" w14:textId="468740C0" w:rsidR="002C1266" w:rsidRPr="0098262F" w:rsidRDefault="002C1266" w:rsidP="006A11DC">
      <w:pPr>
        <w:pStyle w:val="TableFigureHeading"/>
        <w:rPr>
          <w:rStyle w:val="CommentReference"/>
          <w:b/>
          <w:szCs w:val="24"/>
        </w:rPr>
      </w:pPr>
      <w:bookmarkStart w:id="69" w:name="_Ref104805102"/>
      <w:r w:rsidRPr="0098262F">
        <w:t xml:space="preserve">Table </w:t>
      </w:r>
      <w:r>
        <w:fldChar w:fldCharType="begin"/>
      </w:r>
      <w:r>
        <w:instrText>SEQ Table \* ARABIC</w:instrText>
      </w:r>
      <w:r>
        <w:fldChar w:fldCharType="separate"/>
      </w:r>
      <w:r w:rsidR="00CE52BF">
        <w:rPr>
          <w:noProof/>
        </w:rPr>
        <w:t>15</w:t>
      </w:r>
      <w:r>
        <w:fldChar w:fldCharType="end"/>
      </w:r>
      <w:bookmarkEnd w:id="69"/>
      <w:r w:rsidRPr="0098262F">
        <w:t>:</w:t>
      </w:r>
      <w:r w:rsidRPr="0098262F">
        <w:rPr>
          <w:rStyle w:val="CommentReference"/>
          <w:b/>
          <w:szCs w:val="24"/>
        </w:rPr>
        <w:t xml:space="preserve"> Drug cost per patient for </w:t>
      </w:r>
      <w:r>
        <w:rPr>
          <w:rStyle w:val="CommentReference"/>
          <w:b/>
          <w:szCs w:val="24"/>
        </w:rPr>
        <w:t>omalizumab</w:t>
      </w:r>
      <w:r w:rsidRPr="0098262F">
        <w:rPr>
          <w:rStyle w:val="CommentReference"/>
          <w:b/>
          <w:szCs w:val="24"/>
        </w:rPr>
        <w:t xml:space="preserve"> and </w:t>
      </w:r>
      <w:r>
        <w:rPr>
          <w:rStyle w:val="CommentReference"/>
          <w:b/>
          <w:szCs w:val="24"/>
        </w:rPr>
        <w:t>mepolizumab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7"/>
        <w:gridCol w:w="1315"/>
        <w:gridCol w:w="1315"/>
        <w:gridCol w:w="1315"/>
        <w:gridCol w:w="1315"/>
        <w:gridCol w:w="1315"/>
        <w:gridCol w:w="1315"/>
      </w:tblGrid>
      <w:tr w:rsidR="002C1266" w:rsidRPr="0098262F" w14:paraId="6B56BB6C" w14:textId="77777777" w:rsidTr="2BCE08C6">
        <w:trPr>
          <w:cantSplit/>
          <w:tblHeader/>
          <w:jc w:val="center"/>
        </w:trPr>
        <w:tc>
          <w:tcPr>
            <w:tcW w:w="625" w:type="pct"/>
            <w:shd w:val="clear" w:color="auto" w:fill="auto"/>
            <w:vAlign w:val="center"/>
          </w:tcPr>
          <w:p w14:paraId="1D024179" w14:textId="77777777" w:rsidR="002C1266" w:rsidRPr="0098262F" w:rsidRDefault="002C1266">
            <w:pPr>
              <w:pStyle w:val="In-tableHeading"/>
              <w:jc w:val="center"/>
              <w:rPr>
                <w:lang w:val="en-AU"/>
              </w:rPr>
            </w:pPr>
          </w:p>
        </w:tc>
        <w:tc>
          <w:tcPr>
            <w:tcW w:w="729" w:type="pct"/>
            <w:shd w:val="clear" w:color="auto" w:fill="auto"/>
            <w:vAlign w:val="center"/>
          </w:tcPr>
          <w:p w14:paraId="7A967474" w14:textId="77777777" w:rsidR="002C1266" w:rsidRPr="0098262F" w:rsidRDefault="002C1266">
            <w:pPr>
              <w:pStyle w:val="In-tableHeading"/>
              <w:jc w:val="center"/>
              <w:rPr>
                <w:lang w:val="en-AU"/>
              </w:rPr>
            </w:pPr>
            <w:r>
              <w:rPr>
                <w:lang w:val="en-AU"/>
              </w:rPr>
              <w:t>Omalizumab</w:t>
            </w:r>
          </w:p>
          <w:p w14:paraId="78FE7A80" w14:textId="77777777" w:rsidR="002C1266" w:rsidRPr="0098262F" w:rsidRDefault="002C1266">
            <w:pPr>
              <w:pStyle w:val="In-tableHeading"/>
              <w:jc w:val="center"/>
              <w:rPr>
                <w:lang w:val="en-AU"/>
              </w:rPr>
            </w:pPr>
            <w:r w:rsidRPr="0098262F">
              <w:rPr>
                <w:lang w:val="en-AU"/>
              </w:rPr>
              <w:t>Trial dose and duration</w:t>
            </w:r>
          </w:p>
        </w:tc>
        <w:tc>
          <w:tcPr>
            <w:tcW w:w="729" w:type="pct"/>
            <w:shd w:val="clear" w:color="auto" w:fill="auto"/>
            <w:vAlign w:val="center"/>
          </w:tcPr>
          <w:p w14:paraId="55AE8426" w14:textId="77777777" w:rsidR="002C1266" w:rsidRPr="0098262F" w:rsidRDefault="002C1266">
            <w:pPr>
              <w:pStyle w:val="In-tableHeading"/>
              <w:jc w:val="center"/>
              <w:rPr>
                <w:lang w:val="en-AU"/>
              </w:rPr>
            </w:pPr>
            <w:r>
              <w:rPr>
                <w:lang w:val="en-AU"/>
              </w:rPr>
              <w:t>Omalizumab</w:t>
            </w:r>
          </w:p>
          <w:p w14:paraId="23108531" w14:textId="77777777" w:rsidR="002C1266" w:rsidRPr="0098262F" w:rsidRDefault="002C1266">
            <w:pPr>
              <w:pStyle w:val="In-tableHeading"/>
              <w:jc w:val="center"/>
              <w:rPr>
                <w:lang w:val="en-AU"/>
              </w:rPr>
            </w:pPr>
            <w:r>
              <w:rPr>
                <w:lang w:val="en-AU"/>
              </w:rPr>
              <w:t>CMA</w:t>
            </w:r>
          </w:p>
        </w:tc>
        <w:tc>
          <w:tcPr>
            <w:tcW w:w="729" w:type="pct"/>
            <w:shd w:val="clear" w:color="auto" w:fill="auto"/>
            <w:vAlign w:val="center"/>
          </w:tcPr>
          <w:p w14:paraId="4BD2650B" w14:textId="77777777" w:rsidR="002C1266" w:rsidRPr="0098262F" w:rsidRDefault="002C1266">
            <w:pPr>
              <w:pStyle w:val="In-tableHeading"/>
              <w:jc w:val="center"/>
              <w:rPr>
                <w:lang w:val="en-AU"/>
              </w:rPr>
            </w:pPr>
            <w:r>
              <w:rPr>
                <w:lang w:val="en-AU"/>
              </w:rPr>
              <w:t>Omalizumab</w:t>
            </w:r>
          </w:p>
          <w:p w14:paraId="617B3255" w14:textId="77777777" w:rsidR="002C1266" w:rsidRPr="0098262F" w:rsidRDefault="002C1266">
            <w:pPr>
              <w:pStyle w:val="In-tableHeading"/>
              <w:jc w:val="center"/>
              <w:rPr>
                <w:lang w:val="en-AU"/>
              </w:rPr>
            </w:pPr>
            <w:r w:rsidRPr="0098262F">
              <w:rPr>
                <w:lang w:val="en-AU"/>
              </w:rPr>
              <w:t>Financial estimates</w:t>
            </w:r>
          </w:p>
        </w:tc>
        <w:tc>
          <w:tcPr>
            <w:tcW w:w="729" w:type="pct"/>
            <w:shd w:val="clear" w:color="auto" w:fill="auto"/>
            <w:vAlign w:val="center"/>
          </w:tcPr>
          <w:p w14:paraId="4E46D0D4" w14:textId="77777777" w:rsidR="002C1266" w:rsidRPr="0098262F" w:rsidRDefault="002C1266">
            <w:pPr>
              <w:pStyle w:val="In-tableHeading"/>
              <w:jc w:val="center"/>
              <w:rPr>
                <w:lang w:val="en-AU"/>
              </w:rPr>
            </w:pPr>
            <w:r>
              <w:rPr>
                <w:lang w:val="en-AU"/>
              </w:rPr>
              <w:t>Mepolizumab</w:t>
            </w:r>
          </w:p>
          <w:p w14:paraId="0DC628B7" w14:textId="77777777" w:rsidR="002C1266" w:rsidRPr="0098262F" w:rsidRDefault="002C1266">
            <w:pPr>
              <w:pStyle w:val="In-tableHeading"/>
              <w:jc w:val="center"/>
              <w:rPr>
                <w:lang w:val="en-AU"/>
              </w:rPr>
            </w:pPr>
            <w:r w:rsidRPr="0098262F">
              <w:rPr>
                <w:lang w:val="en-AU"/>
              </w:rPr>
              <w:t>Trial dose and duration</w:t>
            </w:r>
          </w:p>
        </w:tc>
        <w:tc>
          <w:tcPr>
            <w:tcW w:w="729" w:type="pct"/>
            <w:shd w:val="clear" w:color="auto" w:fill="auto"/>
            <w:vAlign w:val="center"/>
          </w:tcPr>
          <w:p w14:paraId="0614A3D7" w14:textId="77777777" w:rsidR="002C1266" w:rsidRPr="0098262F" w:rsidRDefault="002C1266">
            <w:pPr>
              <w:pStyle w:val="In-tableHeading"/>
              <w:jc w:val="center"/>
              <w:rPr>
                <w:lang w:val="en-AU"/>
              </w:rPr>
            </w:pPr>
            <w:r>
              <w:rPr>
                <w:lang w:val="en-AU"/>
              </w:rPr>
              <w:t>Mepolizumab</w:t>
            </w:r>
          </w:p>
          <w:p w14:paraId="60DE1AC9" w14:textId="77777777" w:rsidR="002C1266" w:rsidRPr="0098262F" w:rsidRDefault="002C1266">
            <w:pPr>
              <w:pStyle w:val="In-tableHeading"/>
              <w:jc w:val="center"/>
              <w:rPr>
                <w:lang w:val="en-AU"/>
              </w:rPr>
            </w:pPr>
            <w:r>
              <w:rPr>
                <w:lang w:val="en-AU"/>
              </w:rPr>
              <w:t>CMA</w:t>
            </w:r>
          </w:p>
        </w:tc>
        <w:tc>
          <w:tcPr>
            <w:tcW w:w="729" w:type="pct"/>
          </w:tcPr>
          <w:p w14:paraId="43B68D40" w14:textId="77777777" w:rsidR="002C1266" w:rsidRPr="0098262F" w:rsidRDefault="002C1266">
            <w:pPr>
              <w:pStyle w:val="In-tableHeading"/>
              <w:jc w:val="center"/>
              <w:rPr>
                <w:lang w:val="en-AU"/>
              </w:rPr>
            </w:pPr>
            <w:r>
              <w:rPr>
                <w:lang w:val="en-AU"/>
              </w:rPr>
              <w:t>Mepolizumab</w:t>
            </w:r>
          </w:p>
          <w:p w14:paraId="4D55B03C" w14:textId="77777777" w:rsidR="002C1266" w:rsidRPr="0098262F" w:rsidRDefault="002C1266">
            <w:pPr>
              <w:pStyle w:val="In-tableHeading"/>
              <w:jc w:val="center"/>
              <w:rPr>
                <w:lang w:val="en-AU"/>
              </w:rPr>
            </w:pPr>
            <w:r w:rsidRPr="0098262F">
              <w:rPr>
                <w:lang w:val="en-AU"/>
              </w:rPr>
              <w:t>Financial estimates</w:t>
            </w:r>
          </w:p>
        </w:tc>
      </w:tr>
      <w:tr w:rsidR="002C1266" w:rsidRPr="0098262F" w14:paraId="7B55F5D7" w14:textId="77777777" w:rsidTr="2BCE08C6">
        <w:trPr>
          <w:cantSplit/>
          <w:jc w:val="center"/>
        </w:trPr>
        <w:tc>
          <w:tcPr>
            <w:tcW w:w="625" w:type="pct"/>
            <w:shd w:val="clear" w:color="auto" w:fill="auto"/>
            <w:vAlign w:val="center"/>
          </w:tcPr>
          <w:p w14:paraId="7960FEF7" w14:textId="77777777" w:rsidR="002C1266" w:rsidRPr="0098262F" w:rsidRDefault="002C1266" w:rsidP="00D131BA">
            <w:pPr>
              <w:pStyle w:val="TableText0"/>
            </w:pPr>
            <w:r w:rsidRPr="0098262F">
              <w:t>Mean dose</w:t>
            </w:r>
          </w:p>
        </w:tc>
        <w:tc>
          <w:tcPr>
            <w:tcW w:w="729" w:type="pct"/>
            <w:shd w:val="clear" w:color="auto" w:fill="auto"/>
            <w:vAlign w:val="center"/>
          </w:tcPr>
          <w:p w14:paraId="192236C1" w14:textId="77777777" w:rsidR="002C1266" w:rsidRPr="00430A7F" w:rsidRDefault="002C1266" w:rsidP="00C9452D">
            <w:pPr>
              <w:pStyle w:val="TableText0"/>
              <w:jc w:val="center"/>
              <w:rPr>
                <w:vertAlign w:val="superscript"/>
              </w:rPr>
            </w:pPr>
            <w:r>
              <w:t>346.7 mg Q4W</w:t>
            </w:r>
            <w:r>
              <w:rPr>
                <w:vertAlign w:val="superscript"/>
              </w:rPr>
              <w:t>a</w:t>
            </w:r>
          </w:p>
        </w:tc>
        <w:tc>
          <w:tcPr>
            <w:tcW w:w="729" w:type="pct"/>
            <w:shd w:val="clear" w:color="auto" w:fill="auto"/>
            <w:vAlign w:val="center"/>
          </w:tcPr>
          <w:p w14:paraId="509B48AD" w14:textId="77777777" w:rsidR="002C1266" w:rsidRPr="002D31B2" w:rsidRDefault="002C1266" w:rsidP="00C9452D">
            <w:pPr>
              <w:pStyle w:val="TableText0"/>
              <w:jc w:val="center"/>
              <w:rPr>
                <w:vertAlign w:val="superscript"/>
              </w:rPr>
            </w:pPr>
            <w:r>
              <w:t>292.8 mg Q4W</w:t>
            </w:r>
            <w:r>
              <w:rPr>
                <w:vertAlign w:val="superscript"/>
              </w:rPr>
              <w:t>d</w:t>
            </w:r>
          </w:p>
        </w:tc>
        <w:tc>
          <w:tcPr>
            <w:tcW w:w="729" w:type="pct"/>
            <w:shd w:val="clear" w:color="auto" w:fill="auto"/>
            <w:vAlign w:val="center"/>
          </w:tcPr>
          <w:p w14:paraId="70400862" w14:textId="77777777" w:rsidR="002C1266" w:rsidRPr="000568D2" w:rsidRDefault="002C1266" w:rsidP="00C9452D">
            <w:pPr>
              <w:pStyle w:val="TableText0"/>
              <w:jc w:val="center"/>
              <w:rPr>
                <w:vertAlign w:val="superscript"/>
              </w:rPr>
            </w:pPr>
            <w:r>
              <w:t>NA</w:t>
            </w:r>
          </w:p>
        </w:tc>
        <w:tc>
          <w:tcPr>
            <w:tcW w:w="729" w:type="pct"/>
            <w:shd w:val="clear" w:color="auto" w:fill="auto"/>
            <w:vAlign w:val="center"/>
          </w:tcPr>
          <w:p w14:paraId="638E9B40" w14:textId="77777777" w:rsidR="002C1266" w:rsidRPr="00CD1398" w:rsidRDefault="002C1266" w:rsidP="00C9452D">
            <w:pPr>
              <w:pStyle w:val="TableText0"/>
              <w:jc w:val="center"/>
              <w:rPr>
                <w:vertAlign w:val="superscript"/>
              </w:rPr>
            </w:pPr>
            <w:r>
              <w:t>100 mg Q4W</w:t>
            </w:r>
            <w:r>
              <w:rPr>
                <w:vertAlign w:val="superscript"/>
              </w:rPr>
              <w:t>h</w:t>
            </w:r>
          </w:p>
        </w:tc>
        <w:tc>
          <w:tcPr>
            <w:tcW w:w="729" w:type="pct"/>
            <w:shd w:val="clear" w:color="auto" w:fill="auto"/>
            <w:vAlign w:val="center"/>
          </w:tcPr>
          <w:p w14:paraId="70E6C5A2" w14:textId="77777777" w:rsidR="002C1266" w:rsidRPr="00CF2BEB" w:rsidRDefault="002C1266" w:rsidP="00C9452D">
            <w:pPr>
              <w:pStyle w:val="TableText0"/>
              <w:jc w:val="center"/>
            </w:pPr>
            <w:r>
              <w:t>100 mg Q4W</w:t>
            </w:r>
          </w:p>
        </w:tc>
        <w:tc>
          <w:tcPr>
            <w:tcW w:w="729" w:type="pct"/>
            <w:vAlign w:val="center"/>
          </w:tcPr>
          <w:p w14:paraId="6038BA75" w14:textId="77777777" w:rsidR="002C1266" w:rsidRPr="000568D2" w:rsidRDefault="002C1266" w:rsidP="00C9452D">
            <w:pPr>
              <w:pStyle w:val="TableText0"/>
              <w:jc w:val="center"/>
              <w:rPr>
                <w:vertAlign w:val="superscript"/>
              </w:rPr>
            </w:pPr>
            <w:r>
              <w:t>100 mg Q4W</w:t>
            </w:r>
          </w:p>
        </w:tc>
      </w:tr>
      <w:tr w:rsidR="002C1266" w:rsidRPr="0098262F" w14:paraId="7D472408" w14:textId="77777777" w:rsidTr="2BCE08C6">
        <w:trPr>
          <w:cantSplit/>
          <w:jc w:val="center"/>
        </w:trPr>
        <w:tc>
          <w:tcPr>
            <w:tcW w:w="625" w:type="pct"/>
            <w:shd w:val="clear" w:color="auto" w:fill="auto"/>
            <w:vAlign w:val="center"/>
          </w:tcPr>
          <w:p w14:paraId="2BC5230E" w14:textId="77777777" w:rsidR="002C1266" w:rsidRPr="0098262F" w:rsidRDefault="002C1266" w:rsidP="00D131BA">
            <w:pPr>
              <w:pStyle w:val="TableText0"/>
            </w:pPr>
            <w:r>
              <w:t>Treatment</w:t>
            </w:r>
            <w:r w:rsidRPr="0098262F">
              <w:t xml:space="preserve"> duration</w:t>
            </w:r>
          </w:p>
        </w:tc>
        <w:tc>
          <w:tcPr>
            <w:tcW w:w="729" w:type="pct"/>
            <w:shd w:val="clear" w:color="auto" w:fill="auto"/>
            <w:vAlign w:val="center"/>
          </w:tcPr>
          <w:p w14:paraId="44DEA3EE" w14:textId="627E397A" w:rsidR="002C1266" w:rsidRPr="00CF2BEB" w:rsidRDefault="002C1266" w:rsidP="2BCE08C6">
            <w:pPr>
              <w:pStyle w:val="TableText0"/>
              <w:jc w:val="center"/>
              <w:rPr>
                <w:vertAlign w:val="superscript"/>
              </w:rPr>
            </w:pPr>
            <w:r w:rsidRPr="2BCE08C6">
              <w:t xml:space="preserve">20 </w:t>
            </w:r>
            <w:proofErr w:type="spellStart"/>
            <w:r w:rsidRPr="2BCE08C6">
              <w:t>weeks</w:t>
            </w:r>
            <w:r w:rsidRPr="2BCE08C6">
              <w:rPr>
                <w:vertAlign w:val="superscript"/>
              </w:rPr>
              <w:t>b</w:t>
            </w:r>
            <w:proofErr w:type="spellEnd"/>
          </w:p>
        </w:tc>
        <w:tc>
          <w:tcPr>
            <w:tcW w:w="729" w:type="pct"/>
            <w:shd w:val="clear" w:color="auto" w:fill="auto"/>
            <w:vAlign w:val="center"/>
          </w:tcPr>
          <w:p w14:paraId="2C43C51E" w14:textId="77777777" w:rsidR="002C1266" w:rsidRPr="00CF2BEB" w:rsidRDefault="002C1266" w:rsidP="00C9452D">
            <w:pPr>
              <w:pStyle w:val="TableText0"/>
              <w:jc w:val="center"/>
            </w:pPr>
            <w:r>
              <w:t>NA</w:t>
            </w:r>
          </w:p>
        </w:tc>
        <w:tc>
          <w:tcPr>
            <w:tcW w:w="729" w:type="pct"/>
            <w:shd w:val="clear" w:color="auto" w:fill="auto"/>
            <w:vAlign w:val="center"/>
          </w:tcPr>
          <w:p w14:paraId="3EEDD9B4" w14:textId="77777777" w:rsidR="002C1266" w:rsidRPr="00CF2BEB" w:rsidRDefault="002C1266" w:rsidP="00C9452D">
            <w:pPr>
              <w:pStyle w:val="TableText0"/>
              <w:jc w:val="center"/>
            </w:pPr>
            <w:r>
              <w:t>NA</w:t>
            </w:r>
          </w:p>
        </w:tc>
        <w:tc>
          <w:tcPr>
            <w:tcW w:w="729" w:type="pct"/>
            <w:shd w:val="clear" w:color="auto" w:fill="auto"/>
            <w:vAlign w:val="center"/>
          </w:tcPr>
          <w:p w14:paraId="45C5A502" w14:textId="1103CBBA" w:rsidR="002C1266" w:rsidRPr="00CD1398" w:rsidRDefault="002C1266" w:rsidP="2BCE08C6">
            <w:pPr>
              <w:pStyle w:val="TableText0"/>
              <w:jc w:val="center"/>
              <w:rPr>
                <w:vertAlign w:val="superscript"/>
              </w:rPr>
            </w:pPr>
            <w:r w:rsidRPr="2BCE08C6">
              <w:t xml:space="preserve">11.3 </w:t>
            </w:r>
            <w:proofErr w:type="spellStart"/>
            <w:r w:rsidRPr="2BCE08C6">
              <w:t>months</w:t>
            </w:r>
            <w:r w:rsidRPr="2BCE08C6">
              <w:rPr>
                <w:vertAlign w:val="superscript"/>
              </w:rPr>
              <w:t>h</w:t>
            </w:r>
            <w:proofErr w:type="spellEnd"/>
          </w:p>
        </w:tc>
        <w:tc>
          <w:tcPr>
            <w:tcW w:w="729" w:type="pct"/>
            <w:shd w:val="clear" w:color="auto" w:fill="auto"/>
            <w:vAlign w:val="center"/>
          </w:tcPr>
          <w:p w14:paraId="4A5816AB" w14:textId="77777777" w:rsidR="002C1266" w:rsidRPr="00CF2BEB" w:rsidRDefault="002C1266" w:rsidP="00C9452D">
            <w:pPr>
              <w:pStyle w:val="TableText0"/>
              <w:jc w:val="center"/>
            </w:pPr>
            <w:r>
              <w:t>NR</w:t>
            </w:r>
          </w:p>
        </w:tc>
        <w:tc>
          <w:tcPr>
            <w:tcW w:w="729" w:type="pct"/>
            <w:vAlign w:val="center"/>
          </w:tcPr>
          <w:p w14:paraId="306A68E7" w14:textId="77777777" w:rsidR="002C1266" w:rsidRPr="000568D2" w:rsidRDefault="002C1266" w:rsidP="00C9452D">
            <w:pPr>
              <w:pStyle w:val="TableText0"/>
              <w:jc w:val="center"/>
              <w:rPr>
                <w:vertAlign w:val="superscript"/>
              </w:rPr>
            </w:pPr>
            <w:r>
              <w:t>NR</w:t>
            </w:r>
          </w:p>
        </w:tc>
      </w:tr>
      <w:tr w:rsidR="002C1266" w:rsidRPr="0098262F" w14:paraId="47D36C3C" w14:textId="77777777" w:rsidTr="2BCE08C6">
        <w:trPr>
          <w:cantSplit/>
          <w:jc w:val="center"/>
        </w:trPr>
        <w:tc>
          <w:tcPr>
            <w:tcW w:w="625" w:type="pct"/>
            <w:shd w:val="clear" w:color="auto" w:fill="auto"/>
            <w:vAlign w:val="center"/>
          </w:tcPr>
          <w:p w14:paraId="2D3E3700" w14:textId="77777777" w:rsidR="002C1266" w:rsidRPr="0098262F" w:rsidDel="004D4CF3" w:rsidRDefault="002C1266" w:rsidP="00D131BA">
            <w:pPr>
              <w:pStyle w:val="TableText0"/>
            </w:pPr>
            <w:r>
              <w:t>Number of scripts per year</w:t>
            </w:r>
          </w:p>
        </w:tc>
        <w:tc>
          <w:tcPr>
            <w:tcW w:w="729" w:type="pct"/>
            <w:shd w:val="clear" w:color="auto" w:fill="auto"/>
            <w:vAlign w:val="center"/>
          </w:tcPr>
          <w:p w14:paraId="46D0CAA6" w14:textId="77777777" w:rsidR="002C1266" w:rsidRDefault="002C1266" w:rsidP="00C9452D">
            <w:pPr>
              <w:pStyle w:val="TableText0"/>
              <w:jc w:val="center"/>
            </w:pPr>
            <w:r>
              <w:t>5</w:t>
            </w:r>
          </w:p>
        </w:tc>
        <w:tc>
          <w:tcPr>
            <w:tcW w:w="729" w:type="pct"/>
            <w:shd w:val="clear" w:color="auto" w:fill="auto"/>
            <w:vAlign w:val="center"/>
          </w:tcPr>
          <w:p w14:paraId="52FB1F5D" w14:textId="77777777" w:rsidR="002C1266" w:rsidDel="00C437AD" w:rsidRDefault="002C1266" w:rsidP="00C9452D">
            <w:pPr>
              <w:pStyle w:val="TableText0"/>
              <w:jc w:val="center"/>
            </w:pPr>
            <w:r>
              <w:t>13</w:t>
            </w:r>
          </w:p>
        </w:tc>
        <w:tc>
          <w:tcPr>
            <w:tcW w:w="729" w:type="pct"/>
            <w:shd w:val="clear" w:color="auto" w:fill="auto"/>
            <w:vAlign w:val="center"/>
          </w:tcPr>
          <w:p w14:paraId="06EF238E" w14:textId="77777777" w:rsidR="002C1266" w:rsidDel="00C437AD" w:rsidRDefault="002C1266" w:rsidP="00C9452D">
            <w:pPr>
              <w:pStyle w:val="TableText0"/>
              <w:jc w:val="center"/>
            </w:pPr>
            <w:r>
              <w:t>9.6</w:t>
            </w:r>
            <w:r>
              <w:rPr>
                <w:vertAlign w:val="superscript"/>
              </w:rPr>
              <w:t>f</w:t>
            </w:r>
          </w:p>
        </w:tc>
        <w:tc>
          <w:tcPr>
            <w:tcW w:w="729" w:type="pct"/>
            <w:shd w:val="clear" w:color="auto" w:fill="auto"/>
            <w:vAlign w:val="center"/>
          </w:tcPr>
          <w:p w14:paraId="1F33C03A" w14:textId="77777777" w:rsidR="002C1266" w:rsidRPr="009246B6" w:rsidRDefault="002C1266" w:rsidP="00C9452D">
            <w:pPr>
              <w:pStyle w:val="TableText0"/>
              <w:jc w:val="center"/>
              <w:rPr>
                <w:vertAlign w:val="superscript"/>
              </w:rPr>
            </w:pPr>
            <w:r>
              <w:t>12.3</w:t>
            </w:r>
          </w:p>
        </w:tc>
        <w:tc>
          <w:tcPr>
            <w:tcW w:w="729" w:type="pct"/>
            <w:shd w:val="clear" w:color="auto" w:fill="auto"/>
            <w:vAlign w:val="center"/>
          </w:tcPr>
          <w:p w14:paraId="1F62290B" w14:textId="77777777" w:rsidR="002C1266" w:rsidRDefault="002C1266" w:rsidP="00C9452D">
            <w:pPr>
              <w:pStyle w:val="TableText0"/>
              <w:jc w:val="center"/>
            </w:pPr>
            <w:r>
              <w:t>13</w:t>
            </w:r>
          </w:p>
        </w:tc>
        <w:tc>
          <w:tcPr>
            <w:tcW w:w="729" w:type="pct"/>
            <w:vAlign w:val="center"/>
          </w:tcPr>
          <w:p w14:paraId="13CD58C6" w14:textId="77777777" w:rsidR="002C1266" w:rsidRDefault="002C1266" w:rsidP="00C9452D">
            <w:pPr>
              <w:pStyle w:val="TableText0"/>
              <w:jc w:val="center"/>
            </w:pPr>
            <w:r>
              <w:t>9.6</w:t>
            </w:r>
            <w:r>
              <w:rPr>
                <w:vertAlign w:val="superscript"/>
              </w:rPr>
              <w:t xml:space="preserve"> f</w:t>
            </w:r>
          </w:p>
        </w:tc>
      </w:tr>
      <w:tr w:rsidR="002C1266" w:rsidRPr="0098262F" w14:paraId="12A43884" w14:textId="77777777" w:rsidTr="2BCE08C6">
        <w:trPr>
          <w:cantSplit/>
          <w:jc w:val="center"/>
        </w:trPr>
        <w:tc>
          <w:tcPr>
            <w:tcW w:w="625" w:type="pct"/>
            <w:shd w:val="clear" w:color="auto" w:fill="auto"/>
            <w:vAlign w:val="center"/>
          </w:tcPr>
          <w:p w14:paraId="14EC1E81" w14:textId="77777777" w:rsidR="002C1266" w:rsidRDefault="002C1266" w:rsidP="00D131BA">
            <w:pPr>
              <w:pStyle w:val="TableText0"/>
            </w:pPr>
            <w:r w:rsidRPr="0098262F">
              <w:t>Cost/patient/</w:t>
            </w:r>
          </w:p>
          <w:p w14:paraId="415AF322" w14:textId="77777777" w:rsidR="002C1266" w:rsidRPr="0098262F" w:rsidRDefault="002C1266" w:rsidP="00D131BA">
            <w:pPr>
              <w:pStyle w:val="TableText0"/>
            </w:pPr>
            <w:r w:rsidRPr="0098262F">
              <w:t xml:space="preserve">year </w:t>
            </w:r>
          </w:p>
        </w:tc>
        <w:tc>
          <w:tcPr>
            <w:tcW w:w="729" w:type="pct"/>
            <w:shd w:val="clear" w:color="auto" w:fill="auto"/>
            <w:vAlign w:val="center"/>
          </w:tcPr>
          <w:p w14:paraId="592E4900" w14:textId="77777777" w:rsidR="002C1266" w:rsidRPr="00005769" w:rsidRDefault="002C1266" w:rsidP="00C9452D">
            <w:pPr>
              <w:pStyle w:val="TableText0"/>
              <w:jc w:val="center"/>
            </w:pPr>
            <w:r>
              <w:t>$10,236.35</w:t>
            </w:r>
            <w:r>
              <w:rPr>
                <w:vertAlign w:val="superscript"/>
              </w:rPr>
              <w:t>c</w:t>
            </w:r>
          </w:p>
        </w:tc>
        <w:tc>
          <w:tcPr>
            <w:tcW w:w="729" w:type="pct"/>
            <w:shd w:val="clear" w:color="auto" w:fill="auto"/>
            <w:vAlign w:val="center"/>
          </w:tcPr>
          <w:p w14:paraId="5FB3632F" w14:textId="77777777" w:rsidR="002C1266" w:rsidRPr="00F27FF0" w:rsidRDefault="002C1266" w:rsidP="00C9452D">
            <w:pPr>
              <w:pStyle w:val="TableText0"/>
              <w:jc w:val="center"/>
              <w:rPr>
                <w:vertAlign w:val="superscript"/>
              </w:rPr>
            </w:pPr>
            <w:r w:rsidRPr="00DE23E3">
              <w:t>$</w:t>
            </w:r>
            <w:r>
              <w:t>21,268.52</w:t>
            </w:r>
            <w:r>
              <w:rPr>
                <w:vertAlign w:val="superscript"/>
              </w:rPr>
              <w:t>e</w:t>
            </w:r>
          </w:p>
        </w:tc>
        <w:tc>
          <w:tcPr>
            <w:tcW w:w="729" w:type="pct"/>
            <w:shd w:val="clear" w:color="auto" w:fill="auto"/>
            <w:vAlign w:val="center"/>
          </w:tcPr>
          <w:p w14:paraId="7FF0E846" w14:textId="77777777" w:rsidR="002C1266" w:rsidRPr="00056CA2" w:rsidRDefault="002C1266" w:rsidP="00C9452D">
            <w:pPr>
              <w:pStyle w:val="TableText0"/>
              <w:jc w:val="center"/>
              <w:rPr>
                <w:vertAlign w:val="superscript"/>
              </w:rPr>
            </w:pPr>
            <w:r w:rsidRPr="00845890">
              <w:t>$15,170</w:t>
            </w:r>
            <w:r>
              <w:rPr>
                <w:vertAlign w:val="superscript"/>
              </w:rPr>
              <w:t>g</w:t>
            </w:r>
          </w:p>
        </w:tc>
        <w:tc>
          <w:tcPr>
            <w:tcW w:w="729" w:type="pct"/>
            <w:shd w:val="clear" w:color="auto" w:fill="auto"/>
            <w:vAlign w:val="center"/>
          </w:tcPr>
          <w:p w14:paraId="580BBC57" w14:textId="77777777" w:rsidR="002C1266" w:rsidRPr="007B5A79" w:rsidRDefault="002C1266" w:rsidP="2BCE08C6">
            <w:pPr>
              <w:pStyle w:val="Tabletext"/>
              <w:jc w:val="center"/>
              <w:rPr>
                <w:vertAlign w:val="superscript"/>
              </w:rPr>
            </w:pPr>
            <w:r w:rsidRPr="2BCE08C6">
              <w:t>$19,353</w:t>
            </w:r>
            <w:r w:rsidRPr="2BCE08C6">
              <w:rPr>
                <w:vertAlign w:val="superscript"/>
              </w:rPr>
              <w:t xml:space="preserve"> </w:t>
            </w:r>
            <w:proofErr w:type="spellStart"/>
            <w:r w:rsidRPr="2BCE08C6">
              <w:rPr>
                <w:vertAlign w:val="superscript"/>
              </w:rPr>
              <w:t>i</w:t>
            </w:r>
            <w:proofErr w:type="spellEnd"/>
          </w:p>
        </w:tc>
        <w:tc>
          <w:tcPr>
            <w:tcW w:w="729" w:type="pct"/>
            <w:shd w:val="clear" w:color="auto" w:fill="auto"/>
            <w:vAlign w:val="center"/>
          </w:tcPr>
          <w:p w14:paraId="554539A2" w14:textId="77777777" w:rsidR="002C1266" w:rsidRPr="00A07F16" w:rsidRDefault="002C1266" w:rsidP="2BCE08C6">
            <w:pPr>
              <w:pStyle w:val="TableText0"/>
              <w:jc w:val="center"/>
              <w:rPr>
                <w:vertAlign w:val="superscript"/>
              </w:rPr>
            </w:pPr>
            <w:r w:rsidRPr="2BCE08C6">
              <w:t>$20,552</w:t>
            </w:r>
            <w:r w:rsidRPr="2BCE08C6">
              <w:rPr>
                <w:vertAlign w:val="superscript"/>
              </w:rPr>
              <w:t xml:space="preserve"> </w:t>
            </w:r>
            <w:proofErr w:type="spellStart"/>
            <w:r w:rsidRPr="2BCE08C6">
              <w:rPr>
                <w:vertAlign w:val="superscript"/>
              </w:rPr>
              <w:t>i</w:t>
            </w:r>
            <w:proofErr w:type="spellEnd"/>
          </w:p>
        </w:tc>
        <w:tc>
          <w:tcPr>
            <w:tcW w:w="729" w:type="pct"/>
            <w:vAlign w:val="center"/>
          </w:tcPr>
          <w:p w14:paraId="5BC0E87F" w14:textId="77777777" w:rsidR="002C1266" w:rsidRPr="00DE0E2F" w:rsidRDefault="002C1266" w:rsidP="2BCE08C6">
            <w:pPr>
              <w:pStyle w:val="TableText0"/>
              <w:jc w:val="center"/>
              <w:rPr>
                <w:vertAlign w:val="superscript"/>
              </w:rPr>
            </w:pPr>
            <w:r w:rsidRPr="2BCE08C6">
              <w:t>$15,177</w:t>
            </w:r>
            <w:r w:rsidRPr="2BCE08C6">
              <w:rPr>
                <w:vertAlign w:val="superscript"/>
              </w:rPr>
              <w:t xml:space="preserve"> </w:t>
            </w:r>
            <w:proofErr w:type="spellStart"/>
            <w:r w:rsidRPr="2BCE08C6">
              <w:rPr>
                <w:vertAlign w:val="superscript"/>
              </w:rPr>
              <w:t>i</w:t>
            </w:r>
            <w:proofErr w:type="spellEnd"/>
          </w:p>
        </w:tc>
      </w:tr>
    </w:tbl>
    <w:p w14:paraId="4118D467" w14:textId="77777777" w:rsidR="002C1266" w:rsidRPr="0098262F" w:rsidRDefault="002C1266" w:rsidP="00622CBF">
      <w:pPr>
        <w:pStyle w:val="FooterTableFigure"/>
      </w:pPr>
      <w:r w:rsidRPr="0098262F">
        <w:t xml:space="preserve">Source: </w:t>
      </w:r>
      <w:r>
        <w:t>Compiled during the evaluation based on data presented in the submission</w:t>
      </w:r>
    </w:p>
    <w:p w14:paraId="709952F3" w14:textId="77777777" w:rsidR="002C1266" w:rsidRDefault="002C1266" w:rsidP="00622CBF">
      <w:pPr>
        <w:pStyle w:val="FooterTableFigure"/>
        <w:rPr>
          <w:vertAlign w:val="superscript"/>
        </w:rPr>
      </w:pPr>
      <w:r>
        <w:t>CMA, cost minimisation analysis; NA, not applicable; NR, not reported; Q4W, every 4 weeks.</w:t>
      </w:r>
    </w:p>
    <w:p w14:paraId="451024D2" w14:textId="72AD9AA4" w:rsidR="002C1266" w:rsidRDefault="002C1266" w:rsidP="00622CBF">
      <w:pPr>
        <w:pStyle w:val="FooterTableFigure"/>
      </w:pPr>
      <w:proofErr w:type="spellStart"/>
      <w:proofErr w:type="gramStart"/>
      <w:r w:rsidRPr="2BCE08C6">
        <w:rPr>
          <w:vertAlign w:val="superscript"/>
        </w:rPr>
        <w:t>a</w:t>
      </w:r>
      <w:proofErr w:type="spellEnd"/>
      <w:proofErr w:type="gramEnd"/>
      <w:r w:rsidRPr="2BCE08C6">
        <w:t xml:space="preserve"> Estimated based on POLYP and POLYP 2 trial populations</w:t>
      </w:r>
    </w:p>
    <w:p w14:paraId="17615F8A" w14:textId="77777777" w:rsidR="002C1266" w:rsidRDefault="002C1266" w:rsidP="00622CBF">
      <w:pPr>
        <w:pStyle w:val="FooterTableFigure"/>
      </w:pPr>
      <w:r>
        <w:rPr>
          <w:vertAlign w:val="superscript"/>
        </w:rPr>
        <w:t xml:space="preserve">b </w:t>
      </w:r>
      <w:r>
        <w:t>Mean treatment duration of POLYP trials over 24-week treatment duration</w:t>
      </w:r>
    </w:p>
    <w:p w14:paraId="0D9ADD0B" w14:textId="77777777" w:rsidR="002C1266" w:rsidRPr="00827F5B" w:rsidRDefault="002C1266" w:rsidP="00622CBF">
      <w:pPr>
        <w:pStyle w:val="FooterTableFigure"/>
      </w:pPr>
      <w:r>
        <w:rPr>
          <w:vertAlign w:val="superscript"/>
        </w:rPr>
        <w:t>c</w:t>
      </w:r>
      <w:r>
        <w:t xml:space="preserve"> Calculated using weighted DPMQ (75 mg $411.23; 150 mg $818.02) and number of scripts ([2 x $818.02 + $411.23] x 5)</w:t>
      </w:r>
    </w:p>
    <w:p w14:paraId="091EB369" w14:textId="77777777" w:rsidR="002C1266" w:rsidRDefault="002C1266" w:rsidP="00622CBF">
      <w:pPr>
        <w:pStyle w:val="FooterTableFigure"/>
      </w:pPr>
      <w:r>
        <w:rPr>
          <w:vertAlign w:val="superscript"/>
        </w:rPr>
        <w:t>d</w:t>
      </w:r>
      <w:r>
        <w:t xml:space="preserve"> Estimated based on POLYP 1 and POLYP 2 trial populations excluding those with &gt;750 mg per 4-weekly cycle (as per PI recommendation)</w:t>
      </w:r>
    </w:p>
    <w:p w14:paraId="79D57066" w14:textId="77777777" w:rsidR="002C1266" w:rsidRDefault="002C1266" w:rsidP="00622CBF">
      <w:pPr>
        <w:pStyle w:val="FooterTableFigure"/>
      </w:pPr>
      <w:r>
        <w:rPr>
          <w:vertAlign w:val="superscript"/>
        </w:rPr>
        <w:t>e</w:t>
      </w:r>
      <w:r>
        <w:t xml:space="preserve"> Calculated using weighted DPMQ (75 mg $411.23; 150 mg $818.02) and number of scripts ([2 x $818.02] x 13)</w:t>
      </w:r>
    </w:p>
    <w:p w14:paraId="5CD65380" w14:textId="77777777" w:rsidR="00622CBF" w:rsidRDefault="002C1266" w:rsidP="00622CBF">
      <w:pPr>
        <w:pStyle w:val="FooterTableFigure"/>
      </w:pPr>
      <w:r w:rsidRPr="2BCE08C6">
        <w:rPr>
          <w:vertAlign w:val="superscript"/>
        </w:rPr>
        <w:t>f</w:t>
      </w:r>
      <w:r w:rsidRPr="2BCE08C6">
        <w:t xml:space="preserve"> Number of scripts considered to be appropriate by the PBAC for mepolizumab November 2022 PSD based on compliance rate of 94.6% and a response rate of 72.6%.</w:t>
      </w:r>
    </w:p>
    <w:p w14:paraId="0C45EE2C" w14:textId="2EAF144D" w:rsidR="002C1266" w:rsidRPr="00473C8C" w:rsidRDefault="002C1266" w:rsidP="00622CBF">
      <w:pPr>
        <w:pStyle w:val="FooterTableFigure"/>
      </w:pPr>
      <w:r w:rsidRPr="2BCE08C6">
        <w:rPr>
          <w:vertAlign w:val="superscript"/>
        </w:rPr>
        <w:t>g</w:t>
      </w:r>
      <w:r w:rsidRPr="2BCE08C6">
        <w:t xml:space="preserve"> Calculated based using weighted DPMQ multiply by 9.6 mepolizumab equivalent scripts (i.e. 0.024 of 75 mg and 1 of 150 mg omalizumab script is equivalent to 1 mepolizumab script)</w:t>
      </w:r>
    </w:p>
    <w:p w14:paraId="71CEBDDC" w14:textId="77777777" w:rsidR="002C1266" w:rsidRDefault="002C1266" w:rsidP="00622CBF">
      <w:pPr>
        <w:pStyle w:val="FooterTableFigure"/>
      </w:pPr>
      <w:r>
        <w:rPr>
          <w:vertAlign w:val="superscript"/>
        </w:rPr>
        <w:t>h</w:t>
      </w:r>
      <w:r>
        <w:t xml:space="preserve"> Derived from Table 16, para 6.54, mepolizumab, PSD, November 2022 PBAC meeting</w:t>
      </w:r>
    </w:p>
    <w:p w14:paraId="2356A3C0" w14:textId="77777777" w:rsidR="002C1266" w:rsidRPr="000568D2" w:rsidRDefault="002C1266" w:rsidP="00622CBF">
      <w:pPr>
        <w:pStyle w:val="FooterTableFigure"/>
      </w:pPr>
      <w:proofErr w:type="spellStart"/>
      <w:r w:rsidRPr="2BCE08C6">
        <w:rPr>
          <w:vertAlign w:val="superscript"/>
        </w:rPr>
        <w:t>i</w:t>
      </w:r>
      <w:proofErr w:type="spellEnd"/>
      <w:r w:rsidRPr="2BCE08C6">
        <w:rPr>
          <w:vertAlign w:val="superscript"/>
        </w:rPr>
        <w:t xml:space="preserve"> </w:t>
      </w:r>
      <w:r w:rsidRPr="2BCE08C6">
        <w:t>Calculated using weighted (public/private split of 48.63/51.37%) published DPMQ for mepolizumab</w:t>
      </w:r>
    </w:p>
    <w:p w14:paraId="7453E8E9" w14:textId="77777777" w:rsidR="002C1266" w:rsidRPr="0098262F" w:rsidRDefault="002C1266" w:rsidP="002C1266">
      <w:pPr>
        <w:pStyle w:val="4-SubsectionHeading"/>
      </w:pPr>
      <w:bookmarkStart w:id="70" w:name="_Toc22897647"/>
      <w:bookmarkStart w:id="71" w:name="_Toc193290753"/>
      <w:r w:rsidRPr="0098262F">
        <w:t>Estimated PBS usage &amp; financial implications</w:t>
      </w:r>
      <w:bookmarkEnd w:id="70"/>
      <w:bookmarkEnd w:id="71"/>
    </w:p>
    <w:p w14:paraId="521B2C1A" w14:textId="5639F279" w:rsidR="002C1266" w:rsidRPr="00FA76A0" w:rsidRDefault="002C1266" w:rsidP="002C1266">
      <w:pPr>
        <w:pStyle w:val="3-BodyText"/>
        <w:rPr>
          <w:color w:val="0066FF"/>
        </w:rPr>
      </w:pPr>
      <w:r w:rsidRPr="0098262F">
        <w:t xml:space="preserve">This submission </w:t>
      </w:r>
      <w:r w:rsidR="0011251E">
        <w:t>was not</w:t>
      </w:r>
      <w:r w:rsidRPr="0098262F">
        <w:t xml:space="preserve"> considered by DUSC</w:t>
      </w:r>
      <w:r w:rsidRPr="00CB454E">
        <w:t xml:space="preserve">. </w:t>
      </w:r>
    </w:p>
    <w:p w14:paraId="7777CC37" w14:textId="44A7C59B" w:rsidR="002C1266" w:rsidRPr="00322595" w:rsidRDefault="002C1266" w:rsidP="2BCE08C6">
      <w:pPr>
        <w:pStyle w:val="3-BodyText"/>
        <w:rPr>
          <w:color w:val="0066FF"/>
        </w:rPr>
      </w:pPr>
      <w:r w:rsidRPr="2BCE08C6">
        <w:t xml:space="preserve">The submission used an epidemiological approach to estimate the predicted use and cost of requested listing of omalizumab for </w:t>
      </w:r>
      <w:proofErr w:type="spellStart"/>
      <w:r w:rsidRPr="2BCE08C6">
        <w:t>CRSwNP</w:t>
      </w:r>
      <w:proofErr w:type="spellEnd"/>
      <w:r w:rsidRPr="2BCE08C6">
        <w:t>. The submission noted that limited utilisation data is available for mepolizumab as it was only listed on the PBS in April 2023, which made a market share approach based on utilisation data unreliable. The approach therefore included reproduction of the financial estimates based on PBAC’s consideration of mepolizumab in the November 2022 meeting and an additional analysis to account for patients that would not meet mepolizumab’s PBS criteria but would be eligible for omalizumab based on the proposed PBS restriction.</w:t>
      </w:r>
    </w:p>
    <w:p w14:paraId="49E253F7" w14:textId="0DAA8EF0" w:rsidR="002C1266" w:rsidRPr="0097121A" w:rsidRDefault="002C1266" w:rsidP="2BCE08C6">
      <w:pPr>
        <w:pStyle w:val="3-BodyText"/>
        <w:rPr>
          <w:color w:val="0066FF"/>
        </w:rPr>
      </w:pPr>
      <w:r w:rsidRPr="2BCE08C6">
        <w:t>In order to account for the expanded population (patients with BEC &lt;300</w:t>
      </w:r>
      <w:r w:rsidR="00CB4AB4">
        <w:t> </w:t>
      </w:r>
      <w:r w:rsidRPr="2BCE08C6">
        <w:t>cells/µL and IgE ≥30 IU/m</w:t>
      </w:r>
      <w:r w:rsidR="00E824DF" w:rsidRPr="2BCE08C6">
        <w:t>L</w:t>
      </w:r>
      <w:r w:rsidRPr="2BCE08C6">
        <w:t>), the submission requested upward adjustments to the current RSA cap amounts for mepolizumab if omalizumab were to enter the same RSA.</w:t>
      </w:r>
    </w:p>
    <w:p w14:paraId="0ABBF97C" w14:textId="3C42A466" w:rsidR="002C1266" w:rsidRDefault="002C1266" w:rsidP="002C1266">
      <w:pPr>
        <w:pStyle w:val="3-BodyText"/>
      </w:pPr>
      <w:r>
        <w:lastRenderedPageBreak/>
        <w:t xml:space="preserve">The key inputs used in the financial analysis are summarised in </w:t>
      </w:r>
      <w:r>
        <w:rPr>
          <w:highlight w:val="yellow"/>
        </w:rPr>
        <w:fldChar w:fldCharType="begin"/>
      </w:r>
      <w:r>
        <w:instrText xml:space="preserve"> REF _Ref190123456 \h </w:instrText>
      </w:r>
      <w:r>
        <w:rPr>
          <w:highlight w:val="yellow"/>
        </w:rPr>
      </w:r>
      <w:r>
        <w:rPr>
          <w:highlight w:val="yellow"/>
        </w:rPr>
        <w:fldChar w:fldCharType="separate"/>
      </w:r>
      <w:r w:rsidR="00CE52BF">
        <w:t xml:space="preserve">Table </w:t>
      </w:r>
      <w:r w:rsidR="00CE52BF">
        <w:rPr>
          <w:noProof/>
        </w:rPr>
        <w:t>16</w:t>
      </w:r>
      <w:r>
        <w:rPr>
          <w:highlight w:val="yellow"/>
        </w:rPr>
        <w:fldChar w:fldCharType="end"/>
      </w:r>
      <w:r>
        <w:t>.</w:t>
      </w:r>
    </w:p>
    <w:p w14:paraId="685EB9D9" w14:textId="17F36BBA" w:rsidR="002C1266" w:rsidRPr="0056684A" w:rsidRDefault="002C1266" w:rsidP="008D2227">
      <w:pPr>
        <w:pStyle w:val="Caption"/>
        <w:keepLines w:val="0"/>
        <w:jc w:val="left"/>
        <w:rPr>
          <w:rStyle w:val="CommentReference"/>
          <w:b/>
          <w:szCs w:val="18"/>
        </w:rPr>
      </w:pPr>
      <w:bookmarkStart w:id="72" w:name="_Ref190123456"/>
      <w:r>
        <w:t xml:space="preserve">Table </w:t>
      </w:r>
      <w:r>
        <w:fldChar w:fldCharType="begin"/>
      </w:r>
      <w:r>
        <w:instrText>SEQ Table \* ARABIC</w:instrText>
      </w:r>
      <w:r>
        <w:fldChar w:fldCharType="separate"/>
      </w:r>
      <w:r w:rsidR="00CE52BF">
        <w:rPr>
          <w:noProof/>
        </w:rPr>
        <w:t>16</w:t>
      </w:r>
      <w:r>
        <w:fldChar w:fldCharType="end"/>
      </w:r>
      <w:bookmarkEnd w:id="72"/>
      <w:r>
        <w:t xml:space="preserve">: </w:t>
      </w:r>
      <w:r w:rsidRPr="0098262F">
        <w:rPr>
          <w:rStyle w:val="CommentReference"/>
          <w:b/>
          <w:szCs w:val="24"/>
        </w:rPr>
        <w:t>Data sources and parameter values applied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2410"/>
        <w:gridCol w:w="3798"/>
      </w:tblGrid>
      <w:tr w:rsidR="002C1266" w:rsidRPr="0098262F" w14:paraId="0BC103A6" w14:textId="77777777" w:rsidTr="2BCE08C6">
        <w:trPr>
          <w:tblHeader/>
        </w:trPr>
        <w:tc>
          <w:tcPr>
            <w:tcW w:w="1413" w:type="dxa"/>
          </w:tcPr>
          <w:p w14:paraId="150CB5B1" w14:textId="77777777" w:rsidR="002C1266" w:rsidRPr="0098262F" w:rsidRDefault="002C1266" w:rsidP="008D2227">
            <w:pPr>
              <w:pStyle w:val="In-tableHeading"/>
              <w:keepLines w:val="0"/>
              <w:jc w:val="center"/>
              <w:rPr>
                <w:lang w:val="en-AU"/>
              </w:rPr>
            </w:pPr>
            <w:r w:rsidRPr="0098262F">
              <w:rPr>
                <w:lang w:val="en-AU"/>
              </w:rPr>
              <w:t>Data</w:t>
            </w:r>
          </w:p>
        </w:tc>
        <w:tc>
          <w:tcPr>
            <w:tcW w:w="1559" w:type="dxa"/>
          </w:tcPr>
          <w:p w14:paraId="23A30472" w14:textId="77777777" w:rsidR="002C1266" w:rsidRPr="0098262F" w:rsidRDefault="002C1266" w:rsidP="008D2227">
            <w:pPr>
              <w:pStyle w:val="In-tableHeading"/>
              <w:keepLines w:val="0"/>
              <w:jc w:val="center"/>
              <w:rPr>
                <w:lang w:val="en-AU"/>
              </w:rPr>
            </w:pPr>
            <w:r w:rsidRPr="0098262F">
              <w:rPr>
                <w:lang w:val="en-AU"/>
              </w:rPr>
              <w:t>Value</w:t>
            </w:r>
          </w:p>
        </w:tc>
        <w:tc>
          <w:tcPr>
            <w:tcW w:w="2410" w:type="dxa"/>
          </w:tcPr>
          <w:p w14:paraId="3FEE4548" w14:textId="77777777" w:rsidR="002C1266" w:rsidRPr="0098262F" w:rsidRDefault="002C1266" w:rsidP="008D2227">
            <w:pPr>
              <w:pStyle w:val="In-tableHeading"/>
              <w:keepLines w:val="0"/>
              <w:jc w:val="center"/>
              <w:rPr>
                <w:lang w:val="en-AU"/>
              </w:rPr>
            </w:pPr>
            <w:r w:rsidRPr="0098262F">
              <w:rPr>
                <w:lang w:val="en-AU"/>
              </w:rPr>
              <w:t>Source</w:t>
            </w:r>
          </w:p>
        </w:tc>
        <w:tc>
          <w:tcPr>
            <w:tcW w:w="3798" w:type="dxa"/>
          </w:tcPr>
          <w:p w14:paraId="32E4BA04" w14:textId="2872CDFE" w:rsidR="002C1266" w:rsidRPr="0098262F" w:rsidRDefault="002C1266" w:rsidP="008D2227">
            <w:pPr>
              <w:pStyle w:val="In-tableHeading"/>
              <w:keepLines w:val="0"/>
              <w:jc w:val="center"/>
              <w:rPr>
                <w:lang w:val="en-AU"/>
              </w:rPr>
            </w:pPr>
            <w:r w:rsidRPr="0098262F">
              <w:rPr>
                <w:lang w:val="en-AU"/>
              </w:rPr>
              <w:t>Comment</w:t>
            </w:r>
          </w:p>
        </w:tc>
      </w:tr>
      <w:tr w:rsidR="002C1266" w:rsidRPr="00BB67AC" w14:paraId="0131FA2C" w14:textId="77777777" w:rsidTr="2BCE08C6">
        <w:tc>
          <w:tcPr>
            <w:tcW w:w="9180" w:type="dxa"/>
            <w:gridSpan w:val="4"/>
          </w:tcPr>
          <w:p w14:paraId="06B5A2C4" w14:textId="77777777" w:rsidR="002C1266" w:rsidRPr="00BB67AC" w:rsidRDefault="002C1266" w:rsidP="008D2227">
            <w:pPr>
              <w:pStyle w:val="In-tableHeading"/>
              <w:keepLines w:val="0"/>
              <w:rPr>
                <w:lang w:val="fr-CA"/>
              </w:rPr>
            </w:pPr>
            <w:proofErr w:type="spellStart"/>
            <w:r w:rsidRPr="00BB67AC">
              <w:rPr>
                <w:lang w:val="fr-CA"/>
              </w:rPr>
              <w:t>Eligible</w:t>
            </w:r>
            <w:proofErr w:type="spellEnd"/>
            <w:r w:rsidRPr="00BB67AC">
              <w:rPr>
                <w:lang w:val="fr-CA"/>
              </w:rPr>
              <w:t xml:space="preserve"> population</w:t>
            </w:r>
          </w:p>
        </w:tc>
      </w:tr>
      <w:tr w:rsidR="002C1266" w:rsidRPr="0098262F" w14:paraId="5A7A4608" w14:textId="77777777" w:rsidTr="2BCE08C6">
        <w:tc>
          <w:tcPr>
            <w:tcW w:w="1413" w:type="dxa"/>
          </w:tcPr>
          <w:p w14:paraId="7557099A" w14:textId="77777777" w:rsidR="002C1266" w:rsidRPr="0098262F" w:rsidRDefault="002C1266" w:rsidP="008D2227">
            <w:pPr>
              <w:pStyle w:val="TableText0"/>
              <w:keepNext/>
            </w:pPr>
            <w:r w:rsidRPr="2BCE08C6">
              <w:t xml:space="preserve">Prevalence rate of </w:t>
            </w:r>
            <w:proofErr w:type="spellStart"/>
            <w:r w:rsidRPr="2BCE08C6">
              <w:t>CRSwNP</w:t>
            </w:r>
            <w:proofErr w:type="spellEnd"/>
            <w:r w:rsidRPr="2BCE08C6">
              <w:t xml:space="preserve"> </w:t>
            </w:r>
          </w:p>
        </w:tc>
        <w:tc>
          <w:tcPr>
            <w:tcW w:w="1559" w:type="dxa"/>
          </w:tcPr>
          <w:p w14:paraId="27184BD0" w14:textId="77777777" w:rsidR="002C1266" w:rsidRPr="0098262F" w:rsidRDefault="002C1266" w:rsidP="008D2227">
            <w:pPr>
              <w:pStyle w:val="TableText0"/>
              <w:keepNext/>
              <w:jc w:val="center"/>
            </w:pPr>
            <w:r>
              <w:t>0.51%</w:t>
            </w:r>
          </w:p>
        </w:tc>
        <w:tc>
          <w:tcPr>
            <w:tcW w:w="2410" w:type="dxa"/>
          </w:tcPr>
          <w:p w14:paraId="6A213B1C" w14:textId="77777777" w:rsidR="002C1266" w:rsidRPr="0098262F" w:rsidRDefault="002C1266" w:rsidP="008D2227">
            <w:pPr>
              <w:pStyle w:val="TableText0"/>
              <w:keepNext/>
            </w:pPr>
            <w:r>
              <w:t>Prevalence rate used in the financial estimates of the mepolizumab November 2022 PSD, which were based on the UK CPRD Starry et al., 2022.</w:t>
            </w:r>
          </w:p>
        </w:tc>
        <w:tc>
          <w:tcPr>
            <w:tcW w:w="3798" w:type="dxa"/>
          </w:tcPr>
          <w:p w14:paraId="17E58521" w14:textId="1F1A0FF3" w:rsidR="002C1266" w:rsidRPr="00D03802" w:rsidRDefault="002C1266" w:rsidP="008D2227">
            <w:pPr>
              <w:pStyle w:val="TableText0"/>
              <w:keepNext/>
              <w:rPr>
                <w:iCs w:val="0"/>
              </w:rPr>
            </w:pPr>
            <w:r w:rsidRPr="00D03802">
              <w:rPr>
                <w:iCs w:val="0"/>
              </w:rPr>
              <w:t>This was</w:t>
            </w:r>
            <w:r w:rsidRPr="00D03802" w:rsidDel="00572871">
              <w:rPr>
                <w:iCs w:val="0"/>
              </w:rPr>
              <w:t xml:space="preserve"> </w:t>
            </w:r>
            <w:r w:rsidRPr="00D03802">
              <w:rPr>
                <w:iCs w:val="0"/>
              </w:rPr>
              <w:t>considered reasonable by the PBAC in the mepolizumab November 2022 PSD (Table 17, para 6.57, mepolizumab, PSD, November 2022 PBAC meeting).</w:t>
            </w:r>
          </w:p>
          <w:p w14:paraId="5B31024D" w14:textId="77777777" w:rsidR="002C1266" w:rsidRPr="00D03802" w:rsidRDefault="002C1266" w:rsidP="008D2227">
            <w:pPr>
              <w:pStyle w:val="TableText0"/>
              <w:keepNext/>
              <w:rPr>
                <w:iCs w:val="0"/>
              </w:rPr>
            </w:pPr>
          </w:p>
          <w:p w14:paraId="02323079" w14:textId="77777777" w:rsidR="002C1266" w:rsidRPr="00087A5B" w:rsidRDefault="002C1266" w:rsidP="008D2227">
            <w:pPr>
              <w:pStyle w:val="TableText0"/>
              <w:keepNext/>
            </w:pPr>
            <w:r w:rsidRPr="00D03802">
              <w:rPr>
                <w:iCs w:val="0"/>
              </w:rPr>
              <w:t>A higher global prevalence rate was noted by ASCIA 2021 and was referenced in Section 1 of the submission (2-4%).</w:t>
            </w:r>
          </w:p>
        </w:tc>
      </w:tr>
      <w:tr w:rsidR="002C1266" w:rsidRPr="0098262F" w14:paraId="03B40645" w14:textId="77777777" w:rsidTr="2BCE08C6">
        <w:tc>
          <w:tcPr>
            <w:tcW w:w="1413" w:type="dxa"/>
          </w:tcPr>
          <w:p w14:paraId="1FDD83F7" w14:textId="77777777" w:rsidR="002C1266" w:rsidRDefault="002C1266" w:rsidP="008D2227">
            <w:pPr>
              <w:pStyle w:val="TableText0"/>
              <w:keepNext/>
            </w:pPr>
            <w:r>
              <w:t>Proportion with BEC ≥300 cells/</w:t>
            </w:r>
            <w:r w:rsidRPr="00B17435">
              <w:t>µL</w:t>
            </w:r>
          </w:p>
        </w:tc>
        <w:tc>
          <w:tcPr>
            <w:tcW w:w="1559" w:type="dxa"/>
          </w:tcPr>
          <w:p w14:paraId="101C6A28" w14:textId="77777777" w:rsidR="002C1266" w:rsidRPr="0098262F" w:rsidRDefault="002C1266" w:rsidP="008D2227">
            <w:pPr>
              <w:pStyle w:val="TableText0"/>
              <w:keepNext/>
              <w:jc w:val="center"/>
            </w:pPr>
            <w:r>
              <w:t>68.3%</w:t>
            </w:r>
          </w:p>
        </w:tc>
        <w:tc>
          <w:tcPr>
            <w:tcW w:w="2410" w:type="dxa"/>
          </w:tcPr>
          <w:p w14:paraId="2D2148B0" w14:textId="77777777" w:rsidR="002C1266" w:rsidRPr="0098262F" w:rsidRDefault="002C1266" w:rsidP="008D2227">
            <w:pPr>
              <w:pStyle w:val="TableText0"/>
              <w:keepNext/>
            </w:pPr>
            <w:r>
              <w:t>Proportion used in the financial estimates of the mepolizumab November 2022 PSD, which were based on the subgroup int the SYNAPSE trial.</w:t>
            </w:r>
          </w:p>
        </w:tc>
        <w:tc>
          <w:tcPr>
            <w:tcW w:w="3798" w:type="dxa"/>
          </w:tcPr>
          <w:p w14:paraId="70EE5EB4" w14:textId="3DF8FDC3" w:rsidR="002C1266" w:rsidRPr="00D03802" w:rsidRDefault="002C1266" w:rsidP="008D2227">
            <w:pPr>
              <w:pStyle w:val="TableText0"/>
              <w:keepNext/>
              <w:rPr>
                <w:iCs w:val="0"/>
              </w:rPr>
            </w:pPr>
            <w:r w:rsidRPr="00D03802">
              <w:rPr>
                <w:iCs w:val="0"/>
              </w:rPr>
              <w:t xml:space="preserve">This was considered reasonable by the PBAC in the mepolizumab November 2022 PSD (Table 17, para 6.57, mepolizumab, PSD, November 2022 PBAC meeting). However, the POLYP </w:t>
            </w:r>
            <w:r w:rsidRPr="00D03802" w:rsidDel="00316D15">
              <w:rPr>
                <w:iCs w:val="0"/>
              </w:rPr>
              <w:t>trials</w:t>
            </w:r>
            <w:r w:rsidRPr="00D03802">
              <w:rPr>
                <w:iCs w:val="0"/>
              </w:rPr>
              <w:t xml:space="preserve"> reported that 50.4% of the participants had BEC &gt;300 cells/µL.</w:t>
            </w:r>
          </w:p>
        </w:tc>
      </w:tr>
      <w:tr w:rsidR="002C1266" w:rsidRPr="0098262F" w14:paraId="133D55B8" w14:textId="77777777" w:rsidTr="2BCE08C6">
        <w:tc>
          <w:tcPr>
            <w:tcW w:w="1413" w:type="dxa"/>
          </w:tcPr>
          <w:p w14:paraId="2C6147AE" w14:textId="77777777" w:rsidR="002C1266" w:rsidRDefault="002C1266" w:rsidP="00D131BA">
            <w:pPr>
              <w:pStyle w:val="TableText0"/>
            </w:pPr>
            <w:r>
              <w:t>Proportion with BEC &lt;300 cells/</w:t>
            </w:r>
            <w:r>
              <w:rPr>
                <w:rFonts w:cstheme="minorHAnsi"/>
              </w:rPr>
              <w:t>µ</w:t>
            </w:r>
            <w:r>
              <w:t>L</w:t>
            </w:r>
          </w:p>
        </w:tc>
        <w:tc>
          <w:tcPr>
            <w:tcW w:w="1559" w:type="dxa"/>
          </w:tcPr>
          <w:p w14:paraId="2B07A40C" w14:textId="77777777" w:rsidR="002C1266" w:rsidRDefault="002C1266" w:rsidP="00292D09">
            <w:pPr>
              <w:pStyle w:val="TableText0"/>
              <w:jc w:val="center"/>
            </w:pPr>
            <w:r>
              <w:t>31.7%</w:t>
            </w:r>
          </w:p>
        </w:tc>
        <w:tc>
          <w:tcPr>
            <w:tcW w:w="2410" w:type="dxa"/>
          </w:tcPr>
          <w:p w14:paraId="5F2D1EEC" w14:textId="77777777" w:rsidR="002C1266" w:rsidRDefault="002C1266" w:rsidP="00D131BA">
            <w:pPr>
              <w:pStyle w:val="TableText0"/>
            </w:pPr>
            <w:r>
              <w:t xml:space="preserve">Calculated using the proportion of patients not included in the “proportion with BEC </w:t>
            </w:r>
            <w:r w:rsidRPr="008C450C">
              <w:t>≥300 cells/</w:t>
            </w:r>
            <w:r>
              <w:rPr>
                <w:rFonts w:cstheme="minorHAnsi"/>
              </w:rPr>
              <w:t>µ</w:t>
            </w:r>
            <w:r>
              <w:t>L” rate (i.e. 100% - 68.3%).</w:t>
            </w:r>
          </w:p>
        </w:tc>
        <w:tc>
          <w:tcPr>
            <w:tcW w:w="3798" w:type="dxa"/>
          </w:tcPr>
          <w:p w14:paraId="61083746" w14:textId="77777777" w:rsidR="002C1266" w:rsidRPr="00D03802" w:rsidRDefault="002C1266" w:rsidP="00D131BA">
            <w:pPr>
              <w:pStyle w:val="TableText0"/>
              <w:rPr>
                <w:iCs w:val="0"/>
              </w:rPr>
            </w:pPr>
            <w:r w:rsidRPr="00D03802">
              <w:rPr>
                <w:iCs w:val="0"/>
              </w:rPr>
              <w:t>This may be underestimated if based on data from the POLYP trials as per above.</w:t>
            </w:r>
          </w:p>
        </w:tc>
      </w:tr>
      <w:tr w:rsidR="002C1266" w:rsidRPr="0098262F" w14:paraId="27D1D095" w14:textId="77777777" w:rsidTr="2BCE08C6">
        <w:tc>
          <w:tcPr>
            <w:tcW w:w="1413" w:type="dxa"/>
          </w:tcPr>
          <w:p w14:paraId="330E2CCA" w14:textId="7B95F380" w:rsidR="002C1266" w:rsidRDefault="002C1266" w:rsidP="00D131BA">
            <w:pPr>
              <w:pStyle w:val="TableText0"/>
            </w:pPr>
            <w:r w:rsidRPr="2BCE08C6">
              <w:t>Proportion with IgE ≥30 IU/m</w:t>
            </w:r>
            <w:r w:rsidR="00E824DF" w:rsidRPr="2BCE08C6">
              <w:t>L</w:t>
            </w:r>
          </w:p>
        </w:tc>
        <w:tc>
          <w:tcPr>
            <w:tcW w:w="1559" w:type="dxa"/>
          </w:tcPr>
          <w:p w14:paraId="41D91D05" w14:textId="77777777" w:rsidR="002C1266" w:rsidRDefault="002C1266" w:rsidP="00292D09">
            <w:pPr>
              <w:pStyle w:val="TableText0"/>
              <w:jc w:val="center"/>
            </w:pPr>
            <w:r>
              <w:t>83%</w:t>
            </w:r>
          </w:p>
        </w:tc>
        <w:tc>
          <w:tcPr>
            <w:tcW w:w="2410" w:type="dxa"/>
          </w:tcPr>
          <w:p w14:paraId="413B2846" w14:textId="3761E899" w:rsidR="002C1266" w:rsidRDefault="002C1266" w:rsidP="00D131BA">
            <w:pPr>
              <w:pStyle w:val="TableText0"/>
            </w:pPr>
            <w:r w:rsidRPr="2BCE08C6">
              <w:t>Calculated using the weighted average of the proportion of patients who failed to meet the inclusion criterion of ‘serum IgE ≥30 IU/m</w:t>
            </w:r>
            <w:r w:rsidR="00E824DF" w:rsidRPr="2BCE08C6">
              <w:t>L</w:t>
            </w:r>
            <w:r w:rsidRPr="2BCE08C6">
              <w:t xml:space="preserve"> to ≤ 1500 IU/m</w:t>
            </w:r>
            <w:r w:rsidR="00E824DF" w:rsidRPr="2BCE08C6">
              <w:t>L</w:t>
            </w:r>
            <w:r w:rsidRPr="2BCE08C6">
              <w:t xml:space="preserve"> and body weight ≥30 to ≤150 kg’ in POLYP 1 (19.4%) and POLYP 2 (14.3%), which was 17% and subtracting this from 100%.</w:t>
            </w:r>
          </w:p>
        </w:tc>
        <w:tc>
          <w:tcPr>
            <w:tcW w:w="3798" w:type="dxa"/>
          </w:tcPr>
          <w:p w14:paraId="1584EF02" w14:textId="01A5A089" w:rsidR="002C1266" w:rsidRPr="00D03802" w:rsidRDefault="002C1266" w:rsidP="2BCE08C6">
            <w:pPr>
              <w:pStyle w:val="TableText0"/>
              <w:rPr>
                <w:iCs w:val="0"/>
              </w:rPr>
            </w:pPr>
            <w:r w:rsidRPr="00D03802">
              <w:rPr>
                <w:iCs w:val="0"/>
              </w:rPr>
              <w:t>This may be underestimated because the patients excluded from the</w:t>
            </w:r>
            <w:r w:rsidR="0097344F" w:rsidRPr="00D03802">
              <w:rPr>
                <w:iCs w:val="0"/>
              </w:rPr>
              <w:t xml:space="preserve"> </w:t>
            </w:r>
            <w:r w:rsidRPr="00D03802">
              <w:rPr>
                <w:iCs w:val="0"/>
              </w:rPr>
              <w:t>POLYP trials based on this criterion w</w:t>
            </w:r>
            <w:r w:rsidR="6D4E4B1D" w:rsidRPr="00D03802">
              <w:rPr>
                <w:iCs w:val="0"/>
              </w:rPr>
              <w:t>ere</w:t>
            </w:r>
            <w:r w:rsidRPr="00D03802">
              <w:rPr>
                <w:iCs w:val="0"/>
              </w:rPr>
              <w:t xml:space="preserve"> not limited to those with IgE &lt;30 IU/</w:t>
            </w:r>
            <w:r w:rsidR="00920DC9" w:rsidRPr="00D03802">
              <w:rPr>
                <w:iCs w:val="0"/>
              </w:rPr>
              <w:t>mL and</w:t>
            </w:r>
            <w:r w:rsidRPr="00D03802">
              <w:rPr>
                <w:iCs w:val="0"/>
              </w:rPr>
              <w:t xml:space="preserve"> included patients with body weight outside the criterion (≥30 to ≤150 kg) or </w:t>
            </w:r>
            <w:proofErr w:type="spellStart"/>
            <w:r w:rsidRPr="00D03802">
              <w:rPr>
                <w:iCs w:val="0"/>
              </w:rPr>
              <w:t>IgE</w:t>
            </w:r>
            <w:proofErr w:type="spellEnd"/>
            <w:r w:rsidRPr="00D03802">
              <w:rPr>
                <w:iCs w:val="0"/>
              </w:rPr>
              <w:t xml:space="preserve"> ≥1500 IU/</w:t>
            </w:r>
            <w:proofErr w:type="spellStart"/>
            <w:r w:rsidRPr="00D03802">
              <w:rPr>
                <w:iCs w:val="0"/>
              </w:rPr>
              <w:t>mL.</w:t>
            </w:r>
            <w:proofErr w:type="spellEnd"/>
          </w:p>
        </w:tc>
      </w:tr>
      <w:tr w:rsidR="002C1266" w:rsidRPr="0098262F" w14:paraId="2D13866C" w14:textId="77777777" w:rsidTr="2BCE08C6">
        <w:tc>
          <w:tcPr>
            <w:tcW w:w="1413" w:type="dxa"/>
          </w:tcPr>
          <w:p w14:paraId="373BA817" w14:textId="77777777" w:rsidR="002C1266" w:rsidRDefault="002C1266" w:rsidP="00D131BA">
            <w:pPr>
              <w:pStyle w:val="TableText0"/>
            </w:pPr>
            <w:r>
              <w:t>Proportion requiring (first) NP surgery</w:t>
            </w:r>
          </w:p>
        </w:tc>
        <w:tc>
          <w:tcPr>
            <w:tcW w:w="1559" w:type="dxa"/>
          </w:tcPr>
          <w:p w14:paraId="06AC4A88" w14:textId="77777777" w:rsidR="002C1266" w:rsidRDefault="002C1266" w:rsidP="00292D09">
            <w:pPr>
              <w:pStyle w:val="TableText0"/>
              <w:jc w:val="center"/>
            </w:pPr>
            <w:r>
              <w:t>47%</w:t>
            </w:r>
          </w:p>
        </w:tc>
        <w:tc>
          <w:tcPr>
            <w:tcW w:w="2410" w:type="dxa"/>
          </w:tcPr>
          <w:p w14:paraId="1AB40486" w14:textId="77777777" w:rsidR="002C1266" w:rsidRDefault="002C1266" w:rsidP="00D131BA">
            <w:pPr>
              <w:pStyle w:val="TableText0"/>
            </w:pPr>
            <w:r>
              <w:t>Proportion used in the financial estimates of the mepolizumab November 2022 PSD, which was based on Chen et al., 2020.</w:t>
            </w:r>
          </w:p>
        </w:tc>
        <w:tc>
          <w:tcPr>
            <w:tcW w:w="3798" w:type="dxa"/>
          </w:tcPr>
          <w:p w14:paraId="071E363D" w14:textId="77777777" w:rsidR="002C1266" w:rsidRPr="00D03802" w:rsidRDefault="002C1266" w:rsidP="00D131BA">
            <w:pPr>
              <w:pStyle w:val="TableText0"/>
              <w:rPr>
                <w:iCs w:val="0"/>
              </w:rPr>
            </w:pPr>
            <w:r w:rsidRPr="00D03802">
              <w:rPr>
                <w:iCs w:val="0"/>
              </w:rPr>
              <w:t xml:space="preserve">The PBAC noted that this may be underestimated due to the potentially unjustified removal of one outlier study from the systematic literature review (Table 17, para 6.57, mepolizumab, PSD, November 2022 PBAC meeting). The POLYP trials reported higher proportions, with 57.2% of all participants in POLYP 1 and 62.2% of all participants in POLYP 2 with prior sinonasal surgery. </w:t>
            </w:r>
          </w:p>
        </w:tc>
      </w:tr>
      <w:tr w:rsidR="002C1266" w:rsidRPr="00016A5F" w14:paraId="092EE85E" w14:textId="77777777" w:rsidTr="2BCE08C6">
        <w:tc>
          <w:tcPr>
            <w:tcW w:w="9180" w:type="dxa"/>
            <w:gridSpan w:val="4"/>
          </w:tcPr>
          <w:p w14:paraId="6118A2EA" w14:textId="77777777" w:rsidR="002C1266" w:rsidRPr="00D03802" w:rsidRDefault="002C1266" w:rsidP="00D131BA">
            <w:pPr>
              <w:pStyle w:val="TableText0"/>
              <w:rPr>
                <w:b/>
                <w:iCs w:val="0"/>
              </w:rPr>
            </w:pPr>
            <w:r w:rsidRPr="00D03802">
              <w:rPr>
                <w:b/>
                <w:iCs w:val="0"/>
              </w:rPr>
              <w:t>Treatment utilisation</w:t>
            </w:r>
          </w:p>
        </w:tc>
      </w:tr>
      <w:tr w:rsidR="002C1266" w:rsidRPr="0098262F" w14:paraId="280D6F8E" w14:textId="77777777" w:rsidTr="2BCE08C6">
        <w:tc>
          <w:tcPr>
            <w:tcW w:w="1413" w:type="dxa"/>
          </w:tcPr>
          <w:p w14:paraId="67950D34" w14:textId="77777777" w:rsidR="002C1266" w:rsidRDefault="002C1266" w:rsidP="00D131BA">
            <w:pPr>
              <w:pStyle w:val="TableText0"/>
            </w:pPr>
            <w:r>
              <w:t>Uptake rate</w:t>
            </w:r>
          </w:p>
        </w:tc>
        <w:tc>
          <w:tcPr>
            <w:tcW w:w="1559" w:type="dxa"/>
          </w:tcPr>
          <w:p w14:paraId="5C28606D" w14:textId="38E0B354" w:rsidR="002C1266" w:rsidRDefault="007F3646" w:rsidP="0010772D">
            <w:pPr>
              <w:pStyle w:val="TableText0"/>
              <w:jc w:val="center"/>
            </w:pPr>
            <w:r w:rsidRPr="000704B3">
              <w:rPr>
                <w:color w:val="000000"/>
                <w:spacing w:val="53"/>
                <w:shd w:val="solid" w:color="000000" w:fill="000000"/>
                <w:fitText w:val="330" w:id="-663525630"/>
                <w14:textFill>
                  <w14:solidFill>
                    <w14:srgbClr w14:val="000000">
                      <w14:alpha w14:val="100000"/>
                    </w14:srgbClr>
                  </w14:solidFill>
                </w14:textFill>
              </w:rPr>
              <w:t>|||</w:t>
            </w:r>
            <w:r w:rsidRPr="000704B3">
              <w:rPr>
                <w:color w:val="000000"/>
                <w:spacing w:val="1"/>
                <w:shd w:val="solid" w:color="000000" w:fill="000000"/>
                <w:fitText w:val="330" w:id="-663525630"/>
                <w14:textFill>
                  <w14:solidFill>
                    <w14:srgbClr w14:val="000000">
                      <w14:alpha w14:val="100000"/>
                    </w14:srgbClr>
                  </w14:solidFill>
                </w14:textFill>
              </w:rPr>
              <w:t>|</w:t>
            </w:r>
            <w:r w:rsidR="002C1266">
              <w:t>%</w:t>
            </w:r>
          </w:p>
        </w:tc>
        <w:tc>
          <w:tcPr>
            <w:tcW w:w="2410" w:type="dxa"/>
          </w:tcPr>
          <w:p w14:paraId="14081BF4" w14:textId="22347311" w:rsidR="002C1266" w:rsidRDefault="002C1266" w:rsidP="00D131BA">
            <w:pPr>
              <w:pStyle w:val="TableText0"/>
            </w:pPr>
            <w:r w:rsidRPr="2BCE08C6">
              <w:t xml:space="preserve">Uptake rate considered by the PBAC to be appropriate across all six years in the mepolizumab November 2022 PSD. </w:t>
            </w:r>
          </w:p>
        </w:tc>
        <w:tc>
          <w:tcPr>
            <w:tcW w:w="3798" w:type="dxa"/>
          </w:tcPr>
          <w:p w14:paraId="162517C4" w14:textId="07EDA333" w:rsidR="002C1266" w:rsidRPr="00D03802" w:rsidRDefault="002C1266" w:rsidP="00D131BA">
            <w:pPr>
              <w:pStyle w:val="TableText0"/>
              <w:rPr>
                <w:iCs w:val="0"/>
              </w:rPr>
            </w:pPr>
            <w:r w:rsidRPr="00D03802">
              <w:rPr>
                <w:iCs w:val="0"/>
              </w:rPr>
              <w:t>The PBAC considered that the percentage of enrolled versus randomised patients from the SYNAPSE</w:t>
            </w:r>
            <w:r w:rsidRPr="00D03802" w:rsidDel="0016785A">
              <w:rPr>
                <w:iCs w:val="0"/>
              </w:rPr>
              <w:t xml:space="preserve">, POLYP 1 and POLYP 2 </w:t>
            </w:r>
            <w:r w:rsidRPr="00D03802">
              <w:rPr>
                <w:iCs w:val="0"/>
              </w:rPr>
              <w:t xml:space="preserve">trials indicated an overall uptake rate of </w:t>
            </w:r>
            <w:r w:rsidR="007F3646" w:rsidRPr="000704B3">
              <w:rPr>
                <w:iCs w:val="0"/>
                <w:color w:val="000000"/>
                <w:spacing w:val="53"/>
                <w:shd w:val="solid" w:color="000000" w:fill="000000"/>
                <w:fitText w:val="330" w:id="-663525629"/>
                <w14:textFill>
                  <w14:solidFill>
                    <w14:srgbClr w14:val="000000">
                      <w14:alpha w14:val="100000"/>
                    </w14:srgbClr>
                  </w14:solidFill>
                </w14:textFill>
              </w:rPr>
              <w:t>|||</w:t>
            </w:r>
            <w:r w:rsidR="007F3646" w:rsidRPr="000704B3">
              <w:rPr>
                <w:iCs w:val="0"/>
                <w:color w:val="000000"/>
                <w:spacing w:val="1"/>
                <w:shd w:val="solid" w:color="000000" w:fill="000000"/>
                <w:fitText w:val="330" w:id="-663525629"/>
                <w14:textFill>
                  <w14:solidFill>
                    <w14:srgbClr w14:val="000000">
                      <w14:alpha w14:val="100000"/>
                    </w14:srgbClr>
                  </w14:solidFill>
                </w14:textFill>
              </w:rPr>
              <w:t>|</w:t>
            </w:r>
            <w:r w:rsidRPr="00D03802">
              <w:rPr>
                <w:iCs w:val="0"/>
              </w:rPr>
              <w:t>% was appropriate (para 6.60, mepolizumab, PSD, November 2022 meeting).</w:t>
            </w:r>
            <w:r w:rsidR="00340EE3" w:rsidRPr="00D03802">
              <w:rPr>
                <w:iCs w:val="0"/>
              </w:rPr>
              <w:t xml:space="preserve"> </w:t>
            </w:r>
            <w:r w:rsidR="00602493" w:rsidRPr="00D03802">
              <w:rPr>
                <w:iCs w:val="0"/>
              </w:rPr>
              <w:t>Given the initial mon</w:t>
            </w:r>
            <w:r w:rsidR="00BF4F77" w:rsidRPr="00D03802">
              <w:rPr>
                <w:iCs w:val="0"/>
              </w:rPr>
              <w:t xml:space="preserve">itoring requirements for anaphylaxis reactions </w:t>
            </w:r>
            <w:r w:rsidR="00875A12" w:rsidRPr="00D03802">
              <w:rPr>
                <w:iCs w:val="0"/>
              </w:rPr>
              <w:t xml:space="preserve">(para </w:t>
            </w:r>
            <w:r w:rsidR="00875A12" w:rsidRPr="00D03802">
              <w:rPr>
                <w:iCs w:val="0"/>
              </w:rPr>
              <w:fldChar w:fldCharType="begin"/>
            </w:r>
            <w:r w:rsidR="00875A12" w:rsidRPr="00D03802">
              <w:rPr>
                <w:iCs w:val="0"/>
              </w:rPr>
              <w:instrText xml:space="preserve"> REF _Ref192843252 \r \h </w:instrText>
            </w:r>
            <w:r w:rsidR="00D03802">
              <w:rPr>
                <w:iCs w:val="0"/>
              </w:rPr>
              <w:instrText xml:space="preserve"> \* MERGEFORMAT </w:instrText>
            </w:r>
            <w:r w:rsidR="00875A12" w:rsidRPr="00D03802">
              <w:rPr>
                <w:iCs w:val="0"/>
              </w:rPr>
            </w:r>
            <w:r w:rsidR="00875A12" w:rsidRPr="00D03802">
              <w:rPr>
                <w:iCs w:val="0"/>
              </w:rPr>
              <w:fldChar w:fldCharType="separate"/>
            </w:r>
            <w:r w:rsidR="00CE52BF">
              <w:rPr>
                <w:iCs w:val="0"/>
              </w:rPr>
              <w:t>6.72</w:t>
            </w:r>
            <w:r w:rsidR="00875A12" w:rsidRPr="00D03802">
              <w:rPr>
                <w:iCs w:val="0"/>
              </w:rPr>
              <w:fldChar w:fldCharType="end"/>
            </w:r>
            <w:r w:rsidR="00875A12" w:rsidRPr="00D03802">
              <w:rPr>
                <w:iCs w:val="0"/>
              </w:rPr>
              <w:t xml:space="preserve">), </w:t>
            </w:r>
            <w:r w:rsidR="00EE250D" w:rsidRPr="00D03802">
              <w:rPr>
                <w:iCs w:val="0"/>
              </w:rPr>
              <w:t xml:space="preserve">uptake of omalizumab </w:t>
            </w:r>
            <w:r w:rsidR="00656785" w:rsidRPr="00D03802">
              <w:rPr>
                <w:iCs w:val="0"/>
              </w:rPr>
              <w:t xml:space="preserve">may be less than mepolizumab. </w:t>
            </w:r>
          </w:p>
        </w:tc>
      </w:tr>
      <w:tr w:rsidR="002C1266" w:rsidRPr="0098262F" w14:paraId="1A96CFC1" w14:textId="77777777" w:rsidTr="2BCE08C6">
        <w:tc>
          <w:tcPr>
            <w:tcW w:w="1413" w:type="dxa"/>
          </w:tcPr>
          <w:p w14:paraId="267D5AA7" w14:textId="77777777" w:rsidR="002C1266" w:rsidRDefault="002C1266" w:rsidP="00603F38">
            <w:pPr>
              <w:pStyle w:val="TableText0"/>
              <w:keepNext/>
              <w:keepLines/>
            </w:pPr>
            <w:r>
              <w:lastRenderedPageBreak/>
              <w:t>Scripts per year</w:t>
            </w:r>
          </w:p>
        </w:tc>
        <w:tc>
          <w:tcPr>
            <w:tcW w:w="1559" w:type="dxa"/>
          </w:tcPr>
          <w:p w14:paraId="320B77C2" w14:textId="77777777" w:rsidR="002C1266" w:rsidRDefault="002C1266" w:rsidP="00603F38">
            <w:pPr>
              <w:pStyle w:val="TableText0"/>
              <w:keepNext/>
              <w:keepLines/>
              <w:jc w:val="center"/>
            </w:pPr>
            <w:r>
              <w:t>9.6</w:t>
            </w:r>
          </w:p>
        </w:tc>
        <w:tc>
          <w:tcPr>
            <w:tcW w:w="2410" w:type="dxa"/>
          </w:tcPr>
          <w:p w14:paraId="7CFE2510" w14:textId="73C38260" w:rsidR="002C1266" w:rsidRDefault="002C1266" w:rsidP="00603F38">
            <w:pPr>
              <w:pStyle w:val="TableText0"/>
              <w:keepNext/>
              <w:keepLines/>
            </w:pPr>
            <w:r w:rsidRPr="2BCE08C6">
              <w:t xml:space="preserve">The number of scripts considered to be appropriate by PBAC in the mepolizumab November 2022 PSD based on total treatment duration of 116.46 weeks, a compliance rate of 94.6% and a response rate of 72.6%. </w:t>
            </w:r>
          </w:p>
        </w:tc>
        <w:tc>
          <w:tcPr>
            <w:tcW w:w="3798" w:type="dxa"/>
          </w:tcPr>
          <w:p w14:paraId="3CE0E3FA" w14:textId="4695A062" w:rsidR="002C1266" w:rsidRPr="00D03802" w:rsidRDefault="002C1266" w:rsidP="00603F38">
            <w:pPr>
              <w:pStyle w:val="TableText0"/>
              <w:keepNext/>
              <w:keepLines/>
              <w:rPr>
                <w:iCs w:val="0"/>
              </w:rPr>
            </w:pPr>
            <w:r w:rsidRPr="00D03802">
              <w:rPr>
                <w:iCs w:val="0"/>
              </w:rPr>
              <w:t>This was based on the treatment duration, compliance rate and response rate from the SYNAPSE trial for mepolizumab. It is uncertain whether this script number is appropriate for omalizumab, given the difference in dosing regimen, treatment duration and clinical data from the POLYP trials</w:t>
            </w:r>
          </w:p>
        </w:tc>
      </w:tr>
      <w:tr w:rsidR="002C1266" w:rsidRPr="0039458D" w14:paraId="516AC1C2" w14:textId="77777777" w:rsidTr="2BCE08C6">
        <w:tc>
          <w:tcPr>
            <w:tcW w:w="9180" w:type="dxa"/>
            <w:gridSpan w:val="4"/>
          </w:tcPr>
          <w:p w14:paraId="26ACE21A" w14:textId="77777777" w:rsidR="002C1266" w:rsidRPr="0039458D" w:rsidRDefault="002C1266" w:rsidP="00D131BA">
            <w:pPr>
              <w:pStyle w:val="TableText0"/>
              <w:rPr>
                <w:b/>
              </w:rPr>
            </w:pPr>
            <w:r w:rsidRPr="0039458D">
              <w:rPr>
                <w:b/>
              </w:rPr>
              <w:t>Costs</w:t>
            </w:r>
          </w:p>
        </w:tc>
      </w:tr>
      <w:tr w:rsidR="002C1266" w:rsidRPr="0098262F" w14:paraId="5D953220" w14:textId="77777777" w:rsidTr="2BCE08C6">
        <w:tc>
          <w:tcPr>
            <w:tcW w:w="1413" w:type="dxa"/>
            <w:tcBorders>
              <w:bottom w:val="single" w:sz="4" w:space="0" w:color="auto"/>
            </w:tcBorders>
          </w:tcPr>
          <w:p w14:paraId="0797FFCE" w14:textId="77777777" w:rsidR="002C1266" w:rsidRPr="0098262F" w:rsidRDefault="002C1266" w:rsidP="00D131BA">
            <w:pPr>
              <w:pStyle w:val="TableText0"/>
            </w:pPr>
            <w:r w:rsidRPr="0098262F">
              <w:t>Proposed medicine</w:t>
            </w:r>
          </w:p>
        </w:tc>
        <w:tc>
          <w:tcPr>
            <w:tcW w:w="1559" w:type="dxa"/>
          </w:tcPr>
          <w:p w14:paraId="6D3D2A85" w14:textId="77777777" w:rsidR="002C1266" w:rsidRDefault="002C1266" w:rsidP="000E49EA">
            <w:pPr>
              <w:pStyle w:val="TableText0"/>
              <w:jc w:val="center"/>
            </w:pPr>
            <w:r>
              <w:t>75 mg vial:</w:t>
            </w:r>
          </w:p>
          <w:p w14:paraId="5E95225B" w14:textId="77777777" w:rsidR="002C1266" w:rsidRDefault="002C1266" w:rsidP="000E49EA">
            <w:pPr>
              <w:pStyle w:val="TableText0"/>
              <w:jc w:val="center"/>
            </w:pPr>
            <w:r w:rsidRPr="0098262F">
              <w:t>$</w:t>
            </w:r>
            <w:r>
              <w:t>398.59 (public)</w:t>
            </w:r>
          </w:p>
          <w:p w14:paraId="1A53E895" w14:textId="77777777" w:rsidR="002C1266" w:rsidRDefault="002C1266" w:rsidP="000E49EA">
            <w:pPr>
              <w:pStyle w:val="TableText0"/>
              <w:jc w:val="center"/>
            </w:pPr>
            <w:r>
              <w:t>$423.20 (private)</w:t>
            </w:r>
          </w:p>
          <w:p w14:paraId="200E68B5" w14:textId="77777777" w:rsidR="002C1266" w:rsidRDefault="002C1266" w:rsidP="000E49EA">
            <w:pPr>
              <w:pStyle w:val="TableText0"/>
              <w:jc w:val="center"/>
            </w:pPr>
          </w:p>
          <w:p w14:paraId="63D3B3A8" w14:textId="77777777" w:rsidR="002C1266" w:rsidRDefault="002C1266" w:rsidP="000E49EA">
            <w:pPr>
              <w:pStyle w:val="TableText0"/>
              <w:jc w:val="center"/>
            </w:pPr>
            <w:r>
              <w:t>150 mg vial:</w:t>
            </w:r>
          </w:p>
          <w:p w14:paraId="4BA00DF2" w14:textId="77777777" w:rsidR="002C1266" w:rsidRDefault="002C1266" w:rsidP="000E49EA">
            <w:pPr>
              <w:pStyle w:val="TableText0"/>
              <w:jc w:val="center"/>
            </w:pPr>
            <w:r>
              <w:t>$797.18 (public)</w:t>
            </w:r>
          </w:p>
          <w:p w14:paraId="5643D58E" w14:textId="77777777" w:rsidR="002C1266" w:rsidRPr="0098262F" w:rsidRDefault="002C1266" w:rsidP="000E49EA">
            <w:pPr>
              <w:pStyle w:val="TableText0"/>
              <w:jc w:val="center"/>
            </w:pPr>
            <w:r>
              <w:t>$837.74 (private)</w:t>
            </w:r>
          </w:p>
        </w:tc>
        <w:tc>
          <w:tcPr>
            <w:tcW w:w="2410" w:type="dxa"/>
          </w:tcPr>
          <w:p w14:paraId="03647DDC" w14:textId="77777777" w:rsidR="002C1266" w:rsidRPr="0098262F" w:rsidRDefault="002C1266" w:rsidP="00D131BA">
            <w:pPr>
              <w:pStyle w:val="TableText0"/>
            </w:pPr>
            <w:r>
              <w:t>Published derived DPMQ</w:t>
            </w:r>
          </w:p>
        </w:tc>
        <w:tc>
          <w:tcPr>
            <w:tcW w:w="3798" w:type="dxa"/>
            <w:tcBorders>
              <w:bottom w:val="single" w:sz="4" w:space="0" w:color="auto"/>
            </w:tcBorders>
          </w:tcPr>
          <w:p w14:paraId="413D0929" w14:textId="77777777" w:rsidR="002C1266" w:rsidRPr="003C1566" w:rsidRDefault="002C1266" w:rsidP="00D131BA">
            <w:pPr>
              <w:pStyle w:val="TableText0"/>
            </w:pPr>
          </w:p>
        </w:tc>
      </w:tr>
      <w:tr w:rsidR="002C1266" w:rsidRPr="0098262F" w14:paraId="2CFE532D" w14:textId="77777777" w:rsidTr="00847D05">
        <w:trPr>
          <w:trHeight w:val="680"/>
        </w:trPr>
        <w:tc>
          <w:tcPr>
            <w:tcW w:w="1413" w:type="dxa"/>
          </w:tcPr>
          <w:p w14:paraId="3FB0D35C" w14:textId="77777777" w:rsidR="002C1266" w:rsidRPr="0053456D" w:rsidRDefault="002C1266" w:rsidP="00D131BA">
            <w:pPr>
              <w:pStyle w:val="TableText0"/>
            </w:pPr>
            <w:r w:rsidRPr="0053456D">
              <w:t>MBS costs</w:t>
            </w:r>
          </w:p>
        </w:tc>
        <w:tc>
          <w:tcPr>
            <w:tcW w:w="1559" w:type="dxa"/>
          </w:tcPr>
          <w:p w14:paraId="7DA9532D" w14:textId="77777777" w:rsidR="002C1266" w:rsidRPr="0053456D" w:rsidRDefault="002C1266" w:rsidP="000E49EA">
            <w:pPr>
              <w:pStyle w:val="TableText0"/>
              <w:jc w:val="center"/>
            </w:pPr>
            <w:r w:rsidRPr="0053456D">
              <w:t>$</w:t>
            </w:r>
            <w:r>
              <w:t>87.30</w:t>
            </w:r>
          </w:p>
          <w:p w14:paraId="63E8CE9F" w14:textId="77777777" w:rsidR="002C1266" w:rsidRPr="0053456D" w:rsidRDefault="002C1266" w:rsidP="000E49EA">
            <w:pPr>
              <w:pStyle w:val="TableText0"/>
              <w:jc w:val="center"/>
            </w:pPr>
            <w:r>
              <w:t>$58.85</w:t>
            </w:r>
          </w:p>
        </w:tc>
        <w:tc>
          <w:tcPr>
            <w:tcW w:w="2410" w:type="dxa"/>
          </w:tcPr>
          <w:p w14:paraId="754B8B8A" w14:textId="77777777" w:rsidR="002C1266" w:rsidRPr="0053456D" w:rsidRDefault="002C1266" w:rsidP="00D131BA">
            <w:pPr>
              <w:pStyle w:val="TableText0"/>
            </w:pPr>
            <w:r w:rsidRPr="0053456D">
              <w:t xml:space="preserve">MBS item </w:t>
            </w:r>
            <w:r>
              <w:t>116</w:t>
            </w:r>
          </w:p>
          <w:p w14:paraId="6E352EE8" w14:textId="77777777" w:rsidR="002C1266" w:rsidRPr="0053456D" w:rsidRDefault="002C1266" w:rsidP="00D131BA">
            <w:pPr>
              <w:pStyle w:val="TableText0"/>
            </w:pPr>
            <w:r>
              <w:t>MBS item 82210</w:t>
            </w:r>
          </w:p>
        </w:tc>
        <w:tc>
          <w:tcPr>
            <w:tcW w:w="3798" w:type="dxa"/>
          </w:tcPr>
          <w:p w14:paraId="09556B34" w14:textId="25DF2BB4" w:rsidR="002C1266" w:rsidRPr="00D03802" w:rsidRDefault="002C1266" w:rsidP="00D131BA">
            <w:pPr>
              <w:pStyle w:val="TableText0"/>
              <w:rPr>
                <w:iCs w:val="0"/>
              </w:rPr>
            </w:pPr>
            <w:r w:rsidRPr="00D03802">
              <w:rPr>
                <w:iCs w:val="0"/>
              </w:rPr>
              <w:t>Additional costs associated with supervised administration and monitoring for anaphylaxis reactions for omalizumab are also relevant.</w:t>
            </w:r>
          </w:p>
        </w:tc>
      </w:tr>
      <w:tr w:rsidR="002C1266" w:rsidRPr="0098262F" w14:paraId="1220878F" w14:textId="77777777" w:rsidTr="2BCE08C6">
        <w:trPr>
          <w:trHeight w:val="769"/>
        </w:trPr>
        <w:tc>
          <w:tcPr>
            <w:tcW w:w="1413" w:type="dxa"/>
          </w:tcPr>
          <w:p w14:paraId="33C9C269" w14:textId="233FE0DD" w:rsidR="002C1266" w:rsidRPr="0053456D" w:rsidRDefault="002C1266" w:rsidP="00D131BA">
            <w:pPr>
              <w:pStyle w:val="TableText0"/>
            </w:pPr>
            <w:r>
              <w:t xml:space="preserve">Market share </w:t>
            </w:r>
            <w:r w:rsidR="17955F72">
              <w:t>in the BEC ≥300 cell/µL segment</w:t>
            </w:r>
          </w:p>
        </w:tc>
        <w:tc>
          <w:tcPr>
            <w:tcW w:w="1559" w:type="dxa"/>
          </w:tcPr>
          <w:p w14:paraId="5E34008C" w14:textId="633C9C2E" w:rsidR="002C1266" w:rsidRDefault="002C1266" w:rsidP="000E49EA">
            <w:pPr>
              <w:pStyle w:val="TableText0"/>
              <w:jc w:val="center"/>
            </w:pPr>
            <w:r>
              <w:t xml:space="preserve">Yr 1: </w:t>
            </w:r>
            <w:r w:rsidR="007F3646" w:rsidRPr="007F3646">
              <w:rPr>
                <w:color w:val="000000"/>
                <w:spacing w:val="53"/>
                <w:shd w:val="solid" w:color="000000" w:fill="000000"/>
                <w:fitText w:val="330" w:id="-663525628"/>
                <w14:textFill>
                  <w14:solidFill>
                    <w14:srgbClr w14:val="000000">
                      <w14:alpha w14:val="100000"/>
                    </w14:srgbClr>
                  </w14:solidFill>
                </w14:textFill>
              </w:rPr>
              <w:t>|||</w:t>
            </w:r>
            <w:r w:rsidR="007F3646" w:rsidRPr="007F3646">
              <w:rPr>
                <w:color w:val="000000"/>
                <w:spacing w:val="1"/>
                <w:shd w:val="solid" w:color="000000" w:fill="000000"/>
                <w:fitText w:val="330" w:id="-663525628"/>
                <w14:textFill>
                  <w14:solidFill>
                    <w14:srgbClr w14:val="000000">
                      <w14:alpha w14:val="100000"/>
                    </w14:srgbClr>
                  </w14:solidFill>
                </w14:textFill>
              </w:rPr>
              <w:t>|</w:t>
            </w:r>
            <w:r>
              <w:t>%:</w:t>
            </w:r>
            <w:r w:rsidR="007F3646" w:rsidRPr="007F3646">
              <w:rPr>
                <w:color w:val="000000"/>
                <w:spacing w:val="53"/>
                <w:shd w:val="solid" w:color="000000" w:fill="000000"/>
                <w:fitText w:val="330" w:id="-663525627"/>
                <w14:textFill>
                  <w14:solidFill>
                    <w14:srgbClr w14:val="000000">
                      <w14:alpha w14:val="100000"/>
                    </w14:srgbClr>
                  </w14:solidFill>
                </w14:textFill>
              </w:rPr>
              <w:t>|||</w:t>
            </w:r>
            <w:r w:rsidR="007F3646" w:rsidRPr="007F3646">
              <w:rPr>
                <w:color w:val="000000"/>
                <w:spacing w:val="1"/>
                <w:shd w:val="solid" w:color="000000" w:fill="000000"/>
                <w:fitText w:val="330" w:id="-663525627"/>
                <w14:textFill>
                  <w14:solidFill>
                    <w14:srgbClr w14:val="000000">
                      <w14:alpha w14:val="100000"/>
                    </w14:srgbClr>
                  </w14:solidFill>
                </w14:textFill>
              </w:rPr>
              <w:t>|</w:t>
            </w:r>
            <w:r>
              <w:t>%</w:t>
            </w:r>
          </w:p>
          <w:p w14:paraId="0C05E2DD" w14:textId="703CA399" w:rsidR="002C1266" w:rsidRDefault="002C1266" w:rsidP="000E49EA">
            <w:pPr>
              <w:pStyle w:val="TableText0"/>
              <w:jc w:val="center"/>
            </w:pPr>
            <w:r>
              <w:t xml:space="preserve">Yr 2: </w:t>
            </w:r>
            <w:r w:rsidR="007F3646" w:rsidRPr="007F3646">
              <w:rPr>
                <w:color w:val="000000"/>
                <w:spacing w:val="53"/>
                <w:shd w:val="solid" w:color="000000" w:fill="000000"/>
                <w:fitText w:val="330" w:id="-663525626"/>
                <w14:textFill>
                  <w14:solidFill>
                    <w14:srgbClr w14:val="000000">
                      <w14:alpha w14:val="100000"/>
                    </w14:srgbClr>
                  </w14:solidFill>
                </w14:textFill>
              </w:rPr>
              <w:t>|||</w:t>
            </w:r>
            <w:r w:rsidR="007F3646" w:rsidRPr="007F3646">
              <w:rPr>
                <w:color w:val="000000"/>
                <w:spacing w:val="1"/>
                <w:shd w:val="solid" w:color="000000" w:fill="000000"/>
                <w:fitText w:val="330" w:id="-663525626"/>
                <w14:textFill>
                  <w14:solidFill>
                    <w14:srgbClr w14:val="000000">
                      <w14:alpha w14:val="100000"/>
                    </w14:srgbClr>
                  </w14:solidFill>
                </w14:textFill>
              </w:rPr>
              <w:t>|</w:t>
            </w:r>
            <w:r w:rsidRPr="00CB4AB4">
              <w:t>%:</w:t>
            </w:r>
            <w:r w:rsidR="007F3646" w:rsidRPr="007F3646">
              <w:rPr>
                <w:color w:val="000000"/>
                <w:spacing w:val="53"/>
                <w:shd w:val="solid" w:color="000000" w:fill="000000"/>
                <w:fitText w:val="330" w:id="-663525625"/>
                <w14:textFill>
                  <w14:solidFill>
                    <w14:srgbClr w14:val="000000">
                      <w14:alpha w14:val="100000"/>
                    </w14:srgbClr>
                  </w14:solidFill>
                </w14:textFill>
              </w:rPr>
              <w:t>|||</w:t>
            </w:r>
            <w:r w:rsidR="007F3646" w:rsidRPr="007F3646">
              <w:rPr>
                <w:color w:val="000000"/>
                <w:spacing w:val="1"/>
                <w:shd w:val="solid" w:color="000000" w:fill="000000"/>
                <w:fitText w:val="330" w:id="-663525625"/>
                <w14:textFill>
                  <w14:solidFill>
                    <w14:srgbClr w14:val="000000">
                      <w14:alpha w14:val="100000"/>
                    </w14:srgbClr>
                  </w14:solidFill>
                </w14:textFill>
              </w:rPr>
              <w:t>|</w:t>
            </w:r>
            <w:r>
              <w:t>%</w:t>
            </w:r>
          </w:p>
          <w:p w14:paraId="58DCF041" w14:textId="2E38BF33" w:rsidR="002C1266" w:rsidRDefault="002C1266" w:rsidP="000E49EA">
            <w:pPr>
              <w:pStyle w:val="TableText0"/>
              <w:jc w:val="center"/>
            </w:pPr>
            <w:r>
              <w:t xml:space="preserve">Yr 3: </w:t>
            </w:r>
            <w:r w:rsidR="007F3646" w:rsidRPr="007F3646">
              <w:rPr>
                <w:color w:val="000000"/>
                <w:spacing w:val="53"/>
                <w:shd w:val="solid" w:color="000000" w:fill="000000"/>
                <w:fitText w:val="330" w:id="-663525624"/>
                <w14:textFill>
                  <w14:solidFill>
                    <w14:srgbClr w14:val="000000">
                      <w14:alpha w14:val="100000"/>
                    </w14:srgbClr>
                  </w14:solidFill>
                </w14:textFill>
              </w:rPr>
              <w:t>|||</w:t>
            </w:r>
            <w:r w:rsidR="007F3646" w:rsidRPr="007F3646">
              <w:rPr>
                <w:color w:val="000000"/>
                <w:spacing w:val="1"/>
                <w:shd w:val="solid" w:color="000000" w:fill="000000"/>
                <w:fitText w:val="330" w:id="-663525624"/>
                <w14:textFill>
                  <w14:solidFill>
                    <w14:srgbClr w14:val="000000">
                      <w14:alpha w14:val="100000"/>
                    </w14:srgbClr>
                  </w14:solidFill>
                </w14:textFill>
              </w:rPr>
              <w:t>|</w:t>
            </w:r>
            <w:r>
              <w:t>%:</w:t>
            </w:r>
            <w:r w:rsidR="007F3646" w:rsidRPr="007F3646">
              <w:rPr>
                <w:color w:val="000000"/>
                <w:spacing w:val="53"/>
                <w:shd w:val="solid" w:color="000000" w:fill="000000"/>
                <w:fitText w:val="330" w:id="-663525623"/>
                <w14:textFill>
                  <w14:solidFill>
                    <w14:srgbClr w14:val="000000">
                      <w14:alpha w14:val="100000"/>
                    </w14:srgbClr>
                  </w14:solidFill>
                </w14:textFill>
              </w:rPr>
              <w:t>|||</w:t>
            </w:r>
            <w:r w:rsidR="007F3646" w:rsidRPr="007F3646">
              <w:rPr>
                <w:color w:val="000000"/>
                <w:spacing w:val="1"/>
                <w:shd w:val="solid" w:color="000000" w:fill="000000"/>
                <w:fitText w:val="330" w:id="-663525623"/>
                <w14:textFill>
                  <w14:solidFill>
                    <w14:srgbClr w14:val="000000">
                      <w14:alpha w14:val="100000"/>
                    </w14:srgbClr>
                  </w14:solidFill>
                </w14:textFill>
              </w:rPr>
              <w:t>|</w:t>
            </w:r>
            <w:r>
              <w:t>%</w:t>
            </w:r>
          </w:p>
          <w:p w14:paraId="2EF9E1C1" w14:textId="159F5379" w:rsidR="002C1266" w:rsidRDefault="002C1266" w:rsidP="000E49EA">
            <w:pPr>
              <w:pStyle w:val="TableText0"/>
              <w:jc w:val="center"/>
            </w:pPr>
            <w:r>
              <w:t xml:space="preserve">Yr 4: </w:t>
            </w:r>
            <w:r w:rsidR="007F3646" w:rsidRPr="007F3646">
              <w:rPr>
                <w:color w:val="000000"/>
                <w:spacing w:val="53"/>
                <w:shd w:val="solid" w:color="000000" w:fill="000000"/>
                <w:fitText w:val="330" w:id="-663525622"/>
                <w14:textFill>
                  <w14:solidFill>
                    <w14:srgbClr w14:val="000000">
                      <w14:alpha w14:val="100000"/>
                    </w14:srgbClr>
                  </w14:solidFill>
                </w14:textFill>
              </w:rPr>
              <w:t>|||</w:t>
            </w:r>
            <w:r w:rsidR="007F3646" w:rsidRPr="007F3646">
              <w:rPr>
                <w:color w:val="000000"/>
                <w:spacing w:val="1"/>
                <w:shd w:val="solid" w:color="000000" w:fill="000000"/>
                <w:fitText w:val="330" w:id="-663525622"/>
                <w14:textFill>
                  <w14:solidFill>
                    <w14:srgbClr w14:val="000000">
                      <w14:alpha w14:val="100000"/>
                    </w14:srgbClr>
                  </w14:solidFill>
                </w14:textFill>
              </w:rPr>
              <w:t>|</w:t>
            </w:r>
            <w:r w:rsidRPr="00CB4AB4">
              <w:t>%:</w:t>
            </w:r>
            <w:r w:rsidR="007F3646" w:rsidRPr="007F3646">
              <w:rPr>
                <w:color w:val="000000"/>
                <w:spacing w:val="53"/>
                <w:shd w:val="solid" w:color="000000" w:fill="000000"/>
                <w:fitText w:val="330" w:id="-663525621"/>
                <w14:textFill>
                  <w14:solidFill>
                    <w14:srgbClr w14:val="000000">
                      <w14:alpha w14:val="100000"/>
                    </w14:srgbClr>
                  </w14:solidFill>
                </w14:textFill>
              </w:rPr>
              <w:t>|||</w:t>
            </w:r>
            <w:r w:rsidR="007F3646" w:rsidRPr="007F3646">
              <w:rPr>
                <w:color w:val="000000"/>
                <w:spacing w:val="1"/>
                <w:shd w:val="solid" w:color="000000" w:fill="000000"/>
                <w:fitText w:val="330" w:id="-663525621"/>
                <w14:textFill>
                  <w14:solidFill>
                    <w14:srgbClr w14:val="000000">
                      <w14:alpha w14:val="100000"/>
                    </w14:srgbClr>
                  </w14:solidFill>
                </w14:textFill>
              </w:rPr>
              <w:t>|</w:t>
            </w:r>
            <w:r>
              <w:t>%</w:t>
            </w:r>
          </w:p>
          <w:p w14:paraId="4356716B" w14:textId="17D5EFF6" w:rsidR="002C1266" w:rsidRDefault="002C1266" w:rsidP="000E49EA">
            <w:pPr>
              <w:pStyle w:val="TableText0"/>
              <w:jc w:val="center"/>
            </w:pPr>
            <w:r>
              <w:t xml:space="preserve">Yr 5: </w:t>
            </w:r>
            <w:r w:rsidR="007F3646" w:rsidRPr="007F3646">
              <w:rPr>
                <w:color w:val="000000"/>
                <w:spacing w:val="53"/>
                <w:shd w:val="solid" w:color="000000" w:fill="000000"/>
                <w:fitText w:val="330" w:id="-663525620"/>
                <w14:textFill>
                  <w14:solidFill>
                    <w14:srgbClr w14:val="000000">
                      <w14:alpha w14:val="100000"/>
                    </w14:srgbClr>
                  </w14:solidFill>
                </w14:textFill>
              </w:rPr>
              <w:t>|||</w:t>
            </w:r>
            <w:r w:rsidR="007F3646" w:rsidRPr="007F3646">
              <w:rPr>
                <w:color w:val="000000"/>
                <w:spacing w:val="1"/>
                <w:shd w:val="solid" w:color="000000" w:fill="000000"/>
                <w:fitText w:val="330" w:id="-663525620"/>
                <w14:textFill>
                  <w14:solidFill>
                    <w14:srgbClr w14:val="000000">
                      <w14:alpha w14:val="100000"/>
                    </w14:srgbClr>
                  </w14:solidFill>
                </w14:textFill>
              </w:rPr>
              <w:t>|</w:t>
            </w:r>
            <w:r>
              <w:t>%:</w:t>
            </w:r>
            <w:r w:rsidR="007F3646" w:rsidRPr="007F3646">
              <w:rPr>
                <w:color w:val="000000"/>
                <w:spacing w:val="53"/>
                <w:shd w:val="solid" w:color="000000" w:fill="000000"/>
                <w:fitText w:val="330" w:id="-663525619"/>
                <w14:textFill>
                  <w14:solidFill>
                    <w14:srgbClr w14:val="000000">
                      <w14:alpha w14:val="100000"/>
                    </w14:srgbClr>
                  </w14:solidFill>
                </w14:textFill>
              </w:rPr>
              <w:t>|||</w:t>
            </w:r>
            <w:r w:rsidR="007F3646" w:rsidRPr="007F3646">
              <w:rPr>
                <w:color w:val="000000"/>
                <w:spacing w:val="1"/>
                <w:shd w:val="solid" w:color="000000" w:fill="000000"/>
                <w:fitText w:val="330" w:id="-663525619"/>
                <w14:textFill>
                  <w14:solidFill>
                    <w14:srgbClr w14:val="000000">
                      <w14:alpha w14:val="100000"/>
                    </w14:srgbClr>
                  </w14:solidFill>
                </w14:textFill>
              </w:rPr>
              <w:t>|</w:t>
            </w:r>
            <w:r>
              <w:t>%</w:t>
            </w:r>
          </w:p>
          <w:p w14:paraId="6649FA93" w14:textId="52507B53" w:rsidR="002C1266" w:rsidRPr="0053456D" w:rsidRDefault="002C1266" w:rsidP="000E49EA">
            <w:pPr>
              <w:pStyle w:val="TableText0"/>
              <w:jc w:val="center"/>
            </w:pPr>
            <w:r>
              <w:t xml:space="preserve">Yr 6: </w:t>
            </w:r>
            <w:r w:rsidR="007F3646" w:rsidRPr="007F3646">
              <w:rPr>
                <w:color w:val="000000"/>
                <w:spacing w:val="53"/>
                <w:shd w:val="solid" w:color="000000" w:fill="000000"/>
                <w:fitText w:val="330" w:id="-663525618"/>
                <w14:textFill>
                  <w14:solidFill>
                    <w14:srgbClr w14:val="000000">
                      <w14:alpha w14:val="100000"/>
                    </w14:srgbClr>
                  </w14:solidFill>
                </w14:textFill>
              </w:rPr>
              <w:t>|||</w:t>
            </w:r>
            <w:r w:rsidR="007F3646" w:rsidRPr="007F3646">
              <w:rPr>
                <w:color w:val="000000"/>
                <w:spacing w:val="1"/>
                <w:shd w:val="solid" w:color="000000" w:fill="000000"/>
                <w:fitText w:val="330" w:id="-663525618"/>
                <w14:textFill>
                  <w14:solidFill>
                    <w14:srgbClr w14:val="000000">
                      <w14:alpha w14:val="100000"/>
                    </w14:srgbClr>
                  </w14:solidFill>
                </w14:textFill>
              </w:rPr>
              <w:t>|</w:t>
            </w:r>
            <w:r>
              <w:t>%:</w:t>
            </w:r>
            <w:r w:rsidR="007F3646" w:rsidRPr="007F3646">
              <w:rPr>
                <w:color w:val="000000"/>
                <w:spacing w:val="53"/>
                <w:shd w:val="solid" w:color="000000" w:fill="000000"/>
                <w:fitText w:val="330" w:id="-663525617"/>
                <w14:textFill>
                  <w14:solidFill>
                    <w14:srgbClr w14:val="000000">
                      <w14:alpha w14:val="100000"/>
                    </w14:srgbClr>
                  </w14:solidFill>
                </w14:textFill>
              </w:rPr>
              <w:t>|||</w:t>
            </w:r>
            <w:r w:rsidR="007F3646" w:rsidRPr="007F3646">
              <w:rPr>
                <w:color w:val="000000"/>
                <w:spacing w:val="1"/>
                <w:shd w:val="solid" w:color="000000" w:fill="000000"/>
                <w:fitText w:val="330" w:id="-663525617"/>
                <w14:textFill>
                  <w14:solidFill>
                    <w14:srgbClr w14:val="000000">
                      <w14:alpha w14:val="100000"/>
                    </w14:srgbClr>
                  </w14:solidFill>
                </w14:textFill>
              </w:rPr>
              <w:t>|</w:t>
            </w:r>
            <w:r>
              <w:t>%</w:t>
            </w:r>
          </w:p>
        </w:tc>
        <w:tc>
          <w:tcPr>
            <w:tcW w:w="2410" w:type="dxa"/>
          </w:tcPr>
          <w:p w14:paraId="3F1EB80A" w14:textId="42EE9187" w:rsidR="002C1266" w:rsidRPr="0053456D" w:rsidRDefault="002C1266" w:rsidP="00D131BA">
            <w:pPr>
              <w:pStyle w:val="TableText0"/>
            </w:pPr>
            <w:r w:rsidRPr="2BCE08C6">
              <w:t xml:space="preserve">Assumption of </w:t>
            </w:r>
            <w:proofErr w:type="spellStart"/>
            <w:r w:rsidRPr="2BCE08C6">
              <w:t>omalizumab:mepolizumab</w:t>
            </w:r>
            <w:proofErr w:type="spellEnd"/>
            <w:r w:rsidRPr="2BCE08C6">
              <w:t xml:space="preserve"> market share.</w:t>
            </w:r>
          </w:p>
        </w:tc>
        <w:tc>
          <w:tcPr>
            <w:tcW w:w="3798" w:type="dxa"/>
          </w:tcPr>
          <w:p w14:paraId="18871AEC" w14:textId="0C665840" w:rsidR="002C1266" w:rsidRPr="00D03802" w:rsidRDefault="002C1266" w:rsidP="00D131BA">
            <w:pPr>
              <w:pStyle w:val="TableText0"/>
              <w:rPr>
                <w:iCs w:val="0"/>
              </w:rPr>
            </w:pPr>
            <w:r w:rsidRPr="00D03802">
              <w:rPr>
                <w:iCs w:val="0"/>
              </w:rPr>
              <w:t xml:space="preserve">This is uncertain. </w:t>
            </w:r>
            <w:r w:rsidR="00037A82" w:rsidRPr="00D03802">
              <w:rPr>
                <w:iCs w:val="0"/>
              </w:rPr>
              <w:t xml:space="preserve">It </w:t>
            </w:r>
            <w:r w:rsidR="003B4B1B" w:rsidRPr="00D03802">
              <w:rPr>
                <w:iCs w:val="0"/>
              </w:rPr>
              <w:t>was</w:t>
            </w:r>
            <w:r w:rsidR="00037A82" w:rsidRPr="00D03802">
              <w:rPr>
                <w:iCs w:val="0"/>
              </w:rPr>
              <w:t xml:space="preserve"> assumed</w:t>
            </w:r>
            <w:r w:rsidR="004807EE" w:rsidRPr="00D03802">
              <w:rPr>
                <w:iCs w:val="0"/>
              </w:rPr>
              <w:t xml:space="preserve"> that mepolizumab has the first market advantage over omalizumab</w:t>
            </w:r>
            <w:r w:rsidR="00E27B8B" w:rsidRPr="00D03802">
              <w:rPr>
                <w:iCs w:val="0"/>
              </w:rPr>
              <w:t xml:space="preserve">, however clinical </w:t>
            </w:r>
            <w:r w:rsidR="00313F0E" w:rsidRPr="00D03802">
              <w:rPr>
                <w:iCs w:val="0"/>
              </w:rPr>
              <w:t xml:space="preserve">guidelines and processes for patient selection for </w:t>
            </w:r>
            <w:proofErr w:type="spellStart"/>
            <w:r w:rsidR="00141821" w:rsidRPr="00D03802">
              <w:rPr>
                <w:iCs w:val="0"/>
              </w:rPr>
              <w:t>CR</w:t>
            </w:r>
            <w:r w:rsidR="00664C15" w:rsidRPr="00D03802">
              <w:rPr>
                <w:iCs w:val="0"/>
              </w:rPr>
              <w:t>SwNP</w:t>
            </w:r>
            <w:proofErr w:type="spellEnd"/>
            <w:r w:rsidR="00664C15" w:rsidRPr="00D03802">
              <w:rPr>
                <w:iCs w:val="0"/>
              </w:rPr>
              <w:t xml:space="preserve"> appears to be evolving and may change</w:t>
            </w:r>
            <w:r w:rsidRPr="00D03802">
              <w:rPr>
                <w:iCs w:val="0"/>
              </w:rPr>
              <w:t xml:space="preserve">. </w:t>
            </w:r>
          </w:p>
        </w:tc>
      </w:tr>
    </w:tbl>
    <w:p w14:paraId="04FD38CB" w14:textId="77777777" w:rsidR="002C1266" w:rsidRPr="00847D05" w:rsidRDefault="002C1266" w:rsidP="00022C1B">
      <w:pPr>
        <w:pStyle w:val="TableFigureFooter"/>
      </w:pPr>
      <w:r w:rsidRPr="00847D05">
        <w:t>Source: Compiled during the evaluation using Table 4.2, p146 of the submission; Table 9, p65-67 of the POLYP 1 CSR; Table 9, p65-67 of the POLYP 2 CSR; mepolizumab, PSD, November 2022 PBAC meeting.</w:t>
      </w:r>
    </w:p>
    <w:p w14:paraId="01786DEF" w14:textId="77777777" w:rsidR="002C1266" w:rsidRPr="00C9452D" w:rsidRDefault="002C1266" w:rsidP="00847D05">
      <w:pPr>
        <w:pStyle w:val="TableFigureFooter"/>
        <w:jc w:val="both"/>
      </w:pPr>
      <w:r w:rsidRPr="00847D05">
        <w:t xml:space="preserve">ASCIA, Australasian Society of Clinical Immunology and Allergy; BEC, blood eosinophilic count; CPRD, Clinical Practice Research Datalink; </w:t>
      </w:r>
      <w:proofErr w:type="spellStart"/>
      <w:r w:rsidRPr="00847D05">
        <w:t>CRSwNP</w:t>
      </w:r>
      <w:proofErr w:type="spellEnd"/>
      <w:r w:rsidRPr="00847D05">
        <w:t>, chronic rhinosinusitis with nasal polyps; CSR, clinical study report; DPMQ, dispensed price for maximum quantity; IgE, immunoglobulin E; NP, nasal polyps; MBS, Medicare Benefits Schedule; PBAC, Pharmaceutical Benefits Advisory Committee; PSD, Public Summary Document.</w:t>
      </w:r>
    </w:p>
    <w:p w14:paraId="041E276B" w14:textId="5630EC66" w:rsidR="002C1266" w:rsidRPr="00C9452D" w:rsidRDefault="002C1266" w:rsidP="002C1266">
      <w:pPr>
        <w:pStyle w:val="3-BodyText"/>
      </w:pPr>
      <w:r w:rsidRPr="2BCE08C6">
        <w:t xml:space="preserve">The estimated use and financial impact of listing omalizumab on the PBS/Repatriation Pharmaceutical Benefits Scheme (RPBS) is shown in </w:t>
      </w:r>
      <w:r>
        <w:fldChar w:fldCharType="begin"/>
      </w:r>
      <w:r>
        <w:instrText xml:space="preserve"> REF _Ref190436281 \h  \* MERGEFORMAT </w:instrText>
      </w:r>
      <w:r>
        <w:fldChar w:fldCharType="separate"/>
      </w:r>
      <w:r w:rsidR="00CE52BF" w:rsidRPr="0098262F">
        <w:t xml:space="preserve">Table </w:t>
      </w:r>
      <w:r w:rsidR="00CE52BF">
        <w:rPr>
          <w:noProof/>
        </w:rPr>
        <w:t>17</w:t>
      </w:r>
      <w:r>
        <w:fldChar w:fldCharType="end"/>
      </w:r>
      <w:r w:rsidRPr="2BCE08C6">
        <w:t>.</w:t>
      </w:r>
    </w:p>
    <w:p w14:paraId="13DAF331" w14:textId="3D0BAE2D" w:rsidR="002C1266" w:rsidRPr="0098262F" w:rsidRDefault="002C1266" w:rsidP="000B6828">
      <w:pPr>
        <w:pStyle w:val="Caption"/>
      </w:pPr>
      <w:bookmarkStart w:id="73" w:name="_Ref190436281"/>
      <w:r w:rsidRPr="0098262F">
        <w:lastRenderedPageBreak/>
        <w:t xml:space="preserve">Table </w:t>
      </w:r>
      <w:r>
        <w:fldChar w:fldCharType="begin"/>
      </w:r>
      <w:r>
        <w:instrText>SEQ Table \* ARABIC</w:instrText>
      </w:r>
      <w:r>
        <w:fldChar w:fldCharType="separate"/>
      </w:r>
      <w:r w:rsidR="00CE52BF">
        <w:rPr>
          <w:noProof/>
        </w:rPr>
        <w:t>17</w:t>
      </w:r>
      <w:r>
        <w:fldChar w:fldCharType="end"/>
      </w:r>
      <w:bookmarkEnd w:id="73"/>
      <w:r w:rsidRPr="0098262F">
        <w:t>:</w:t>
      </w:r>
      <w:r w:rsidRPr="0098262F">
        <w:rPr>
          <w:rStyle w:val="CommentReference"/>
          <w:b/>
          <w:szCs w:val="24"/>
        </w:rPr>
        <w:t xml:space="preserve"> Estimated use and financial implications</w:t>
      </w:r>
      <w:r>
        <w:rPr>
          <w:rStyle w:val="CommentReference"/>
          <w:b/>
          <w:szCs w:val="24"/>
        </w:rPr>
        <w:t xml:space="preserve"> (published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2C1266" w:rsidRPr="0098262F" w14:paraId="61D11872" w14:textId="77777777" w:rsidTr="2BCE08C6">
        <w:trPr>
          <w:tblHeader/>
        </w:trPr>
        <w:tc>
          <w:tcPr>
            <w:tcW w:w="1334" w:type="pct"/>
            <w:shd w:val="clear" w:color="auto" w:fill="auto"/>
            <w:vAlign w:val="center"/>
          </w:tcPr>
          <w:p w14:paraId="51B04A11" w14:textId="77777777" w:rsidR="002C1266" w:rsidRPr="0098262F" w:rsidRDefault="002C1266" w:rsidP="000B6828">
            <w:pPr>
              <w:pStyle w:val="In-tableHeading"/>
              <w:jc w:val="center"/>
              <w:rPr>
                <w:lang w:val="en-AU"/>
              </w:rPr>
            </w:pPr>
          </w:p>
        </w:tc>
        <w:tc>
          <w:tcPr>
            <w:tcW w:w="611" w:type="pct"/>
            <w:shd w:val="clear" w:color="auto" w:fill="auto"/>
            <w:vAlign w:val="center"/>
          </w:tcPr>
          <w:p w14:paraId="73164FA3" w14:textId="77777777" w:rsidR="002C1266" w:rsidRPr="0098262F" w:rsidRDefault="002C1266" w:rsidP="000B6828">
            <w:pPr>
              <w:pStyle w:val="In-tableHeading"/>
              <w:rPr>
                <w:lang w:val="en-AU"/>
              </w:rPr>
            </w:pPr>
            <w:r w:rsidRPr="0098262F">
              <w:rPr>
                <w:lang w:val="en-AU"/>
              </w:rPr>
              <w:t>Year 1</w:t>
            </w:r>
          </w:p>
        </w:tc>
        <w:tc>
          <w:tcPr>
            <w:tcW w:w="611" w:type="pct"/>
            <w:shd w:val="clear" w:color="auto" w:fill="auto"/>
            <w:vAlign w:val="center"/>
          </w:tcPr>
          <w:p w14:paraId="39FA0DFC" w14:textId="77777777" w:rsidR="002C1266" w:rsidRPr="0098262F" w:rsidRDefault="002C1266" w:rsidP="000B6828">
            <w:pPr>
              <w:pStyle w:val="In-tableHeading"/>
              <w:rPr>
                <w:lang w:val="en-AU"/>
              </w:rPr>
            </w:pPr>
            <w:r w:rsidRPr="0098262F">
              <w:rPr>
                <w:lang w:val="en-AU"/>
              </w:rPr>
              <w:t>Year 2</w:t>
            </w:r>
          </w:p>
        </w:tc>
        <w:tc>
          <w:tcPr>
            <w:tcW w:w="611" w:type="pct"/>
            <w:shd w:val="clear" w:color="auto" w:fill="auto"/>
            <w:vAlign w:val="center"/>
          </w:tcPr>
          <w:p w14:paraId="48F75A6F" w14:textId="77777777" w:rsidR="002C1266" w:rsidRPr="0098262F" w:rsidRDefault="002C1266" w:rsidP="000B6828">
            <w:pPr>
              <w:pStyle w:val="In-tableHeading"/>
              <w:rPr>
                <w:lang w:val="en-AU"/>
              </w:rPr>
            </w:pPr>
            <w:r w:rsidRPr="0098262F">
              <w:rPr>
                <w:lang w:val="en-AU"/>
              </w:rPr>
              <w:t>Year 3</w:t>
            </w:r>
          </w:p>
        </w:tc>
        <w:tc>
          <w:tcPr>
            <w:tcW w:w="611" w:type="pct"/>
            <w:shd w:val="clear" w:color="auto" w:fill="auto"/>
            <w:vAlign w:val="center"/>
          </w:tcPr>
          <w:p w14:paraId="54551EA7" w14:textId="77777777" w:rsidR="002C1266" w:rsidRPr="0098262F" w:rsidRDefault="002C1266" w:rsidP="000B6828">
            <w:pPr>
              <w:pStyle w:val="In-tableHeading"/>
              <w:rPr>
                <w:lang w:val="en-AU"/>
              </w:rPr>
            </w:pPr>
            <w:r w:rsidRPr="0098262F">
              <w:rPr>
                <w:lang w:val="en-AU"/>
              </w:rPr>
              <w:t>Year 4</w:t>
            </w:r>
          </w:p>
        </w:tc>
        <w:tc>
          <w:tcPr>
            <w:tcW w:w="611" w:type="pct"/>
            <w:shd w:val="clear" w:color="auto" w:fill="auto"/>
            <w:vAlign w:val="center"/>
          </w:tcPr>
          <w:p w14:paraId="6085CDB3" w14:textId="77777777" w:rsidR="002C1266" w:rsidRPr="0098262F" w:rsidRDefault="002C1266" w:rsidP="000B6828">
            <w:pPr>
              <w:pStyle w:val="In-tableHeading"/>
              <w:rPr>
                <w:lang w:val="en-AU"/>
              </w:rPr>
            </w:pPr>
            <w:r w:rsidRPr="0098262F">
              <w:rPr>
                <w:lang w:val="en-AU"/>
              </w:rPr>
              <w:t>Year 5</w:t>
            </w:r>
          </w:p>
        </w:tc>
        <w:tc>
          <w:tcPr>
            <w:tcW w:w="611" w:type="pct"/>
          </w:tcPr>
          <w:p w14:paraId="08312E7D" w14:textId="77777777" w:rsidR="002C1266" w:rsidRPr="0098262F" w:rsidRDefault="002C1266" w:rsidP="000B6828">
            <w:pPr>
              <w:pStyle w:val="In-tableHeading"/>
              <w:rPr>
                <w:lang w:val="en-AU"/>
              </w:rPr>
            </w:pPr>
            <w:r w:rsidRPr="0098262F">
              <w:rPr>
                <w:lang w:val="en-AU"/>
              </w:rPr>
              <w:t>Year 6</w:t>
            </w:r>
          </w:p>
        </w:tc>
      </w:tr>
      <w:tr w:rsidR="002C1266" w:rsidRPr="0098262F" w14:paraId="7DFA7040" w14:textId="77777777" w:rsidTr="2BCE08C6">
        <w:tc>
          <w:tcPr>
            <w:tcW w:w="5000" w:type="pct"/>
            <w:gridSpan w:val="7"/>
            <w:shd w:val="clear" w:color="auto" w:fill="D9D9D9" w:themeFill="background1" w:themeFillShade="D9"/>
            <w:vAlign w:val="center"/>
          </w:tcPr>
          <w:p w14:paraId="2DA3BF9B" w14:textId="77777777" w:rsidR="002C1266" w:rsidRPr="0098262F" w:rsidRDefault="002C1266" w:rsidP="000B6828">
            <w:pPr>
              <w:pStyle w:val="In-tableHeading"/>
              <w:rPr>
                <w:bCs/>
                <w:color w:val="000000"/>
                <w:lang w:val="en-AU"/>
              </w:rPr>
            </w:pPr>
            <w:r w:rsidRPr="0098262F">
              <w:rPr>
                <w:bCs/>
                <w:color w:val="000000"/>
                <w:lang w:val="en-AU"/>
              </w:rPr>
              <w:t>Estimated extent of use</w:t>
            </w:r>
          </w:p>
        </w:tc>
      </w:tr>
      <w:tr w:rsidR="002C1266" w:rsidRPr="002F28FB" w14:paraId="3814AE62" w14:textId="77777777" w:rsidTr="2BCE08C6">
        <w:tc>
          <w:tcPr>
            <w:tcW w:w="1334" w:type="pct"/>
            <w:shd w:val="clear" w:color="auto" w:fill="auto"/>
            <w:vAlign w:val="center"/>
          </w:tcPr>
          <w:p w14:paraId="0BB14A61" w14:textId="77777777" w:rsidR="002C1266" w:rsidRPr="002F28FB" w:rsidRDefault="002C1266" w:rsidP="000B6828">
            <w:pPr>
              <w:pStyle w:val="TableText0"/>
              <w:keepNext/>
              <w:rPr>
                <w:rFonts w:ascii="Times" w:hAnsi="Times"/>
                <w:b/>
              </w:rPr>
            </w:pPr>
            <w:r w:rsidRPr="002F28FB">
              <w:rPr>
                <w:b/>
              </w:rPr>
              <w:t>Number of patients treated</w:t>
            </w:r>
          </w:p>
        </w:tc>
        <w:tc>
          <w:tcPr>
            <w:tcW w:w="611" w:type="pct"/>
            <w:shd w:val="clear" w:color="auto" w:fill="auto"/>
          </w:tcPr>
          <w:p w14:paraId="2B7F19EC" w14:textId="40B0CCB1" w:rsidR="002C1266" w:rsidRPr="00196776" w:rsidRDefault="007F3646" w:rsidP="000B6828">
            <w:pPr>
              <w:pStyle w:val="TableText0"/>
              <w:keepNext/>
              <w:jc w:val="center"/>
              <w:rPr>
                <w:b/>
                <w:color w:val="000000"/>
                <w:vertAlign w:val="superscript"/>
              </w:rPr>
            </w:pPr>
            <w:r w:rsidRPr="007F3646">
              <w:rPr>
                <w:b/>
                <w:color w:val="000000"/>
                <w:spacing w:val="58"/>
                <w:shd w:val="solid" w:color="000000" w:fill="000000"/>
                <w:fitText w:val="360" w:id="-663525616"/>
                <w14:textFill>
                  <w14:solidFill>
                    <w14:srgbClr w14:val="000000">
                      <w14:alpha w14:val="100000"/>
                    </w14:srgbClr>
                  </w14:solidFill>
                </w14:textFill>
              </w:rPr>
              <w:t>|||</w:t>
            </w:r>
            <w:r w:rsidRPr="007F3646">
              <w:rPr>
                <w:b/>
                <w:color w:val="000000"/>
                <w:spacing w:val="3"/>
                <w:shd w:val="solid" w:color="000000" w:fill="000000"/>
                <w:fitText w:val="360" w:id="-663525616"/>
                <w14:textFill>
                  <w14:solidFill>
                    <w14:srgbClr w14:val="000000">
                      <w14:alpha w14:val="100000"/>
                    </w14:srgbClr>
                  </w14:solidFill>
                </w14:textFill>
              </w:rPr>
              <w:t>|</w:t>
            </w:r>
            <w:r w:rsidR="00196776">
              <w:rPr>
                <w:b/>
                <w:vertAlign w:val="superscript"/>
              </w:rPr>
              <w:t xml:space="preserve"> 1</w:t>
            </w:r>
          </w:p>
        </w:tc>
        <w:tc>
          <w:tcPr>
            <w:tcW w:w="611" w:type="pct"/>
            <w:shd w:val="clear" w:color="auto" w:fill="auto"/>
          </w:tcPr>
          <w:p w14:paraId="46122C6E" w14:textId="7C7F5DF5" w:rsidR="002C1266" w:rsidRPr="002F28FB" w:rsidRDefault="007F3646" w:rsidP="000B6828">
            <w:pPr>
              <w:pStyle w:val="TableText0"/>
              <w:keepNext/>
              <w:jc w:val="center"/>
              <w:rPr>
                <w:b/>
                <w:color w:val="000000"/>
              </w:rPr>
            </w:pPr>
            <w:r w:rsidRPr="007F3646">
              <w:rPr>
                <w:b/>
                <w:color w:val="000000"/>
                <w:spacing w:val="58"/>
                <w:shd w:val="solid" w:color="000000" w:fill="000000"/>
                <w:fitText w:val="360" w:id="-663525632"/>
                <w14:textFill>
                  <w14:solidFill>
                    <w14:srgbClr w14:val="000000">
                      <w14:alpha w14:val="100000"/>
                    </w14:srgbClr>
                  </w14:solidFill>
                </w14:textFill>
              </w:rPr>
              <w:t>|||</w:t>
            </w:r>
            <w:r w:rsidRPr="007F3646">
              <w:rPr>
                <w:b/>
                <w:color w:val="000000"/>
                <w:spacing w:val="3"/>
                <w:shd w:val="solid" w:color="000000" w:fill="000000"/>
                <w:fitText w:val="360" w:id="-663525632"/>
                <w14:textFill>
                  <w14:solidFill>
                    <w14:srgbClr w14:val="000000">
                      <w14:alpha w14:val="100000"/>
                    </w14:srgbClr>
                  </w14:solidFill>
                </w14:textFill>
              </w:rPr>
              <w:t>|</w:t>
            </w:r>
            <w:r w:rsidR="00196776">
              <w:rPr>
                <w:b/>
                <w:vertAlign w:val="superscript"/>
              </w:rPr>
              <w:t xml:space="preserve"> 1</w:t>
            </w:r>
          </w:p>
        </w:tc>
        <w:tc>
          <w:tcPr>
            <w:tcW w:w="611" w:type="pct"/>
            <w:shd w:val="clear" w:color="auto" w:fill="auto"/>
          </w:tcPr>
          <w:p w14:paraId="423F4C8E" w14:textId="148D4D32" w:rsidR="002C1266" w:rsidRPr="002F28FB" w:rsidRDefault="007F3646" w:rsidP="000B6828">
            <w:pPr>
              <w:pStyle w:val="TableText0"/>
              <w:keepNext/>
              <w:jc w:val="center"/>
              <w:rPr>
                <w:b/>
                <w:color w:val="000000"/>
              </w:rPr>
            </w:pPr>
            <w:r w:rsidRPr="007F3646">
              <w:rPr>
                <w:b/>
                <w:color w:val="000000"/>
                <w:spacing w:val="58"/>
                <w:shd w:val="solid" w:color="000000" w:fill="000000"/>
                <w:fitText w:val="360" w:id="-663525631"/>
                <w14:textFill>
                  <w14:solidFill>
                    <w14:srgbClr w14:val="000000">
                      <w14:alpha w14:val="100000"/>
                    </w14:srgbClr>
                  </w14:solidFill>
                </w14:textFill>
              </w:rPr>
              <w:t>|||</w:t>
            </w:r>
            <w:r w:rsidRPr="007F3646">
              <w:rPr>
                <w:b/>
                <w:color w:val="000000"/>
                <w:spacing w:val="3"/>
                <w:shd w:val="solid" w:color="000000" w:fill="000000"/>
                <w:fitText w:val="360" w:id="-663525631"/>
                <w14:textFill>
                  <w14:solidFill>
                    <w14:srgbClr w14:val="000000">
                      <w14:alpha w14:val="100000"/>
                    </w14:srgbClr>
                  </w14:solidFill>
                </w14:textFill>
              </w:rPr>
              <w:t>|</w:t>
            </w:r>
            <w:r w:rsidR="00196776">
              <w:rPr>
                <w:b/>
                <w:vertAlign w:val="superscript"/>
              </w:rPr>
              <w:t xml:space="preserve"> 1</w:t>
            </w:r>
          </w:p>
        </w:tc>
        <w:tc>
          <w:tcPr>
            <w:tcW w:w="611" w:type="pct"/>
            <w:shd w:val="clear" w:color="auto" w:fill="auto"/>
          </w:tcPr>
          <w:p w14:paraId="1168C033" w14:textId="36B4D020" w:rsidR="002C1266" w:rsidRPr="002F28FB" w:rsidRDefault="007F3646" w:rsidP="000B6828">
            <w:pPr>
              <w:pStyle w:val="TableText0"/>
              <w:keepNext/>
              <w:jc w:val="center"/>
              <w:rPr>
                <w:b/>
                <w:color w:val="000000"/>
              </w:rPr>
            </w:pPr>
            <w:r w:rsidRPr="007F3646">
              <w:rPr>
                <w:b/>
                <w:color w:val="000000"/>
                <w:spacing w:val="58"/>
                <w:shd w:val="solid" w:color="000000" w:fill="000000"/>
                <w:fitText w:val="360" w:id="-663525630"/>
                <w14:textFill>
                  <w14:solidFill>
                    <w14:srgbClr w14:val="000000">
                      <w14:alpha w14:val="100000"/>
                    </w14:srgbClr>
                  </w14:solidFill>
                </w14:textFill>
              </w:rPr>
              <w:t>|||</w:t>
            </w:r>
            <w:r w:rsidRPr="007F3646">
              <w:rPr>
                <w:b/>
                <w:color w:val="000000"/>
                <w:spacing w:val="3"/>
                <w:shd w:val="solid" w:color="000000" w:fill="000000"/>
                <w:fitText w:val="360" w:id="-663525630"/>
                <w14:textFill>
                  <w14:solidFill>
                    <w14:srgbClr w14:val="000000">
                      <w14:alpha w14:val="100000"/>
                    </w14:srgbClr>
                  </w14:solidFill>
                </w14:textFill>
              </w:rPr>
              <w:t>|</w:t>
            </w:r>
            <w:r w:rsidR="00196776">
              <w:rPr>
                <w:b/>
                <w:vertAlign w:val="superscript"/>
              </w:rPr>
              <w:t xml:space="preserve"> 1</w:t>
            </w:r>
          </w:p>
        </w:tc>
        <w:tc>
          <w:tcPr>
            <w:tcW w:w="611" w:type="pct"/>
            <w:shd w:val="clear" w:color="auto" w:fill="auto"/>
          </w:tcPr>
          <w:p w14:paraId="7AA22B7B" w14:textId="224DCC51" w:rsidR="002C1266" w:rsidRPr="002F28FB" w:rsidRDefault="007F3646" w:rsidP="000B6828">
            <w:pPr>
              <w:pStyle w:val="TableText0"/>
              <w:keepNext/>
              <w:jc w:val="center"/>
              <w:rPr>
                <w:b/>
                <w:color w:val="000000"/>
              </w:rPr>
            </w:pPr>
            <w:r w:rsidRPr="007F3646">
              <w:rPr>
                <w:b/>
                <w:color w:val="000000"/>
                <w:spacing w:val="58"/>
                <w:shd w:val="solid" w:color="000000" w:fill="000000"/>
                <w:fitText w:val="360" w:id="-663525629"/>
                <w14:textFill>
                  <w14:solidFill>
                    <w14:srgbClr w14:val="000000">
                      <w14:alpha w14:val="100000"/>
                    </w14:srgbClr>
                  </w14:solidFill>
                </w14:textFill>
              </w:rPr>
              <w:t>|||</w:t>
            </w:r>
            <w:r w:rsidRPr="007F3646">
              <w:rPr>
                <w:b/>
                <w:color w:val="000000"/>
                <w:spacing w:val="3"/>
                <w:shd w:val="solid" w:color="000000" w:fill="000000"/>
                <w:fitText w:val="360" w:id="-663525629"/>
                <w14:textFill>
                  <w14:solidFill>
                    <w14:srgbClr w14:val="000000">
                      <w14:alpha w14:val="100000"/>
                    </w14:srgbClr>
                  </w14:solidFill>
                </w14:textFill>
              </w:rPr>
              <w:t>|</w:t>
            </w:r>
            <w:r w:rsidR="00196776">
              <w:rPr>
                <w:b/>
                <w:vertAlign w:val="superscript"/>
              </w:rPr>
              <w:t xml:space="preserve"> 1</w:t>
            </w:r>
          </w:p>
        </w:tc>
        <w:tc>
          <w:tcPr>
            <w:tcW w:w="611" w:type="pct"/>
          </w:tcPr>
          <w:p w14:paraId="3A6B0E69" w14:textId="3ED9A133" w:rsidR="002C1266" w:rsidRPr="002F28FB" w:rsidRDefault="007F3646" w:rsidP="000B6828">
            <w:pPr>
              <w:pStyle w:val="TableText0"/>
              <w:keepNext/>
              <w:jc w:val="center"/>
              <w:rPr>
                <w:b/>
                <w:color w:val="000000"/>
              </w:rPr>
            </w:pPr>
            <w:r w:rsidRPr="007F3646">
              <w:rPr>
                <w:b/>
                <w:color w:val="000000"/>
                <w:spacing w:val="58"/>
                <w:shd w:val="solid" w:color="000000" w:fill="000000"/>
                <w:fitText w:val="360" w:id="-663525628"/>
                <w14:textFill>
                  <w14:solidFill>
                    <w14:srgbClr w14:val="000000">
                      <w14:alpha w14:val="100000"/>
                    </w14:srgbClr>
                  </w14:solidFill>
                </w14:textFill>
              </w:rPr>
              <w:t>|||</w:t>
            </w:r>
            <w:r w:rsidRPr="007F3646">
              <w:rPr>
                <w:b/>
                <w:color w:val="000000"/>
                <w:spacing w:val="3"/>
                <w:shd w:val="solid" w:color="000000" w:fill="000000"/>
                <w:fitText w:val="360" w:id="-663525628"/>
                <w14:textFill>
                  <w14:solidFill>
                    <w14:srgbClr w14:val="000000">
                      <w14:alpha w14:val="100000"/>
                    </w14:srgbClr>
                  </w14:solidFill>
                </w14:textFill>
              </w:rPr>
              <w:t>|</w:t>
            </w:r>
            <w:r w:rsidR="00196776">
              <w:rPr>
                <w:b/>
                <w:vertAlign w:val="superscript"/>
              </w:rPr>
              <w:t xml:space="preserve"> 1</w:t>
            </w:r>
          </w:p>
        </w:tc>
      </w:tr>
      <w:tr w:rsidR="002C1266" w:rsidRPr="0098262F" w14:paraId="7E604770" w14:textId="77777777" w:rsidTr="2BCE08C6">
        <w:tc>
          <w:tcPr>
            <w:tcW w:w="1334" w:type="pct"/>
            <w:shd w:val="clear" w:color="auto" w:fill="auto"/>
            <w:vAlign w:val="center"/>
          </w:tcPr>
          <w:p w14:paraId="0C72B015" w14:textId="77777777" w:rsidR="002C1266" w:rsidRPr="0098262F" w:rsidRDefault="002C1266" w:rsidP="000B6828">
            <w:pPr>
              <w:pStyle w:val="TableText0"/>
              <w:keepNext/>
              <w:ind w:left="284"/>
            </w:pPr>
            <w:r>
              <w:t>BEC ≥300 cell/µl segment</w:t>
            </w:r>
          </w:p>
        </w:tc>
        <w:tc>
          <w:tcPr>
            <w:tcW w:w="611" w:type="pct"/>
            <w:shd w:val="clear" w:color="auto" w:fill="auto"/>
          </w:tcPr>
          <w:p w14:paraId="26D9DE3C" w14:textId="19008423" w:rsidR="002C1266" w:rsidRPr="0009793F" w:rsidRDefault="007F3646" w:rsidP="000B6828">
            <w:pPr>
              <w:pStyle w:val="TableText0"/>
              <w:keepNext/>
              <w:jc w:val="center"/>
            </w:pPr>
            <w:r w:rsidRPr="007F3646">
              <w:rPr>
                <w:color w:val="000000"/>
                <w:spacing w:val="53"/>
                <w:shd w:val="solid" w:color="000000" w:fill="000000"/>
                <w:fitText w:val="330" w:id="-663525627"/>
                <w14:textFill>
                  <w14:solidFill>
                    <w14:srgbClr w14:val="000000">
                      <w14:alpha w14:val="100000"/>
                    </w14:srgbClr>
                  </w14:solidFill>
                </w14:textFill>
              </w:rPr>
              <w:t>|||</w:t>
            </w:r>
            <w:r w:rsidRPr="007F3646">
              <w:rPr>
                <w:color w:val="000000"/>
                <w:spacing w:val="1"/>
                <w:shd w:val="solid" w:color="000000" w:fill="000000"/>
                <w:fitText w:val="330" w:id="-663525627"/>
                <w14:textFill>
                  <w14:solidFill>
                    <w14:srgbClr w14:val="000000">
                      <w14:alpha w14:val="100000"/>
                    </w14:srgbClr>
                  </w14:solidFill>
                </w14:textFill>
              </w:rPr>
              <w:t>|</w:t>
            </w:r>
            <w:r w:rsidR="00196776">
              <w:rPr>
                <w:b/>
                <w:vertAlign w:val="superscript"/>
              </w:rPr>
              <w:t xml:space="preserve"> 2</w:t>
            </w:r>
          </w:p>
        </w:tc>
        <w:tc>
          <w:tcPr>
            <w:tcW w:w="611" w:type="pct"/>
            <w:shd w:val="clear" w:color="auto" w:fill="auto"/>
          </w:tcPr>
          <w:p w14:paraId="0F2F7E04" w14:textId="55C9D4DA" w:rsidR="002C1266" w:rsidRPr="0009793F" w:rsidRDefault="007F3646" w:rsidP="000B6828">
            <w:pPr>
              <w:pStyle w:val="TableText0"/>
              <w:keepNext/>
              <w:jc w:val="center"/>
            </w:pPr>
            <w:r w:rsidRPr="007F3646">
              <w:rPr>
                <w:color w:val="000000"/>
                <w:spacing w:val="53"/>
                <w:shd w:val="solid" w:color="000000" w:fill="000000"/>
                <w:fitText w:val="330" w:id="-663525626"/>
                <w14:textFill>
                  <w14:solidFill>
                    <w14:srgbClr w14:val="000000">
                      <w14:alpha w14:val="100000"/>
                    </w14:srgbClr>
                  </w14:solidFill>
                </w14:textFill>
              </w:rPr>
              <w:t>|||</w:t>
            </w:r>
            <w:r w:rsidRPr="007F3646">
              <w:rPr>
                <w:color w:val="000000"/>
                <w:spacing w:val="1"/>
                <w:shd w:val="solid" w:color="000000" w:fill="000000"/>
                <w:fitText w:val="330" w:id="-663525626"/>
                <w14:textFill>
                  <w14:solidFill>
                    <w14:srgbClr w14:val="000000">
                      <w14:alpha w14:val="100000"/>
                    </w14:srgbClr>
                  </w14:solidFill>
                </w14:textFill>
              </w:rPr>
              <w:t>|</w:t>
            </w:r>
            <w:r w:rsidR="00196776">
              <w:rPr>
                <w:b/>
                <w:vertAlign w:val="superscript"/>
              </w:rPr>
              <w:t xml:space="preserve"> 2</w:t>
            </w:r>
          </w:p>
        </w:tc>
        <w:tc>
          <w:tcPr>
            <w:tcW w:w="611" w:type="pct"/>
            <w:shd w:val="clear" w:color="auto" w:fill="auto"/>
          </w:tcPr>
          <w:p w14:paraId="2C02073E" w14:textId="65629995" w:rsidR="002C1266" w:rsidRPr="0009793F" w:rsidRDefault="007F3646" w:rsidP="000B6828">
            <w:pPr>
              <w:pStyle w:val="TableText0"/>
              <w:keepNext/>
              <w:jc w:val="center"/>
            </w:pPr>
            <w:r w:rsidRPr="007F3646">
              <w:rPr>
                <w:color w:val="000000"/>
                <w:spacing w:val="53"/>
                <w:shd w:val="solid" w:color="000000" w:fill="000000"/>
                <w:fitText w:val="330" w:id="-663525625"/>
                <w14:textFill>
                  <w14:solidFill>
                    <w14:srgbClr w14:val="000000">
                      <w14:alpha w14:val="100000"/>
                    </w14:srgbClr>
                  </w14:solidFill>
                </w14:textFill>
              </w:rPr>
              <w:t>|||</w:t>
            </w:r>
            <w:r w:rsidRPr="007F3646">
              <w:rPr>
                <w:color w:val="000000"/>
                <w:spacing w:val="1"/>
                <w:shd w:val="solid" w:color="000000" w:fill="000000"/>
                <w:fitText w:val="330" w:id="-663525625"/>
                <w14:textFill>
                  <w14:solidFill>
                    <w14:srgbClr w14:val="000000">
                      <w14:alpha w14:val="100000"/>
                    </w14:srgbClr>
                  </w14:solidFill>
                </w14:textFill>
              </w:rPr>
              <w:t>|</w:t>
            </w:r>
            <w:r w:rsidR="00196776">
              <w:rPr>
                <w:b/>
                <w:vertAlign w:val="superscript"/>
              </w:rPr>
              <w:t xml:space="preserve"> 2</w:t>
            </w:r>
          </w:p>
        </w:tc>
        <w:tc>
          <w:tcPr>
            <w:tcW w:w="611" w:type="pct"/>
            <w:shd w:val="clear" w:color="auto" w:fill="auto"/>
          </w:tcPr>
          <w:p w14:paraId="64DC9A4E" w14:textId="3E85B061" w:rsidR="002C1266" w:rsidRPr="0009793F" w:rsidRDefault="007F3646" w:rsidP="000B6828">
            <w:pPr>
              <w:pStyle w:val="TableText0"/>
              <w:keepNext/>
              <w:jc w:val="center"/>
            </w:pPr>
            <w:r w:rsidRPr="007F3646">
              <w:rPr>
                <w:color w:val="000000"/>
                <w:spacing w:val="53"/>
                <w:shd w:val="solid" w:color="000000" w:fill="000000"/>
                <w:fitText w:val="330" w:id="-663525624"/>
                <w14:textFill>
                  <w14:solidFill>
                    <w14:srgbClr w14:val="000000">
                      <w14:alpha w14:val="100000"/>
                    </w14:srgbClr>
                  </w14:solidFill>
                </w14:textFill>
              </w:rPr>
              <w:t>|||</w:t>
            </w:r>
            <w:r w:rsidRPr="007F3646">
              <w:rPr>
                <w:color w:val="000000"/>
                <w:spacing w:val="1"/>
                <w:shd w:val="solid" w:color="000000" w:fill="000000"/>
                <w:fitText w:val="330" w:id="-663525624"/>
                <w14:textFill>
                  <w14:solidFill>
                    <w14:srgbClr w14:val="000000">
                      <w14:alpha w14:val="100000"/>
                    </w14:srgbClr>
                  </w14:solidFill>
                </w14:textFill>
              </w:rPr>
              <w:t>|</w:t>
            </w:r>
            <w:r w:rsidR="00196776">
              <w:rPr>
                <w:b/>
                <w:vertAlign w:val="superscript"/>
              </w:rPr>
              <w:t xml:space="preserve"> 2</w:t>
            </w:r>
          </w:p>
        </w:tc>
        <w:tc>
          <w:tcPr>
            <w:tcW w:w="611" w:type="pct"/>
            <w:shd w:val="clear" w:color="auto" w:fill="auto"/>
          </w:tcPr>
          <w:p w14:paraId="7E1898CB" w14:textId="467053ED" w:rsidR="002C1266" w:rsidRPr="0009793F" w:rsidRDefault="007F3646" w:rsidP="000B6828">
            <w:pPr>
              <w:pStyle w:val="TableText0"/>
              <w:keepNext/>
              <w:jc w:val="center"/>
            </w:pPr>
            <w:r w:rsidRPr="007F3646">
              <w:rPr>
                <w:color w:val="000000"/>
                <w:spacing w:val="53"/>
                <w:shd w:val="solid" w:color="000000" w:fill="000000"/>
                <w:fitText w:val="330" w:id="-663525623"/>
                <w14:textFill>
                  <w14:solidFill>
                    <w14:srgbClr w14:val="000000">
                      <w14:alpha w14:val="100000"/>
                    </w14:srgbClr>
                  </w14:solidFill>
                </w14:textFill>
              </w:rPr>
              <w:t>|||</w:t>
            </w:r>
            <w:r w:rsidRPr="007F3646">
              <w:rPr>
                <w:color w:val="000000"/>
                <w:spacing w:val="1"/>
                <w:shd w:val="solid" w:color="000000" w:fill="000000"/>
                <w:fitText w:val="330" w:id="-663525623"/>
                <w14:textFill>
                  <w14:solidFill>
                    <w14:srgbClr w14:val="000000">
                      <w14:alpha w14:val="100000"/>
                    </w14:srgbClr>
                  </w14:solidFill>
                </w14:textFill>
              </w:rPr>
              <w:t>|</w:t>
            </w:r>
            <w:r w:rsidR="00196776">
              <w:rPr>
                <w:b/>
                <w:vertAlign w:val="superscript"/>
              </w:rPr>
              <w:t xml:space="preserve"> 2</w:t>
            </w:r>
          </w:p>
        </w:tc>
        <w:tc>
          <w:tcPr>
            <w:tcW w:w="611" w:type="pct"/>
          </w:tcPr>
          <w:p w14:paraId="10AAAA9F" w14:textId="41E89EBC" w:rsidR="002C1266" w:rsidRPr="0009793F" w:rsidRDefault="007F3646" w:rsidP="000B6828">
            <w:pPr>
              <w:pStyle w:val="TableText0"/>
              <w:keepNext/>
              <w:jc w:val="center"/>
            </w:pPr>
            <w:r w:rsidRPr="007F3646">
              <w:rPr>
                <w:color w:val="000000"/>
                <w:spacing w:val="53"/>
                <w:shd w:val="solid" w:color="000000" w:fill="000000"/>
                <w:fitText w:val="330" w:id="-663525622"/>
                <w14:textFill>
                  <w14:solidFill>
                    <w14:srgbClr w14:val="000000">
                      <w14:alpha w14:val="100000"/>
                    </w14:srgbClr>
                  </w14:solidFill>
                </w14:textFill>
              </w:rPr>
              <w:t>|||</w:t>
            </w:r>
            <w:r w:rsidRPr="007F3646">
              <w:rPr>
                <w:color w:val="000000"/>
                <w:spacing w:val="1"/>
                <w:shd w:val="solid" w:color="000000" w:fill="000000"/>
                <w:fitText w:val="330" w:id="-663525622"/>
                <w14:textFill>
                  <w14:solidFill>
                    <w14:srgbClr w14:val="000000">
                      <w14:alpha w14:val="100000"/>
                    </w14:srgbClr>
                  </w14:solidFill>
                </w14:textFill>
              </w:rPr>
              <w:t>|</w:t>
            </w:r>
            <w:r w:rsidR="00196776">
              <w:rPr>
                <w:b/>
                <w:vertAlign w:val="superscript"/>
              </w:rPr>
              <w:t xml:space="preserve"> 2</w:t>
            </w:r>
          </w:p>
        </w:tc>
      </w:tr>
      <w:tr w:rsidR="002C1266" w:rsidRPr="0098262F" w14:paraId="30599127" w14:textId="77777777" w:rsidTr="2BCE08C6">
        <w:tc>
          <w:tcPr>
            <w:tcW w:w="1334" w:type="pct"/>
            <w:shd w:val="clear" w:color="auto" w:fill="auto"/>
            <w:vAlign w:val="center"/>
          </w:tcPr>
          <w:p w14:paraId="4EA17DEF" w14:textId="77777777" w:rsidR="002C1266" w:rsidRPr="0098262F" w:rsidRDefault="002C1266" w:rsidP="000B6828">
            <w:pPr>
              <w:pStyle w:val="TableText0"/>
              <w:keepNext/>
              <w:ind w:left="284"/>
            </w:pPr>
            <w:r>
              <w:t>BEC &lt;300 cells/µl segment</w:t>
            </w:r>
          </w:p>
        </w:tc>
        <w:tc>
          <w:tcPr>
            <w:tcW w:w="611" w:type="pct"/>
            <w:shd w:val="clear" w:color="auto" w:fill="auto"/>
          </w:tcPr>
          <w:p w14:paraId="2469298B" w14:textId="0F8B5D92" w:rsidR="002C1266" w:rsidRPr="0009793F" w:rsidRDefault="007F3646" w:rsidP="000B6828">
            <w:pPr>
              <w:pStyle w:val="TableText0"/>
              <w:keepNext/>
              <w:jc w:val="center"/>
            </w:pPr>
            <w:r w:rsidRPr="007F3646">
              <w:rPr>
                <w:color w:val="000000"/>
                <w:spacing w:val="53"/>
                <w:shd w:val="solid" w:color="000000" w:fill="000000"/>
                <w:fitText w:val="330" w:id="-663525621"/>
                <w14:textFill>
                  <w14:solidFill>
                    <w14:srgbClr w14:val="000000">
                      <w14:alpha w14:val="100000"/>
                    </w14:srgbClr>
                  </w14:solidFill>
                </w14:textFill>
              </w:rPr>
              <w:t>|||</w:t>
            </w:r>
            <w:r w:rsidRPr="007F3646">
              <w:rPr>
                <w:color w:val="000000"/>
                <w:spacing w:val="1"/>
                <w:shd w:val="solid" w:color="000000" w:fill="000000"/>
                <w:fitText w:val="330" w:id="-663525621"/>
                <w14:textFill>
                  <w14:solidFill>
                    <w14:srgbClr w14:val="000000">
                      <w14:alpha w14:val="100000"/>
                    </w14:srgbClr>
                  </w14:solidFill>
                </w14:textFill>
              </w:rPr>
              <w:t>|</w:t>
            </w:r>
            <w:r w:rsidR="00196776">
              <w:rPr>
                <w:b/>
                <w:vertAlign w:val="superscript"/>
              </w:rPr>
              <w:t xml:space="preserve"> 2</w:t>
            </w:r>
          </w:p>
        </w:tc>
        <w:tc>
          <w:tcPr>
            <w:tcW w:w="611" w:type="pct"/>
            <w:shd w:val="clear" w:color="auto" w:fill="auto"/>
          </w:tcPr>
          <w:p w14:paraId="716B8CAA" w14:textId="3B271C68" w:rsidR="002C1266" w:rsidRPr="0009793F" w:rsidRDefault="007F3646" w:rsidP="000B6828">
            <w:pPr>
              <w:pStyle w:val="TableText0"/>
              <w:keepNext/>
              <w:jc w:val="center"/>
            </w:pPr>
            <w:r w:rsidRPr="007F3646">
              <w:rPr>
                <w:color w:val="000000"/>
                <w:spacing w:val="53"/>
                <w:shd w:val="solid" w:color="000000" w:fill="000000"/>
                <w:fitText w:val="330" w:id="-663525620"/>
                <w14:textFill>
                  <w14:solidFill>
                    <w14:srgbClr w14:val="000000">
                      <w14:alpha w14:val="100000"/>
                    </w14:srgbClr>
                  </w14:solidFill>
                </w14:textFill>
              </w:rPr>
              <w:t>|||</w:t>
            </w:r>
            <w:r w:rsidRPr="007F3646">
              <w:rPr>
                <w:color w:val="000000"/>
                <w:spacing w:val="1"/>
                <w:shd w:val="solid" w:color="000000" w:fill="000000"/>
                <w:fitText w:val="330" w:id="-663525620"/>
                <w14:textFill>
                  <w14:solidFill>
                    <w14:srgbClr w14:val="000000">
                      <w14:alpha w14:val="100000"/>
                    </w14:srgbClr>
                  </w14:solidFill>
                </w14:textFill>
              </w:rPr>
              <w:t>|</w:t>
            </w:r>
            <w:r w:rsidR="00196776">
              <w:rPr>
                <w:b/>
                <w:vertAlign w:val="superscript"/>
              </w:rPr>
              <w:t xml:space="preserve"> 2</w:t>
            </w:r>
          </w:p>
        </w:tc>
        <w:tc>
          <w:tcPr>
            <w:tcW w:w="611" w:type="pct"/>
            <w:shd w:val="clear" w:color="auto" w:fill="auto"/>
          </w:tcPr>
          <w:p w14:paraId="4600476D" w14:textId="26879702" w:rsidR="002C1266" w:rsidRPr="0009793F" w:rsidRDefault="007F3646" w:rsidP="000B6828">
            <w:pPr>
              <w:pStyle w:val="TableText0"/>
              <w:keepNext/>
              <w:jc w:val="center"/>
            </w:pPr>
            <w:r w:rsidRPr="007F3646">
              <w:rPr>
                <w:color w:val="000000"/>
                <w:spacing w:val="53"/>
                <w:shd w:val="solid" w:color="000000" w:fill="000000"/>
                <w:fitText w:val="330" w:id="-663525619"/>
                <w14:textFill>
                  <w14:solidFill>
                    <w14:srgbClr w14:val="000000">
                      <w14:alpha w14:val="100000"/>
                    </w14:srgbClr>
                  </w14:solidFill>
                </w14:textFill>
              </w:rPr>
              <w:t>|||</w:t>
            </w:r>
            <w:r w:rsidRPr="007F3646">
              <w:rPr>
                <w:color w:val="000000"/>
                <w:spacing w:val="1"/>
                <w:shd w:val="solid" w:color="000000" w:fill="000000"/>
                <w:fitText w:val="330" w:id="-663525619"/>
                <w14:textFill>
                  <w14:solidFill>
                    <w14:srgbClr w14:val="000000">
                      <w14:alpha w14:val="100000"/>
                    </w14:srgbClr>
                  </w14:solidFill>
                </w14:textFill>
              </w:rPr>
              <w:t>|</w:t>
            </w:r>
            <w:r w:rsidR="00196776">
              <w:rPr>
                <w:b/>
                <w:vertAlign w:val="superscript"/>
              </w:rPr>
              <w:t xml:space="preserve"> 2</w:t>
            </w:r>
          </w:p>
        </w:tc>
        <w:tc>
          <w:tcPr>
            <w:tcW w:w="611" w:type="pct"/>
            <w:shd w:val="clear" w:color="auto" w:fill="auto"/>
          </w:tcPr>
          <w:p w14:paraId="13C0E935" w14:textId="4CC5FCA9" w:rsidR="002C1266" w:rsidRPr="0009793F" w:rsidRDefault="007F3646" w:rsidP="000B6828">
            <w:pPr>
              <w:pStyle w:val="TableText0"/>
              <w:keepNext/>
              <w:jc w:val="center"/>
            </w:pPr>
            <w:r w:rsidRPr="007F3646">
              <w:rPr>
                <w:color w:val="000000"/>
                <w:spacing w:val="53"/>
                <w:shd w:val="solid" w:color="000000" w:fill="000000"/>
                <w:fitText w:val="330" w:id="-663525618"/>
                <w14:textFill>
                  <w14:solidFill>
                    <w14:srgbClr w14:val="000000">
                      <w14:alpha w14:val="100000"/>
                    </w14:srgbClr>
                  </w14:solidFill>
                </w14:textFill>
              </w:rPr>
              <w:t>|||</w:t>
            </w:r>
            <w:r w:rsidRPr="007F3646">
              <w:rPr>
                <w:color w:val="000000"/>
                <w:spacing w:val="1"/>
                <w:shd w:val="solid" w:color="000000" w:fill="000000"/>
                <w:fitText w:val="330" w:id="-663525618"/>
                <w14:textFill>
                  <w14:solidFill>
                    <w14:srgbClr w14:val="000000">
                      <w14:alpha w14:val="100000"/>
                    </w14:srgbClr>
                  </w14:solidFill>
                </w14:textFill>
              </w:rPr>
              <w:t>|</w:t>
            </w:r>
            <w:r w:rsidR="00196776">
              <w:rPr>
                <w:b/>
                <w:vertAlign w:val="superscript"/>
              </w:rPr>
              <w:t xml:space="preserve"> 2</w:t>
            </w:r>
          </w:p>
        </w:tc>
        <w:tc>
          <w:tcPr>
            <w:tcW w:w="611" w:type="pct"/>
            <w:shd w:val="clear" w:color="auto" w:fill="auto"/>
          </w:tcPr>
          <w:p w14:paraId="6ABF4A1A" w14:textId="4E2F46FD" w:rsidR="002C1266" w:rsidRPr="0009793F" w:rsidRDefault="007F3646" w:rsidP="000B6828">
            <w:pPr>
              <w:pStyle w:val="TableText0"/>
              <w:keepNext/>
              <w:jc w:val="center"/>
            </w:pPr>
            <w:r w:rsidRPr="007F3646">
              <w:rPr>
                <w:color w:val="000000"/>
                <w:spacing w:val="53"/>
                <w:shd w:val="solid" w:color="000000" w:fill="000000"/>
                <w:fitText w:val="330" w:id="-663525617"/>
                <w14:textFill>
                  <w14:solidFill>
                    <w14:srgbClr w14:val="000000">
                      <w14:alpha w14:val="100000"/>
                    </w14:srgbClr>
                  </w14:solidFill>
                </w14:textFill>
              </w:rPr>
              <w:t>|||</w:t>
            </w:r>
            <w:r w:rsidRPr="007F3646">
              <w:rPr>
                <w:color w:val="000000"/>
                <w:spacing w:val="1"/>
                <w:shd w:val="solid" w:color="000000" w:fill="000000"/>
                <w:fitText w:val="330" w:id="-663525617"/>
                <w14:textFill>
                  <w14:solidFill>
                    <w14:srgbClr w14:val="000000">
                      <w14:alpha w14:val="100000"/>
                    </w14:srgbClr>
                  </w14:solidFill>
                </w14:textFill>
              </w:rPr>
              <w:t>|</w:t>
            </w:r>
            <w:r w:rsidR="00196776">
              <w:rPr>
                <w:b/>
                <w:vertAlign w:val="superscript"/>
              </w:rPr>
              <w:t xml:space="preserve"> 2</w:t>
            </w:r>
          </w:p>
        </w:tc>
        <w:tc>
          <w:tcPr>
            <w:tcW w:w="611" w:type="pct"/>
          </w:tcPr>
          <w:p w14:paraId="478ABBF5" w14:textId="35D74947" w:rsidR="002C1266" w:rsidRPr="0009793F" w:rsidRDefault="007F3646" w:rsidP="000B6828">
            <w:pPr>
              <w:pStyle w:val="TableText0"/>
              <w:keepNext/>
              <w:jc w:val="center"/>
            </w:pPr>
            <w:r w:rsidRPr="007F3646">
              <w:rPr>
                <w:color w:val="000000"/>
                <w:spacing w:val="53"/>
                <w:shd w:val="solid" w:color="000000" w:fill="000000"/>
                <w:fitText w:val="330" w:id="-663525616"/>
                <w14:textFill>
                  <w14:solidFill>
                    <w14:srgbClr w14:val="000000">
                      <w14:alpha w14:val="100000"/>
                    </w14:srgbClr>
                  </w14:solidFill>
                </w14:textFill>
              </w:rPr>
              <w:t>|||</w:t>
            </w:r>
            <w:r w:rsidRPr="007F3646">
              <w:rPr>
                <w:color w:val="000000"/>
                <w:spacing w:val="1"/>
                <w:shd w:val="solid" w:color="000000" w:fill="000000"/>
                <w:fitText w:val="330" w:id="-663525616"/>
                <w14:textFill>
                  <w14:solidFill>
                    <w14:srgbClr w14:val="000000">
                      <w14:alpha w14:val="100000"/>
                    </w14:srgbClr>
                  </w14:solidFill>
                </w14:textFill>
              </w:rPr>
              <w:t>|</w:t>
            </w:r>
            <w:r w:rsidR="00196776">
              <w:rPr>
                <w:b/>
                <w:vertAlign w:val="superscript"/>
              </w:rPr>
              <w:t xml:space="preserve"> 2</w:t>
            </w:r>
          </w:p>
        </w:tc>
      </w:tr>
      <w:tr w:rsidR="002C1266" w:rsidRPr="00454AC5" w14:paraId="76C17DCE" w14:textId="77777777" w:rsidTr="2BCE08C6">
        <w:tc>
          <w:tcPr>
            <w:tcW w:w="1334" w:type="pct"/>
            <w:shd w:val="clear" w:color="auto" w:fill="auto"/>
            <w:vAlign w:val="center"/>
          </w:tcPr>
          <w:p w14:paraId="77225543" w14:textId="67E89722" w:rsidR="002C1266" w:rsidRPr="00454AC5" w:rsidRDefault="002C1266" w:rsidP="000B6828">
            <w:pPr>
              <w:pStyle w:val="TableText0"/>
              <w:keepNext/>
              <w:rPr>
                <w:rFonts w:ascii="Times" w:hAnsi="Times"/>
                <w:b/>
              </w:rPr>
            </w:pPr>
            <w:r w:rsidRPr="2BCE08C6">
              <w:rPr>
                <w:b/>
              </w:rPr>
              <w:t xml:space="preserve">Number of scripts </w:t>
            </w:r>
            <w:proofErr w:type="spellStart"/>
            <w:r w:rsidRPr="2BCE08C6">
              <w:rPr>
                <w:b/>
              </w:rPr>
              <w:t>dispensed</w:t>
            </w:r>
            <w:r w:rsidRPr="2BCE08C6">
              <w:rPr>
                <w:b/>
                <w:vertAlign w:val="superscript"/>
              </w:rPr>
              <w:t>a</w:t>
            </w:r>
            <w:proofErr w:type="spellEnd"/>
          </w:p>
        </w:tc>
        <w:tc>
          <w:tcPr>
            <w:tcW w:w="611" w:type="pct"/>
            <w:shd w:val="clear" w:color="auto" w:fill="auto"/>
          </w:tcPr>
          <w:p w14:paraId="7B2DF235" w14:textId="7BB5D7A2" w:rsidR="002C1266" w:rsidRPr="00454AC5" w:rsidRDefault="007F3646" w:rsidP="000B6828">
            <w:pPr>
              <w:pStyle w:val="TableText0"/>
              <w:keepNext/>
              <w:jc w:val="center"/>
              <w:rPr>
                <w:b/>
                <w:color w:val="000000"/>
              </w:rPr>
            </w:pPr>
            <w:r w:rsidRPr="007F3646">
              <w:rPr>
                <w:b/>
                <w:color w:val="000000"/>
                <w:spacing w:val="58"/>
                <w:shd w:val="solid" w:color="000000" w:fill="000000"/>
                <w:fitText w:val="360" w:id="-663525632"/>
                <w14:textFill>
                  <w14:solidFill>
                    <w14:srgbClr w14:val="000000">
                      <w14:alpha w14:val="100000"/>
                    </w14:srgbClr>
                  </w14:solidFill>
                </w14:textFill>
              </w:rPr>
              <w:t>|||</w:t>
            </w:r>
            <w:r w:rsidRPr="007F3646">
              <w:rPr>
                <w:b/>
                <w:color w:val="000000"/>
                <w:spacing w:val="3"/>
                <w:shd w:val="solid" w:color="000000" w:fill="000000"/>
                <w:fitText w:val="360" w:id="-663525632"/>
                <w14:textFill>
                  <w14:solidFill>
                    <w14:srgbClr w14:val="000000">
                      <w14:alpha w14:val="100000"/>
                    </w14:srgbClr>
                  </w14:solidFill>
                </w14:textFill>
              </w:rPr>
              <w:t>|</w:t>
            </w:r>
            <w:r w:rsidR="00196776">
              <w:rPr>
                <w:b/>
                <w:vertAlign w:val="superscript"/>
              </w:rPr>
              <w:t xml:space="preserve"> 3</w:t>
            </w:r>
          </w:p>
        </w:tc>
        <w:tc>
          <w:tcPr>
            <w:tcW w:w="611" w:type="pct"/>
            <w:shd w:val="clear" w:color="auto" w:fill="auto"/>
          </w:tcPr>
          <w:p w14:paraId="2CB1D9A9" w14:textId="3DC7E7A9" w:rsidR="002C1266" w:rsidRPr="00454AC5" w:rsidRDefault="007F3646" w:rsidP="000B6828">
            <w:pPr>
              <w:pStyle w:val="TableText0"/>
              <w:keepNext/>
              <w:jc w:val="center"/>
              <w:rPr>
                <w:b/>
                <w:color w:val="000000"/>
              </w:rPr>
            </w:pPr>
            <w:r w:rsidRPr="007F3646">
              <w:rPr>
                <w:b/>
                <w:color w:val="000000"/>
                <w:spacing w:val="58"/>
                <w:shd w:val="solid" w:color="000000" w:fill="000000"/>
                <w:fitText w:val="360" w:id="-663525631"/>
                <w14:textFill>
                  <w14:solidFill>
                    <w14:srgbClr w14:val="000000">
                      <w14:alpha w14:val="100000"/>
                    </w14:srgbClr>
                  </w14:solidFill>
                </w14:textFill>
              </w:rPr>
              <w:t>|||</w:t>
            </w:r>
            <w:r w:rsidRPr="007F3646">
              <w:rPr>
                <w:b/>
                <w:color w:val="000000"/>
                <w:spacing w:val="3"/>
                <w:shd w:val="solid" w:color="000000" w:fill="000000"/>
                <w:fitText w:val="360" w:id="-663525631"/>
                <w14:textFill>
                  <w14:solidFill>
                    <w14:srgbClr w14:val="000000">
                      <w14:alpha w14:val="100000"/>
                    </w14:srgbClr>
                  </w14:solidFill>
                </w14:textFill>
              </w:rPr>
              <w:t>|</w:t>
            </w:r>
            <w:r w:rsidR="00E34E17">
              <w:rPr>
                <w:b/>
                <w:vertAlign w:val="superscript"/>
              </w:rPr>
              <w:t xml:space="preserve"> 4</w:t>
            </w:r>
          </w:p>
        </w:tc>
        <w:tc>
          <w:tcPr>
            <w:tcW w:w="611" w:type="pct"/>
            <w:shd w:val="clear" w:color="auto" w:fill="auto"/>
          </w:tcPr>
          <w:p w14:paraId="3DF7EC5B" w14:textId="31532ECC" w:rsidR="002C1266" w:rsidRPr="00454AC5" w:rsidRDefault="007F3646" w:rsidP="000B6828">
            <w:pPr>
              <w:pStyle w:val="TableText0"/>
              <w:keepNext/>
              <w:jc w:val="center"/>
              <w:rPr>
                <w:b/>
                <w:color w:val="000000"/>
              </w:rPr>
            </w:pPr>
            <w:r w:rsidRPr="007F3646">
              <w:rPr>
                <w:b/>
                <w:color w:val="000000"/>
                <w:spacing w:val="58"/>
                <w:shd w:val="solid" w:color="000000" w:fill="000000"/>
                <w:fitText w:val="360" w:id="-663525630"/>
                <w14:textFill>
                  <w14:solidFill>
                    <w14:srgbClr w14:val="000000">
                      <w14:alpha w14:val="100000"/>
                    </w14:srgbClr>
                  </w14:solidFill>
                </w14:textFill>
              </w:rPr>
              <w:t>|||</w:t>
            </w:r>
            <w:r w:rsidRPr="007F3646">
              <w:rPr>
                <w:b/>
                <w:color w:val="000000"/>
                <w:spacing w:val="3"/>
                <w:shd w:val="solid" w:color="000000" w:fill="000000"/>
                <w:fitText w:val="360" w:id="-663525630"/>
                <w14:textFill>
                  <w14:solidFill>
                    <w14:srgbClr w14:val="000000">
                      <w14:alpha w14:val="100000"/>
                    </w14:srgbClr>
                  </w14:solidFill>
                </w14:textFill>
              </w:rPr>
              <w:t>|</w:t>
            </w:r>
            <w:r w:rsidR="00E34E17">
              <w:rPr>
                <w:b/>
                <w:vertAlign w:val="superscript"/>
              </w:rPr>
              <w:t xml:space="preserve"> 4</w:t>
            </w:r>
          </w:p>
        </w:tc>
        <w:tc>
          <w:tcPr>
            <w:tcW w:w="611" w:type="pct"/>
            <w:shd w:val="clear" w:color="auto" w:fill="auto"/>
          </w:tcPr>
          <w:p w14:paraId="6B332F3B" w14:textId="09B0EE3A" w:rsidR="002C1266" w:rsidRPr="00454AC5" w:rsidRDefault="007F3646" w:rsidP="000B6828">
            <w:pPr>
              <w:pStyle w:val="TableText0"/>
              <w:keepNext/>
              <w:jc w:val="center"/>
              <w:rPr>
                <w:b/>
                <w:color w:val="000000"/>
              </w:rPr>
            </w:pPr>
            <w:r w:rsidRPr="007F3646">
              <w:rPr>
                <w:b/>
                <w:color w:val="000000"/>
                <w:spacing w:val="58"/>
                <w:shd w:val="solid" w:color="000000" w:fill="000000"/>
                <w:fitText w:val="360" w:id="-663525629"/>
                <w14:textFill>
                  <w14:solidFill>
                    <w14:srgbClr w14:val="000000">
                      <w14:alpha w14:val="100000"/>
                    </w14:srgbClr>
                  </w14:solidFill>
                </w14:textFill>
              </w:rPr>
              <w:t>|||</w:t>
            </w:r>
            <w:r w:rsidRPr="007F3646">
              <w:rPr>
                <w:b/>
                <w:color w:val="000000"/>
                <w:spacing w:val="3"/>
                <w:shd w:val="solid" w:color="000000" w:fill="000000"/>
                <w:fitText w:val="360" w:id="-663525629"/>
                <w14:textFill>
                  <w14:solidFill>
                    <w14:srgbClr w14:val="000000">
                      <w14:alpha w14:val="100000"/>
                    </w14:srgbClr>
                  </w14:solidFill>
                </w14:textFill>
              </w:rPr>
              <w:t>|</w:t>
            </w:r>
            <w:r w:rsidR="00E34E17">
              <w:rPr>
                <w:b/>
                <w:vertAlign w:val="superscript"/>
              </w:rPr>
              <w:t xml:space="preserve"> 4</w:t>
            </w:r>
          </w:p>
        </w:tc>
        <w:tc>
          <w:tcPr>
            <w:tcW w:w="611" w:type="pct"/>
            <w:shd w:val="clear" w:color="auto" w:fill="auto"/>
          </w:tcPr>
          <w:p w14:paraId="25A7D1E9" w14:textId="3BBB1F03" w:rsidR="002C1266" w:rsidRPr="00454AC5" w:rsidRDefault="007F3646" w:rsidP="000B6828">
            <w:pPr>
              <w:pStyle w:val="TableText0"/>
              <w:keepNext/>
              <w:jc w:val="center"/>
              <w:rPr>
                <w:b/>
                <w:color w:val="000000"/>
              </w:rPr>
            </w:pPr>
            <w:r w:rsidRPr="007F3646">
              <w:rPr>
                <w:b/>
                <w:color w:val="000000"/>
                <w:spacing w:val="58"/>
                <w:shd w:val="solid" w:color="000000" w:fill="000000"/>
                <w:fitText w:val="360" w:id="-663525628"/>
                <w14:textFill>
                  <w14:solidFill>
                    <w14:srgbClr w14:val="000000">
                      <w14:alpha w14:val="100000"/>
                    </w14:srgbClr>
                  </w14:solidFill>
                </w14:textFill>
              </w:rPr>
              <w:t>|||</w:t>
            </w:r>
            <w:r w:rsidRPr="007F3646">
              <w:rPr>
                <w:b/>
                <w:color w:val="000000"/>
                <w:spacing w:val="3"/>
                <w:shd w:val="solid" w:color="000000" w:fill="000000"/>
                <w:fitText w:val="360" w:id="-663525628"/>
                <w14:textFill>
                  <w14:solidFill>
                    <w14:srgbClr w14:val="000000">
                      <w14:alpha w14:val="100000"/>
                    </w14:srgbClr>
                  </w14:solidFill>
                </w14:textFill>
              </w:rPr>
              <w:t>|</w:t>
            </w:r>
            <w:r w:rsidR="00E34E17">
              <w:rPr>
                <w:b/>
                <w:vertAlign w:val="superscript"/>
              </w:rPr>
              <w:t xml:space="preserve"> 5</w:t>
            </w:r>
          </w:p>
        </w:tc>
        <w:tc>
          <w:tcPr>
            <w:tcW w:w="611" w:type="pct"/>
          </w:tcPr>
          <w:p w14:paraId="322CABA4" w14:textId="201F4E6C" w:rsidR="002C1266" w:rsidRPr="00454AC5" w:rsidRDefault="007F3646" w:rsidP="000B6828">
            <w:pPr>
              <w:pStyle w:val="TableText0"/>
              <w:keepNext/>
              <w:jc w:val="center"/>
              <w:rPr>
                <w:b/>
                <w:color w:val="000000"/>
              </w:rPr>
            </w:pPr>
            <w:r w:rsidRPr="007F3646">
              <w:rPr>
                <w:b/>
                <w:color w:val="000000"/>
                <w:spacing w:val="58"/>
                <w:shd w:val="solid" w:color="000000" w:fill="000000"/>
                <w:fitText w:val="360" w:id="-663525627"/>
                <w14:textFill>
                  <w14:solidFill>
                    <w14:srgbClr w14:val="000000">
                      <w14:alpha w14:val="100000"/>
                    </w14:srgbClr>
                  </w14:solidFill>
                </w14:textFill>
              </w:rPr>
              <w:t>|||</w:t>
            </w:r>
            <w:r w:rsidRPr="007F3646">
              <w:rPr>
                <w:b/>
                <w:color w:val="000000"/>
                <w:spacing w:val="3"/>
                <w:shd w:val="solid" w:color="000000" w:fill="000000"/>
                <w:fitText w:val="360" w:id="-663525627"/>
                <w14:textFill>
                  <w14:solidFill>
                    <w14:srgbClr w14:val="000000">
                      <w14:alpha w14:val="100000"/>
                    </w14:srgbClr>
                  </w14:solidFill>
                </w14:textFill>
              </w:rPr>
              <w:t>|</w:t>
            </w:r>
            <w:r w:rsidR="00E34E17">
              <w:rPr>
                <w:b/>
                <w:vertAlign w:val="superscript"/>
              </w:rPr>
              <w:t xml:space="preserve"> 5</w:t>
            </w:r>
          </w:p>
        </w:tc>
      </w:tr>
      <w:tr w:rsidR="002C1266" w:rsidRPr="0098262F" w14:paraId="67295433" w14:textId="77777777" w:rsidTr="2BCE08C6">
        <w:tc>
          <w:tcPr>
            <w:tcW w:w="1334" w:type="pct"/>
            <w:shd w:val="clear" w:color="auto" w:fill="auto"/>
            <w:vAlign w:val="center"/>
          </w:tcPr>
          <w:p w14:paraId="78042FC2" w14:textId="77777777" w:rsidR="002C1266" w:rsidRPr="0098262F" w:rsidRDefault="002C1266" w:rsidP="000B6828">
            <w:pPr>
              <w:pStyle w:val="TableText0"/>
              <w:keepNext/>
              <w:ind w:left="284"/>
            </w:pPr>
            <w:r>
              <w:t>BEC ≥300 cell/µl segment</w:t>
            </w:r>
          </w:p>
        </w:tc>
        <w:tc>
          <w:tcPr>
            <w:tcW w:w="611" w:type="pct"/>
            <w:shd w:val="clear" w:color="auto" w:fill="auto"/>
          </w:tcPr>
          <w:p w14:paraId="53A92348" w14:textId="2ABE73E0" w:rsidR="002C1266" w:rsidRPr="0009793F" w:rsidRDefault="007F3646" w:rsidP="000B6828">
            <w:pPr>
              <w:pStyle w:val="TableText0"/>
              <w:keepNext/>
              <w:jc w:val="center"/>
            </w:pPr>
            <w:r w:rsidRPr="007F3646">
              <w:rPr>
                <w:color w:val="000000"/>
                <w:spacing w:val="53"/>
                <w:shd w:val="solid" w:color="000000" w:fill="000000"/>
                <w:fitText w:val="330" w:id="-663525626"/>
                <w14:textFill>
                  <w14:solidFill>
                    <w14:srgbClr w14:val="000000">
                      <w14:alpha w14:val="100000"/>
                    </w14:srgbClr>
                  </w14:solidFill>
                </w14:textFill>
              </w:rPr>
              <w:t>|||</w:t>
            </w:r>
            <w:r w:rsidRPr="007F3646">
              <w:rPr>
                <w:color w:val="000000"/>
                <w:spacing w:val="1"/>
                <w:shd w:val="solid" w:color="000000" w:fill="000000"/>
                <w:fitText w:val="330" w:id="-663525626"/>
                <w14:textFill>
                  <w14:solidFill>
                    <w14:srgbClr w14:val="000000">
                      <w14:alpha w14:val="100000"/>
                    </w14:srgbClr>
                  </w14:solidFill>
                </w14:textFill>
              </w:rPr>
              <w:t>|</w:t>
            </w:r>
            <w:r w:rsidR="00196776">
              <w:rPr>
                <w:b/>
                <w:vertAlign w:val="superscript"/>
              </w:rPr>
              <w:t xml:space="preserve"> 2</w:t>
            </w:r>
          </w:p>
        </w:tc>
        <w:tc>
          <w:tcPr>
            <w:tcW w:w="611" w:type="pct"/>
            <w:shd w:val="clear" w:color="auto" w:fill="auto"/>
          </w:tcPr>
          <w:p w14:paraId="1ABB5A19" w14:textId="5D9312C1" w:rsidR="002C1266" w:rsidRPr="0009793F" w:rsidRDefault="007F3646" w:rsidP="000B6828">
            <w:pPr>
              <w:pStyle w:val="TableText0"/>
              <w:keepNext/>
              <w:jc w:val="center"/>
            </w:pPr>
            <w:r w:rsidRPr="007F3646">
              <w:rPr>
                <w:color w:val="000000"/>
                <w:spacing w:val="53"/>
                <w:shd w:val="solid" w:color="000000" w:fill="000000"/>
                <w:fitText w:val="330" w:id="-663525625"/>
                <w14:textFill>
                  <w14:solidFill>
                    <w14:srgbClr w14:val="000000">
                      <w14:alpha w14:val="100000"/>
                    </w14:srgbClr>
                  </w14:solidFill>
                </w14:textFill>
              </w:rPr>
              <w:t>|||</w:t>
            </w:r>
            <w:r w:rsidRPr="007F3646">
              <w:rPr>
                <w:color w:val="000000"/>
                <w:spacing w:val="1"/>
                <w:shd w:val="solid" w:color="000000" w:fill="000000"/>
                <w:fitText w:val="330" w:id="-663525625"/>
                <w14:textFill>
                  <w14:solidFill>
                    <w14:srgbClr w14:val="000000">
                      <w14:alpha w14:val="100000"/>
                    </w14:srgbClr>
                  </w14:solidFill>
                </w14:textFill>
              </w:rPr>
              <w:t>|</w:t>
            </w:r>
            <w:r w:rsidR="00196776">
              <w:rPr>
                <w:b/>
                <w:vertAlign w:val="superscript"/>
              </w:rPr>
              <w:t xml:space="preserve"> 1</w:t>
            </w:r>
          </w:p>
        </w:tc>
        <w:tc>
          <w:tcPr>
            <w:tcW w:w="611" w:type="pct"/>
            <w:shd w:val="clear" w:color="auto" w:fill="auto"/>
          </w:tcPr>
          <w:p w14:paraId="207C3BDD" w14:textId="02571452" w:rsidR="002C1266" w:rsidRPr="0009793F" w:rsidRDefault="007F3646" w:rsidP="000B6828">
            <w:pPr>
              <w:pStyle w:val="TableText0"/>
              <w:keepNext/>
              <w:jc w:val="center"/>
            </w:pPr>
            <w:r w:rsidRPr="007F3646">
              <w:rPr>
                <w:color w:val="000000"/>
                <w:spacing w:val="53"/>
                <w:shd w:val="solid" w:color="000000" w:fill="000000"/>
                <w:fitText w:val="330" w:id="-663525624"/>
                <w14:textFill>
                  <w14:solidFill>
                    <w14:srgbClr w14:val="000000">
                      <w14:alpha w14:val="100000"/>
                    </w14:srgbClr>
                  </w14:solidFill>
                </w14:textFill>
              </w:rPr>
              <w:t>|||</w:t>
            </w:r>
            <w:r w:rsidRPr="007F3646">
              <w:rPr>
                <w:color w:val="000000"/>
                <w:spacing w:val="1"/>
                <w:shd w:val="solid" w:color="000000" w:fill="000000"/>
                <w:fitText w:val="330" w:id="-663525624"/>
                <w14:textFill>
                  <w14:solidFill>
                    <w14:srgbClr w14:val="000000">
                      <w14:alpha w14:val="100000"/>
                    </w14:srgbClr>
                  </w14:solidFill>
                </w14:textFill>
              </w:rPr>
              <w:t>|</w:t>
            </w:r>
            <w:r w:rsidR="00196776">
              <w:rPr>
                <w:b/>
                <w:vertAlign w:val="superscript"/>
              </w:rPr>
              <w:t xml:space="preserve"> 1</w:t>
            </w:r>
          </w:p>
        </w:tc>
        <w:tc>
          <w:tcPr>
            <w:tcW w:w="611" w:type="pct"/>
            <w:shd w:val="clear" w:color="auto" w:fill="auto"/>
          </w:tcPr>
          <w:p w14:paraId="59114B66" w14:textId="69ECD737" w:rsidR="002C1266" w:rsidRPr="0009793F" w:rsidRDefault="007F3646" w:rsidP="000B6828">
            <w:pPr>
              <w:pStyle w:val="TableText0"/>
              <w:keepNext/>
              <w:jc w:val="center"/>
            </w:pPr>
            <w:r w:rsidRPr="007F3646">
              <w:rPr>
                <w:color w:val="000000"/>
                <w:spacing w:val="53"/>
                <w:shd w:val="solid" w:color="000000" w:fill="000000"/>
                <w:fitText w:val="330" w:id="-663525623"/>
                <w14:textFill>
                  <w14:solidFill>
                    <w14:srgbClr w14:val="000000">
                      <w14:alpha w14:val="100000"/>
                    </w14:srgbClr>
                  </w14:solidFill>
                </w14:textFill>
              </w:rPr>
              <w:t>|||</w:t>
            </w:r>
            <w:r w:rsidRPr="007F3646">
              <w:rPr>
                <w:color w:val="000000"/>
                <w:spacing w:val="1"/>
                <w:shd w:val="solid" w:color="000000" w:fill="000000"/>
                <w:fitText w:val="330" w:id="-663525623"/>
                <w14:textFill>
                  <w14:solidFill>
                    <w14:srgbClr w14:val="000000">
                      <w14:alpha w14:val="100000"/>
                    </w14:srgbClr>
                  </w14:solidFill>
                </w14:textFill>
              </w:rPr>
              <w:t>|</w:t>
            </w:r>
            <w:r w:rsidR="00E34E17">
              <w:rPr>
                <w:b/>
                <w:vertAlign w:val="superscript"/>
              </w:rPr>
              <w:t xml:space="preserve"> 3</w:t>
            </w:r>
          </w:p>
        </w:tc>
        <w:tc>
          <w:tcPr>
            <w:tcW w:w="611" w:type="pct"/>
            <w:shd w:val="clear" w:color="auto" w:fill="auto"/>
          </w:tcPr>
          <w:p w14:paraId="07867827" w14:textId="596975EE" w:rsidR="002C1266" w:rsidRPr="0009793F" w:rsidRDefault="007F3646" w:rsidP="000B6828">
            <w:pPr>
              <w:pStyle w:val="TableText0"/>
              <w:keepNext/>
              <w:jc w:val="center"/>
            </w:pPr>
            <w:r w:rsidRPr="007F3646">
              <w:rPr>
                <w:color w:val="000000"/>
                <w:spacing w:val="53"/>
                <w:shd w:val="solid" w:color="000000" w:fill="000000"/>
                <w:fitText w:val="330" w:id="-663525622"/>
                <w14:textFill>
                  <w14:solidFill>
                    <w14:srgbClr w14:val="000000">
                      <w14:alpha w14:val="100000"/>
                    </w14:srgbClr>
                  </w14:solidFill>
                </w14:textFill>
              </w:rPr>
              <w:t>|||</w:t>
            </w:r>
            <w:r w:rsidRPr="007F3646">
              <w:rPr>
                <w:color w:val="000000"/>
                <w:spacing w:val="1"/>
                <w:shd w:val="solid" w:color="000000" w:fill="000000"/>
                <w:fitText w:val="330" w:id="-663525622"/>
                <w14:textFill>
                  <w14:solidFill>
                    <w14:srgbClr w14:val="000000">
                      <w14:alpha w14:val="100000"/>
                    </w14:srgbClr>
                  </w14:solidFill>
                </w14:textFill>
              </w:rPr>
              <w:t>|</w:t>
            </w:r>
            <w:r w:rsidR="00E34E17">
              <w:rPr>
                <w:b/>
                <w:vertAlign w:val="superscript"/>
              </w:rPr>
              <w:t xml:space="preserve"> 3</w:t>
            </w:r>
          </w:p>
        </w:tc>
        <w:tc>
          <w:tcPr>
            <w:tcW w:w="611" w:type="pct"/>
          </w:tcPr>
          <w:p w14:paraId="4CBC1974" w14:textId="05F6F230" w:rsidR="002C1266" w:rsidRPr="0009793F" w:rsidRDefault="007F3646" w:rsidP="000B6828">
            <w:pPr>
              <w:pStyle w:val="TableText0"/>
              <w:keepNext/>
              <w:jc w:val="center"/>
            </w:pPr>
            <w:r w:rsidRPr="007F3646">
              <w:rPr>
                <w:color w:val="000000"/>
                <w:spacing w:val="53"/>
                <w:shd w:val="solid" w:color="000000" w:fill="000000"/>
                <w:fitText w:val="330" w:id="-663525621"/>
                <w14:textFill>
                  <w14:solidFill>
                    <w14:srgbClr w14:val="000000">
                      <w14:alpha w14:val="100000"/>
                    </w14:srgbClr>
                  </w14:solidFill>
                </w14:textFill>
              </w:rPr>
              <w:t>|||</w:t>
            </w:r>
            <w:r w:rsidRPr="007F3646">
              <w:rPr>
                <w:color w:val="000000"/>
                <w:spacing w:val="1"/>
                <w:shd w:val="solid" w:color="000000" w:fill="000000"/>
                <w:fitText w:val="330" w:id="-663525621"/>
                <w14:textFill>
                  <w14:solidFill>
                    <w14:srgbClr w14:val="000000">
                      <w14:alpha w14:val="100000"/>
                    </w14:srgbClr>
                  </w14:solidFill>
                </w14:textFill>
              </w:rPr>
              <w:t>|</w:t>
            </w:r>
            <w:r w:rsidR="00E34E17">
              <w:rPr>
                <w:b/>
                <w:vertAlign w:val="superscript"/>
              </w:rPr>
              <w:t xml:space="preserve"> 3</w:t>
            </w:r>
          </w:p>
        </w:tc>
      </w:tr>
      <w:tr w:rsidR="002C1266" w:rsidRPr="0098262F" w14:paraId="4F381396" w14:textId="77777777" w:rsidTr="2BCE08C6">
        <w:tc>
          <w:tcPr>
            <w:tcW w:w="1334" w:type="pct"/>
            <w:shd w:val="clear" w:color="auto" w:fill="auto"/>
            <w:vAlign w:val="center"/>
          </w:tcPr>
          <w:p w14:paraId="3790194C" w14:textId="77777777" w:rsidR="002C1266" w:rsidRPr="0098262F" w:rsidRDefault="002C1266" w:rsidP="000B6828">
            <w:pPr>
              <w:pStyle w:val="TableText0"/>
              <w:keepNext/>
              <w:ind w:left="284"/>
            </w:pPr>
            <w:r>
              <w:t>BEC &lt;300 cells/µl segment</w:t>
            </w:r>
          </w:p>
        </w:tc>
        <w:tc>
          <w:tcPr>
            <w:tcW w:w="611" w:type="pct"/>
            <w:shd w:val="clear" w:color="auto" w:fill="auto"/>
          </w:tcPr>
          <w:p w14:paraId="2E273A3F" w14:textId="7F377595" w:rsidR="002C1266" w:rsidRPr="0009793F" w:rsidRDefault="007F3646" w:rsidP="000B6828">
            <w:pPr>
              <w:pStyle w:val="TableText0"/>
              <w:keepNext/>
              <w:jc w:val="center"/>
            </w:pPr>
            <w:r w:rsidRPr="007F3646">
              <w:rPr>
                <w:color w:val="000000"/>
                <w:spacing w:val="53"/>
                <w:shd w:val="solid" w:color="000000" w:fill="000000"/>
                <w:fitText w:val="330" w:id="-663525620"/>
                <w14:textFill>
                  <w14:solidFill>
                    <w14:srgbClr w14:val="000000">
                      <w14:alpha w14:val="100000"/>
                    </w14:srgbClr>
                  </w14:solidFill>
                </w14:textFill>
              </w:rPr>
              <w:t>|||</w:t>
            </w:r>
            <w:r w:rsidRPr="007F3646">
              <w:rPr>
                <w:color w:val="000000"/>
                <w:spacing w:val="1"/>
                <w:shd w:val="solid" w:color="000000" w:fill="000000"/>
                <w:fitText w:val="330" w:id="-663525620"/>
                <w14:textFill>
                  <w14:solidFill>
                    <w14:srgbClr w14:val="000000">
                      <w14:alpha w14:val="100000"/>
                    </w14:srgbClr>
                  </w14:solidFill>
                </w14:textFill>
              </w:rPr>
              <w:t>|</w:t>
            </w:r>
            <w:r w:rsidR="00E34E17">
              <w:rPr>
                <w:b/>
                <w:vertAlign w:val="superscript"/>
              </w:rPr>
              <w:t xml:space="preserve"> 3</w:t>
            </w:r>
          </w:p>
        </w:tc>
        <w:tc>
          <w:tcPr>
            <w:tcW w:w="611" w:type="pct"/>
            <w:shd w:val="clear" w:color="auto" w:fill="auto"/>
          </w:tcPr>
          <w:p w14:paraId="31F26139" w14:textId="15BC7E2C" w:rsidR="002C1266" w:rsidRPr="0009793F" w:rsidRDefault="007F3646" w:rsidP="000B6828">
            <w:pPr>
              <w:pStyle w:val="TableText0"/>
              <w:keepNext/>
              <w:jc w:val="center"/>
            </w:pPr>
            <w:r w:rsidRPr="007F3646">
              <w:rPr>
                <w:color w:val="000000"/>
                <w:spacing w:val="53"/>
                <w:shd w:val="solid" w:color="000000" w:fill="000000"/>
                <w:fitText w:val="330" w:id="-663525619"/>
                <w14:textFill>
                  <w14:solidFill>
                    <w14:srgbClr w14:val="000000">
                      <w14:alpha w14:val="100000"/>
                    </w14:srgbClr>
                  </w14:solidFill>
                </w14:textFill>
              </w:rPr>
              <w:t>|||</w:t>
            </w:r>
            <w:r w:rsidRPr="007F3646">
              <w:rPr>
                <w:color w:val="000000"/>
                <w:spacing w:val="1"/>
                <w:shd w:val="solid" w:color="000000" w:fill="000000"/>
                <w:fitText w:val="330" w:id="-663525619"/>
                <w14:textFill>
                  <w14:solidFill>
                    <w14:srgbClr w14:val="000000">
                      <w14:alpha w14:val="100000"/>
                    </w14:srgbClr>
                  </w14:solidFill>
                </w14:textFill>
              </w:rPr>
              <w:t>|</w:t>
            </w:r>
            <w:r w:rsidR="00E34E17">
              <w:rPr>
                <w:b/>
                <w:vertAlign w:val="superscript"/>
              </w:rPr>
              <w:t xml:space="preserve"> 3</w:t>
            </w:r>
          </w:p>
        </w:tc>
        <w:tc>
          <w:tcPr>
            <w:tcW w:w="611" w:type="pct"/>
            <w:shd w:val="clear" w:color="auto" w:fill="auto"/>
          </w:tcPr>
          <w:p w14:paraId="3A88957C" w14:textId="1D3802A8" w:rsidR="002C1266" w:rsidRPr="0009793F" w:rsidRDefault="007F3646" w:rsidP="000B6828">
            <w:pPr>
              <w:pStyle w:val="TableText0"/>
              <w:keepNext/>
              <w:jc w:val="center"/>
            </w:pPr>
            <w:r w:rsidRPr="007F3646">
              <w:rPr>
                <w:color w:val="000000"/>
                <w:spacing w:val="53"/>
                <w:shd w:val="solid" w:color="000000" w:fill="000000"/>
                <w:fitText w:val="330" w:id="-663525618"/>
                <w14:textFill>
                  <w14:solidFill>
                    <w14:srgbClr w14:val="000000">
                      <w14:alpha w14:val="100000"/>
                    </w14:srgbClr>
                  </w14:solidFill>
                </w14:textFill>
              </w:rPr>
              <w:t>|||</w:t>
            </w:r>
            <w:r w:rsidRPr="007F3646">
              <w:rPr>
                <w:color w:val="000000"/>
                <w:spacing w:val="1"/>
                <w:shd w:val="solid" w:color="000000" w:fill="000000"/>
                <w:fitText w:val="330" w:id="-663525618"/>
                <w14:textFill>
                  <w14:solidFill>
                    <w14:srgbClr w14:val="000000">
                      <w14:alpha w14:val="100000"/>
                    </w14:srgbClr>
                  </w14:solidFill>
                </w14:textFill>
              </w:rPr>
              <w:t>|</w:t>
            </w:r>
            <w:r w:rsidR="00E34E17">
              <w:rPr>
                <w:b/>
                <w:vertAlign w:val="superscript"/>
              </w:rPr>
              <w:t xml:space="preserve"> 3</w:t>
            </w:r>
          </w:p>
        </w:tc>
        <w:tc>
          <w:tcPr>
            <w:tcW w:w="611" w:type="pct"/>
            <w:shd w:val="clear" w:color="auto" w:fill="auto"/>
          </w:tcPr>
          <w:p w14:paraId="24DB7E5B" w14:textId="2362B3A3" w:rsidR="002C1266" w:rsidRPr="0009793F" w:rsidRDefault="007F3646" w:rsidP="000B6828">
            <w:pPr>
              <w:pStyle w:val="TableText0"/>
              <w:keepNext/>
              <w:jc w:val="center"/>
            </w:pPr>
            <w:r w:rsidRPr="007F3646">
              <w:rPr>
                <w:color w:val="000000"/>
                <w:spacing w:val="53"/>
                <w:shd w:val="solid" w:color="000000" w:fill="000000"/>
                <w:fitText w:val="330" w:id="-663525617"/>
                <w14:textFill>
                  <w14:solidFill>
                    <w14:srgbClr w14:val="000000">
                      <w14:alpha w14:val="100000"/>
                    </w14:srgbClr>
                  </w14:solidFill>
                </w14:textFill>
              </w:rPr>
              <w:t>|||</w:t>
            </w:r>
            <w:r w:rsidRPr="007F3646">
              <w:rPr>
                <w:color w:val="000000"/>
                <w:spacing w:val="1"/>
                <w:shd w:val="solid" w:color="000000" w:fill="000000"/>
                <w:fitText w:val="330" w:id="-663525617"/>
                <w14:textFill>
                  <w14:solidFill>
                    <w14:srgbClr w14:val="000000">
                      <w14:alpha w14:val="100000"/>
                    </w14:srgbClr>
                  </w14:solidFill>
                </w14:textFill>
              </w:rPr>
              <w:t>|</w:t>
            </w:r>
            <w:r w:rsidR="00E34E17">
              <w:rPr>
                <w:b/>
                <w:vertAlign w:val="superscript"/>
              </w:rPr>
              <w:t xml:space="preserve"> 3</w:t>
            </w:r>
          </w:p>
        </w:tc>
        <w:tc>
          <w:tcPr>
            <w:tcW w:w="611" w:type="pct"/>
            <w:shd w:val="clear" w:color="auto" w:fill="auto"/>
          </w:tcPr>
          <w:p w14:paraId="138B2767" w14:textId="3CABF28B" w:rsidR="002C1266" w:rsidRPr="0009793F" w:rsidRDefault="007F3646" w:rsidP="000B6828">
            <w:pPr>
              <w:pStyle w:val="TableText0"/>
              <w:keepNext/>
              <w:jc w:val="center"/>
            </w:pPr>
            <w:r w:rsidRPr="007F3646">
              <w:rPr>
                <w:color w:val="000000"/>
                <w:spacing w:val="53"/>
                <w:shd w:val="solid" w:color="000000" w:fill="000000"/>
                <w:fitText w:val="330" w:id="-663525616"/>
                <w14:textFill>
                  <w14:solidFill>
                    <w14:srgbClr w14:val="000000">
                      <w14:alpha w14:val="100000"/>
                    </w14:srgbClr>
                  </w14:solidFill>
                </w14:textFill>
              </w:rPr>
              <w:t>|||</w:t>
            </w:r>
            <w:r w:rsidRPr="007F3646">
              <w:rPr>
                <w:color w:val="000000"/>
                <w:spacing w:val="1"/>
                <w:shd w:val="solid" w:color="000000" w:fill="000000"/>
                <w:fitText w:val="330" w:id="-663525616"/>
                <w14:textFill>
                  <w14:solidFill>
                    <w14:srgbClr w14:val="000000">
                      <w14:alpha w14:val="100000"/>
                    </w14:srgbClr>
                  </w14:solidFill>
                </w14:textFill>
              </w:rPr>
              <w:t>|</w:t>
            </w:r>
            <w:r w:rsidR="00E34E17">
              <w:rPr>
                <w:b/>
                <w:vertAlign w:val="superscript"/>
              </w:rPr>
              <w:t xml:space="preserve"> 3</w:t>
            </w:r>
          </w:p>
        </w:tc>
        <w:tc>
          <w:tcPr>
            <w:tcW w:w="611" w:type="pct"/>
          </w:tcPr>
          <w:p w14:paraId="5C7352B0" w14:textId="07916B14" w:rsidR="002C1266" w:rsidRPr="0009793F" w:rsidRDefault="007F3646" w:rsidP="000B6828">
            <w:pPr>
              <w:pStyle w:val="TableText0"/>
              <w:keepNext/>
              <w:jc w:val="center"/>
            </w:pPr>
            <w:r w:rsidRPr="007F3646">
              <w:rPr>
                <w:color w:val="000000"/>
                <w:spacing w:val="53"/>
                <w:shd w:val="solid" w:color="000000" w:fill="000000"/>
                <w:fitText w:val="330" w:id="-663525632"/>
                <w14:textFill>
                  <w14:solidFill>
                    <w14:srgbClr w14:val="000000">
                      <w14:alpha w14:val="100000"/>
                    </w14:srgbClr>
                  </w14:solidFill>
                </w14:textFill>
              </w:rPr>
              <w:t>|||</w:t>
            </w:r>
            <w:r w:rsidRPr="007F3646">
              <w:rPr>
                <w:color w:val="000000"/>
                <w:spacing w:val="1"/>
                <w:shd w:val="solid" w:color="000000" w:fill="000000"/>
                <w:fitText w:val="330" w:id="-663525632"/>
                <w14:textFill>
                  <w14:solidFill>
                    <w14:srgbClr w14:val="000000">
                      <w14:alpha w14:val="100000"/>
                    </w14:srgbClr>
                  </w14:solidFill>
                </w14:textFill>
              </w:rPr>
              <w:t>|</w:t>
            </w:r>
            <w:r w:rsidR="00E34E17">
              <w:rPr>
                <w:b/>
                <w:vertAlign w:val="superscript"/>
              </w:rPr>
              <w:t xml:space="preserve"> 3</w:t>
            </w:r>
          </w:p>
        </w:tc>
      </w:tr>
      <w:tr w:rsidR="002C1266" w:rsidRPr="0098262F" w14:paraId="7C1BB60C" w14:textId="77777777" w:rsidTr="2BCE08C6">
        <w:tc>
          <w:tcPr>
            <w:tcW w:w="5000" w:type="pct"/>
            <w:gridSpan w:val="7"/>
            <w:shd w:val="clear" w:color="auto" w:fill="D9D9D9" w:themeFill="background1" w:themeFillShade="D9"/>
            <w:vAlign w:val="center"/>
          </w:tcPr>
          <w:p w14:paraId="35543FAE" w14:textId="77777777" w:rsidR="002C1266" w:rsidRPr="0098262F" w:rsidRDefault="002C1266" w:rsidP="000B6828">
            <w:pPr>
              <w:pStyle w:val="In-tableHeading"/>
              <w:rPr>
                <w:lang w:val="en-AU"/>
              </w:rPr>
            </w:pPr>
            <w:r w:rsidRPr="0098262F">
              <w:rPr>
                <w:lang w:val="en-AU"/>
              </w:rPr>
              <w:t xml:space="preserve">Estimated financial implications of </w:t>
            </w:r>
            <w:r>
              <w:rPr>
                <w:lang w:val="en-AU"/>
              </w:rPr>
              <w:t>omalizumab</w:t>
            </w:r>
          </w:p>
        </w:tc>
      </w:tr>
      <w:tr w:rsidR="002C1266" w:rsidRPr="00573A68" w14:paraId="4FC1D8E8" w14:textId="77777777" w:rsidTr="2BCE08C6">
        <w:tc>
          <w:tcPr>
            <w:tcW w:w="1334" w:type="pct"/>
            <w:shd w:val="clear" w:color="auto" w:fill="auto"/>
            <w:vAlign w:val="center"/>
          </w:tcPr>
          <w:p w14:paraId="4E23E145" w14:textId="77777777" w:rsidR="002C1266" w:rsidRPr="00573A68" w:rsidRDefault="002C1266" w:rsidP="000B6828">
            <w:pPr>
              <w:pStyle w:val="TableText0"/>
              <w:keepNext/>
              <w:rPr>
                <w:b/>
              </w:rPr>
            </w:pPr>
            <w:r w:rsidRPr="00573A68">
              <w:rPr>
                <w:b/>
              </w:rPr>
              <w:t>Cost to PBS/RPBS less copayments</w:t>
            </w:r>
          </w:p>
        </w:tc>
        <w:tc>
          <w:tcPr>
            <w:tcW w:w="611" w:type="pct"/>
            <w:shd w:val="clear" w:color="auto" w:fill="auto"/>
            <w:vAlign w:val="center"/>
          </w:tcPr>
          <w:p w14:paraId="5185F818" w14:textId="77819DB5" w:rsidR="002C1266" w:rsidRPr="00573A68" w:rsidRDefault="002C1266" w:rsidP="000B6828">
            <w:pPr>
              <w:pStyle w:val="TableText0"/>
              <w:keepNext/>
              <w:jc w:val="center"/>
              <w:rPr>
                <w:b/>
              </w:rPr>
            </w:pPr>
            <w:r w:rsidRPr="00573A68">
              <w:rPr>
                <w:b/>
              </w:rPr>
              <w:t>$</w:t>
            </w:r>
            <w:r w:rsidR="007F3646" w:rsidRPr="007F3646">
              <w:rPr>
                <w:b/>
                <w:color w:val="000000"/>
                <w:spacing w:val="55"/>
                <w:shd w:val="solid" w:color="000000" w:fill="000000"/>
                <w:fitText w:val="350" w:id="-663525631"/>
                <w14:textFill>
                  <w14:solidFill>
                    <w14:srgbClr w14:val="000000">
                      <w14:alpha w14:val="100000"/>
                    </w14:srgbClr>
                  </w14:solidFill>
                </w14:textFill>
              </w:rPr>
              <w:t>|||</w:t>
            </w:r>
            <w:r w:rsidR="007F3646" w:rsidRPr="007F3646">
              <w:rPr>
                <w:b/>
                <w:color w:val="000000"/>
                <w:spacing w:val="2"/>
                <w:shd w:val="solid" w:color="000000" w:fill="000000"/>
                <w:fitText w:val="350" w:id="-663525631"/>
                <w14:textFill>
                  <w14:solidFill>
                    <w14:srgbClr w14:val="000000">
                      <w14:alpha w14:val="100000"/>
                    </w14:srgbClr>
                  </w14:solidFill>
                </w14:textFill>
              </w:rPr>
              <w:t>|</w:t>
            </w:r>
            <w:r w:rsidR="00E34E17">
              <w:rPr>
                <w:b/>
                <w:vertAlign w:val="superscript"/>
              </w:rPr>
              <w:t xml:space="preserve"> 6</w:t>
            </w:r>
          </w:p>
        </w:tc>
        <w:tc>
          <w:tcPr>
            <w:tcW w:w="611" w:type="pct"/>
            <w:shd w:val="clear" w:color="auto" w:fill="auto"/>
            <w:vAlign w:val="center"/>
          </w:tcPr>
          <w:p w14:paraId="1B8B9D5E" w14:textId="77EBF779" w:rsidR="002C1266" w:rsidRPr="00573A68" w:rsidRDefault="002C1266" w:rsidP="000B6828">
            <w:pPr>
              <w:pStyle w:val="TableText0"/>
              <w:keepNext/>
              <w:jc w:val="center"/>
              <w:rPr>
                <w:b/>
              </w:rPr>
            </w:pPr>
            <w:r w:rsidRPr="00573A68">
              <w:rPr>
                <w:b/>
              </w:rPr>
              <w:t>$</w:t>
            </w:r>
            <w:r w:rsidR="007F3646" w:rsidRPr="007F3646">
              <w:rPr>
                <w:b/>
                <w:color w:val="000000"/>
                <w:spacing w:val="55"/>
                <w:shd w:val="solid" w:color="000000" w:fill="000000"/>
                <w:fitText w:val="350" w:id="-663525630"/>
                <w14:textFill>
                  <w14:solidFill>
                    <w14:srgbClr w14:val="000000">
                      <w14:alpha w14:val="100000"/>
                    </w14:srgbClr>
                  </w14:solidFill>
                </w14:textFill>
              </w:rPr>
              <w:t>|||</w:t>
            </w:r>
            <w:r w:rsidR="007F3646" w:rsidRPr="007F3646">
              <w:rPr>
                <w:b/>
                <w:color w:val="000000"/>
                <w:spacing w:val="2"/>
                <w:shd w:val="solid" w:color="000000" w:fill="000000"/>
                <w:fitText w:val="350" w:id="-663525630"/>
                <w14:textFill>
                  <w14:solidFill>
                    <w14:srgbClr w14:val="000000">
                      <w14:alpha w14:val="100000"/>
                    </w14:srgbClr>
                  </w14:solidFill>
                </w14:textFill>
              </w:rPr>
              <w:t>|</w:t>
            </w:r>
            <w:r w:rsidR="00E34E17">
              <w:rPr>
                <w:b/>
                <w:vertAlign w:val="superscript"/>
              </w:rPr>
              <w:t xml:space="preserve"> 7</w:t>
            </w:r>
          </w:p>
        </w:tc>
        <w:tc>
          <w:tcPr>
            <w:tcW w:w="611" w:type="pct"/>
            <w:shd w:val="clear" w:color="auto" w:fill="auto"/>
            <w:vAlign w:val="center"/>
          </w:tcPr>
          <w:p w14:paraId="5620E129" w14:textId="5DC45347" w:rsidR="002C1266" w:rsidRPr="00573A68" w:rsidRDefault="002C1266" w:rsidP="000B6828">
            <w:pPr>
              <w:pStyle w:val="TableText0"/>
              <w:keepNext/>
              <w:jc w:val="center"/>
              <w:rPr>
                <w:b/>
              </w:rPr>
            </w:pPr>
            <w:r w:rsidRPr="00573A68">
              <w:rPr>
                <w:b/>
              </w:rPr>
              <w:t>$</w:t>
            </w:r>
            <w:r w:rsidR="007F3646" w:rsidRPr="007F3646">
              <w:rPr>
                <w:b/>
                <w:color w:val="000000"/>
                <w:spacing w:val="55"/>
                <w:shd w:val="solid" w:color="000000" w:fill="000000"/>
                <w:fitText w:val="350" w:id="-663525629"/>
                <w14:textFill>
                  <w14:solidFill>
                    <w14:srgbClr w14:val="000000">
                      <w14:alpha w14:val="100000"/>
                    </w14:srgbClr>
                  </w14:solidFill>
                </w14:textFill>
              </w:rPr>
              <w:t>|||</w:t>
            </w:r>
            <w:r w:rsidR="007F3646" w:rsidRPr="007F3646">
              <w:rPr>
                <w:b/>
                <w:color w:val="000000"/>
                <w:spacing w:val="2"/>
                <w:shd w:val="solid" w:color="000000" w:fill="000000"/>
                <w:fitText w:val="350" w:id="-663525629"/>
                <w14:textFill>
                  <w14:solidFill>
                    <w14:srgbClr w14:val="000000">
                      <w14:alpha w14:val="100000"/>
                    </w14:srgbClr>
                  </w14:solidFill>
                </w14:textFill>
              </w:rPr>
              <w:t>|</w:t>
            </w:r>
            <w:r w:rsidR="00E34E17">
              <w:rPr>
                <w:b/>
                <w:vertAlign w:val="superscript"/>
              </w:rPr>
              <w:t xml:space="preserve"> 7</w:t>
            </w:r>
          </w:p>
        </w:tc>
        <w:tc>
          <w:tcPr>
            <w:tcW w:w="611" w:type="pct"/>
            <w:shd w:val="clear" w:color="auto" w:fill="auto"/>
            <w:vAlign w:val="center"/>
          </w:tcPr>
          <w:p w14:paraId="466ABCB5" w14:textId="5AA7DC76" w:rsidR="002C1266" w:rsidRPr="00573A68" w:rsidRDefault="002C1266" w:rsidP="000B6828">
            <w:pPr>
              <w:pStyle w:val="TableText0"/>
              <w:keepNext/>
              <w:jc w:val="center"/>
              <w:rPr>
                <w:b/>
              </w:rPr>
            </w:pPr>
            <w:r w:rsidRPr="00573A68">
              <w:rPr>
                <w:b/>
              </w:rPr>
              <w:t>$</w:t>
            </w:r>
            <w:r w:rsidR="007F3646" w:rsidRPr="007F3646">
              <w:rPr>
                <w:b/>
                <w:color w:val="000000"/>
                <w:spacing w:val="55"/>
                <w:shd w:val="solid" w:color="000000" w:fill="000000"/>
                <w:fitText w:val="350" w:id="-663525628"/>
                <w14:textFill>
                  <w14:solidFill>
                    <w14:srgbClr w14:val="000000">
                      <w14:alpha w14:val="100000"/>
                    </w14:srgbClr>
                  </w14:solidFill>
                </w14:textFill>
              </w:rPr>
              <w:t>|||</w:t>
            </w:r>
            <w:r w:rsidR="007F3646" w:rsidRPr="007F3646">
              <w:rPr>
                <w:b/>
                <w:color w:val="000000"/>
                <w:spacing w:val="2"/>
                <w:shd w:val="solid" w:color="000000" w:fill="000000"/>
                <w:fitText w:val="350" w:id="-663525628"/>
                <w14:textFill>
                  <w14:solidFill>
                    <w14:srgbClr w14:val="000000">
                      <w14:alpha w14:val="100000"/>
                    </w14:srgbClr>
                  </w14:solidFill>
                </w14:textFill>
              </w:rPr>
              <w:t>|</w:t>
            </w:r>
            <w:r w:rsidR="00E34E17">
              <w:rPr>
                <w:b/>
                <w:vertAlign w:val="superscript"/>
              </w:rPr>
              <w:t xml:space="preserve"> 8</w:t>
            </w:r>
          </w:p>
        </w:tc>
        <w:tc>
          <w:tcPr>
            <w:tcW w:w="611" w:type="pct"/>
            <w:shd w:val="clear" w:color="auto" w:fill="auto"/>
            <w:vAlign w:val="center"/>
          </w:tcPr>
          <w:p w14:paraId="07D64B4B" w14:textId="309B09D4" w:rsidR="002C1266" w:rsidRPr="00573A68" w:rsidRDefault="002C1266" w:rsidP="000B6828">
            <w:pPr>
              <w:pStyle w:val="TableText0"/>
              <w:keepNext/>
              <w:jc w:val="center"/>
              <w:rPr>
                <w:b/>
              </w:rPr>
            </w:pPr>
            <w:r w:rsidRPr="00573A68">
              <w:rPr>
                <w:b/>
              </w:rPr>
              <w:t>$</w:t>
            </w:r>
            <w:r w:rsidR="007F3646" w:rsidRPr="007F3646">
              <w:rPr>
                <w:b/>
                <w:color w:val="000000"/>
                <w:spacing w:val="55"/>
                <w:shd w:val="solid" w:color="000000" w:fill="000000"/>
                <w:fitText w:val="350" w:id="-663525627"/>
                <w14:textFill>
                  <w14:solidFill>
                    <w14:srgbClr w14:val="000000">
                      <w14:alpha w14:val="100000"/>
                    </w14:srgbClr>
                  </w14:solidFill>
                </w14:textFill>
              </w:rPr>
              <w:t>|||</w:t>
            </w:r>
            <w:r w:rsidR="007F3646" w:rsidRPr="007F3646">
              <w:rPr>
                <w:b/>
                <w:color w:val="000000"/>
                <w:spacing w:val="2"/>
                <w:shd w:val="solid" w:color="000000" w:fill="000000"/>
                <w:fitText w:val="350" w:id="-663525627"/>
                <w14:textFill>
                  <w14:solidFill>
                    <w14:srgbClr w14:val="000000">
                      <w14:alpha w14:val="100000"/>
                    </w14:srgbClr>
                  </w14:solidFill>
                </w14:textFill>
              </w:rPr>
              <w:t>|</w:t>
            </w:r>
            <w:r w:rsidR="00E34E17">
              <w:rPr>
                <w:b/>
                <w:vertAlign w:val="superscript"/>
              </w:rPr>
              <w:t xml:space="preserve"> 8</w:t>
            </w:r>
          </w:p>
        </w:tc>
        <w:tc>
          <w:tcPr>
            <w:tcW w:w="611" w:type="pct"/>
            <w:vAlign w:val="center"/>
          </w:tcPr>
          <w:p w14:paraId="43132010" w14:textId="69DD17A8" w:rsidR="002C1266" w:rsidRPr="00573A68" w:rsidRDefault="002C1266" w:rsidP="000B6828">
            <w:pPr>
              <w:pStyle w:val="TableText0"/>
              <w:keepNext/>
              <w:jc w:val="center"/>
              <w:rPr>
                <w:b/>
              </w:rPr>
            </w:pPr>
            <w:r w:rsidRPr="00573A68">
              <w:rPr>
                <w:b/>
              </w:rPr>
              <w:t>$</w:t>
            </w:r>
            <w:r w:rsidR="007F3646" w:rsidRPr="007F3646">
              <w:rPr>
                <w:b/>
                <w:color w:val="000000"/>
                <w:spacing w:val="55"/>
                <w:shd w:val="solid" w:color="000000" w:fill="000000"/>
                <w:fitText w:val="350" w:id="-663525376"/>
                <w14:textFill>
                  <w14:solidFill>
                    <w14:srgbClr w14:val="000000">
                      <w14:alpha w14:val="100000"/>
                    </w14:srgbClr>
                  </w14:solidFill>
                </w14:textFill>
              </w:rPr>
              <w:t>|||</w:t>
            </w:r>
            <w:r w:rsidR="007F3646" w:rsidRPr="007F3646">
              <w:rPr>
                <w:b/>
                <w:color w:val="000000"/>
                <w:spacing w:val="2"/>
                <w:shd w:val="solid" w:color="000000" w:fill="000000"/>
                <w:fitText w:val="350" w:id="-663525376"/>
                <w14:textFill>
                  <w14:solidFill>
                    <w14:srgbClr w14:val="000000">
                      <w14:alpha w14:val="100000"/>
                    </w14:srgbClr>
                  </w14:solidFill>
                </w14:textFill>
              </w:rPr>
              <w:t>|</w:t>
            </w:r>
            <w:r w:rsidR="00E34E17">
              <w:rPr>
                <w:b/>
                <w:vertAlign w:val="superscript"/>
              </w:rPr>
              <w:t xml:space="preserve"> 9</w:t>
            </w:r>
          </w:p>
        </w:tc>
      </w:tr>
      <w:tr w:rsidR="002C1266" w:rsidRPr="0098262F" w14:paraId="22553963" w14:textId="77777777" w:rsidTr="2BCE08C6">
        <w:tc>
          <w:tcPr>
            <w:tcW w:w="1334" w:type="pct"/>
            <w:shd w:val="clear" w:color="auto" w:fill="auto"/>
            <w:vAlign w:val="center"/>
          </w:tcPr>
          <w:p w14:paraId="5AAB26FA" w14:textId="77777777" w:rsidR="002C1266" w:rsidRPr="0098262F" w:rsidRDefault="002C1266" w:rsidP="000B6828">
            <w:pPr>
              <w:pStyle w:val="TableText0"/>
              <w:keepNext/>
              <w:ind w:left="284"/>
            </w:pPr>
            <w:r>
              <w:t>BEC ≥300 cell/µl segment</w:t>
            </w:r>
          </w:p>
        </w:tc>
        <w:tc>
          <w:tcPr>
            <w:tcW w:w="611" w:type="pct"/>
            <w:shd w:val="clear" w:color="auto" w:fill="auto"/>
          </w:tcPr>
          <w:p w14:paraId="730337D5" w14:textId="553A67B1" w:rsidR="002C1266" w:rsidRPr="0009793F" w:rsidRDefault="002C1266" w:rsidP="000B6828">
            <w:pPr>
              <w:pStyle w:val="TableText0"/>
              <w:keepNext/>
              <w:jc w:val="center"/>
            </w:pPr>
            <w:r w:rsidRPr="002E3E4E">
              <w:t>$</w:t>
            </w:r>
            <w:r w:rsidR="007F3646" w:rsidRPr="007F3646">
              <w:rPr>
                <w:color w:val="000000"/>
                <w:spacing w:val="49"/>
                <w:shd w:val="solid" w:color="000000" w:fill="000000"/>
                <w:fitText w:val="320" w:id="-663525375"/>
                <w14:textFill>
                  <w14:solidFill>
                    <w14:srgbClr w14:val="000000">
                      <w14:alpha w14:val="100000"/>
                    </w14:srgbClr>
                  </w14:solidFill>
                </w14:textFill>
              </w:rPr>
              <w:t>|||</w:t>
            </w:r>
            <w:r w:rsidR="007F3646" w:rsidRPr="007F3646">
              <w:rPr>
                <w:color w:val="000000"/>
                <w:spacing w:val="3"/>
                <w:shd w:val="solid" w:color="000000" w:fill="000000"/>
                <w:fitText w:val="320" w:id="-663525375"/>
                <w14:textFill>
                  <w14:solidFill>
                    <w14:srgbClr w14:val="000000">
                      <w14:alpha w14:val="100000"/>
                    </w14:srgbClr>
                  </w14:solidFill>
                </w14:textFill>
              </w:rPr>
              <w:t>|</w:t>
            </w:r>
            <w:r w:rsidR="00EE3E7A">
              <w:rPr>
                <w:b/>
                <w:vertAlign w:val="superscript"/>
              </w:rPr>
              <w:t xml:space="preserve"> 10</w:t>
            </w:r>
          </w:p>
        </w:tc>
        <w:tc>
          <w:tcPr>
            <w:tcW w:w="611" w:type="pct"/>
            <w:shd w:val="clear" w:color="auto" w:fill="auto"/>
          </w:tcPr>
          <w:p w14:paraId="5D81DF9D" w14:textId="5C17D56B" w:rsidR="002C1266" w:rsidRPr="0009793F" w:rsidRDefault="002C1266" w:rsidP="000B6828">
            <w:pPr>
              <w:pStyle w:val="TableText0"/>
              <w:keepNext/>
              <w:jc w:val="center"/>
            </w:pPr>
            <w:r w:rsidRPr="002E3E4E">
              <w:t>$</w:t>
            </w:r>
            <w:r w:rsidR="007F3646" w:rsidRPr="007F3646">
              <w:rPr>
                <w:color w:val="000000"/>
                <w:spacing w:val="49"/>
                <w:shd w:val="solid" w:color="000000" w:fill="000000"/>
                <w:fitText w:val="320" w:id="-663525374"/>
                <w14:textFill>
                  <w14:solidFill>
                    <w14:srgbClr w14:val="000000">
                      <w14:alpha w14:val="100000"/>
                    </w14:srgbClr>
                  </w14:solidFill>
                </w14:textFill>
              </w:rPr>
              <w:t>|||</w:t>
            </w:r>
            <w:r w:rsidR="007F3646" w:rsidRPr="007F3646">
              <w:rPr>
                <w:color w:val="000000"/>
                <w:spacing w:val="3"/>
                <w:shd w:val="solid" w:color="000000" w:fill="000000"/>
                <w:fitText w:val="320" w:id="-663525374"/>
                <w14:textFill>
                  <w14:solidFill>
                    <w14:srgbClr w14:val="000000">
                      <w14:alpha w14:val="100000"/>
                    </w14:srgbClr>
                  </w14:solidFill>
                </w14:textFill>
              </w:rPr>
              <w:t>|</w:t>
            </w:r>
            <w:r w:rsidR="00EE3E7A">
              <w:rPr>
                <w:b/>
                <w:vertAlign w:val="superscript"/>
              </w:rPr>
              <w:t xml:space="preserve"> 10</w:t>
            </w:r>
          </w:p>
        </w:tc>
        <w:tc>
          <w:tcPr>
            <w:tcW w:w="611" w:type="pct"/>
            <w:shd w:val="clear" w:color="auto" w:fill="auto"/>
          </w:tcPr>
          <w:p w14:paraId="5A6C5FFA" w14:textId="5CB9E015" w:rsidR="002C1266" w:rsidRPr="0009793F" w:rsidRDefault="002C1266" w:rsidP="000B6828">
            <w:pPr>
              <w:pStyle w:val="TableText0"/>
              <w:keepNext/>
              <w:jc w:val="center"/>
            </w:pPr>
            <w:r w:rsidRPr="002E3E4E">
              <w:t>$</w:t>
            </w:r>
            <w:r w:rsidR="007F3646" w:rsidRPr="007F3646">
              <w:rPr>
                <w:color w:val="000000"/>
                <w:spacing w:val="49"/>
                <w:shd w:val="solid" w:color="000000" w:fill="000000"/>
                <w:fitText w:val="320" w:id="-663525373"/>
                <w14:textFill>
                  <w14:solidFill>
                    <w14:srgbClr w14:val="000000">
                      <w14:alpha w14:val="100000"/>
                    </w14:srgbClr>
                  </w14:solidFill>
                </w14:textFill>
              </w:rPr>
              <w:t>|||</w:t>
            </w:r>
            <w:r w:rsidR="007F3646" w:rsidRPr="007F3646">
              <w:rPr>
                <w:color w:val="000000"/>
                <w:spacing w:val="3"/>
                <w:shd w:val="solid" w:color="000000" w:fill="000000"/>
                <w:fitText w:val="320" w:id="-663525373"/>
                <w14:textFill>
                  <w14:solidFill>
                    <w14:srgbClr w14:val="000000">
                      <w14:alpha w14:val="100000"/>
                    </w14:srgbClr>
                  </w14:solidFill>
                </w14:textFill>
              </w:rPr>
              <w:t>|</w:t>
            </w:r>
            <w:r w:rsidR="00EE3E7A">
              <w:rPr>
                <w:b/>
                <w:vertAlign w:val="superscript"/>
              </w:rPr>
              <w:t xml:space="preserve"> 11</w:t>
            </w:r>
          </w:p>
        </w:tc>
        <w:tc>
          <w:tcPr>
            <w:tcW w:w="611" w:type="pct"/>
            <w:shd w:val="clear" w:color="auto" w:fill="auto"/>
          </w:tcPr>
          <w:p w14:paraId="0AAAE0C6" w14:textId="36C2109E" w:rsidR="002C1266" w:rsidRPr="0009793F" w:rsidRDefault="002C1266" w:rsidP="000B6828">
            <w:pPr>
              <w:pStyle w:val="TableText0"/>
              <w:keepNext/>
              <w:jc w:val="center"/>
            </w:pPr>
            <w:r w:rsidRPr="002E3E4E">
              <w:t>$</w:t>
            </w:r>
            <w:r w:rsidR="007F3646" w:rsidRPr="007F3646">
              <w:rPr>
                <w:color w:val="000000"/>
                <w:spacing w:val="49"/>
                <w:shd w:val="solid" w:color="000000" w:fill="000000"/>
                <w:fitText w:val="320" w:id="-663525372"/>
                <w14:textFill>
                  <w14:solidFill>
                    <w14:srgbClr w14:val="000000">
                      <w14:alpha w14:val="100000"/>
                    </w14:srgbClr>
                  </w14:solidFill>
                </w14:textFill>
              </w:rPr>
              <w:t>|||</w:t>
            </w:r>
            <w:r w:rsidR="007F3646" w:rsidRPr="007F3646">
              <w:rPr>
                <w:color w:val="000000"/>
                <w:spacing w:val="3"/>
                <w:shd w:val="solid" w:color="000000" w:fill="000000"/>
                <w:fitText w:val="320" w:id="-663525372"/>
                <w14:textFill>
                  <w14:solidFill>
                    <w14:srgbClr w14:val="000000">
                      <w14:alpha w14:val="100000"/>
                    </w14:srgbClr>
                  </w14:solidFill>
                </w14:textFill>
              </w:rPr>
              <w:t>|</w:t>
            </w:r>
            <w:r w:rsidR="00EE3E7A">
              <w:rPr>
                <w:b/>
                <w:vertAlign w:val="superscript"/>
              </w:rPr>
              <w:t xml:space="preserve"> 11</w:t>
            </w:r>
          </w:p>
        </w:tc>
        <w:tc>
          <w:tcPr>
            <w:tcW w:w="611" w:type="pct"/>
            <w:shd w:val="clear" w:color="auto" w:fill="auto"/>
          </w:tcPr>
          <w:p w14:paraId="587DD56F" w14:textId="65456233" w:rsidR="002C1266" w:rsidRPr="0009793F" w:rsidRDefault="002C1266" w:rsidP="000B6828">
            <w:pPr>
              <w:pStyle w:val="TableText0"/>
              <w:keepNext/>
              <w:jc w:val="center"/>
            </w:pPr>
            <w:r w:rsidRPr="002E3E4E">
              <w:t>$</w:t>
            </w:r>
            <w:r w:rsidR="007F3646" w:rsidRPr="007F3646">
              <w:rPr>
                <w:color w:val="000000"/>
                <w:spacing w:val="53"/>
                <w:shd w:val="solid" w:color="000000" w:fill="000000"/>
                <w:fitText w:val="330" w:id="-663525371"/>
                <w14:textFill>
                  <w14:solidFill>
                    <w14:srgbClr w14:val="000000">
                      <w14:alpha w14:val="100000"/>
                    </w14:srgbClr>
                  </w14:solidFill>
                </w14:textFill>
              </w:rPr>
              <w:t>|||</w:t>
            </w:r>
            <w:r w:rsidR="007F3646" w:rsidRPr="007F3646">
              <w:rPr>
                <w:color w:val="000000"/>
                <w:spacing w:val="1"/>
                <w:shd w:val="solid" w:color="000000" w:fill="000000"/>
                <w:fitText w:val="330" w:id="-663525371"/>
                <w14:textFill>
                  <w14:solidFill>
                    <w14:srgbClr w14:val="000000">
                      <w14:alpha w14:val="100000"/>
                    </w14:srgbClr>
                  </w14:solidFill>
                </w14:textFill>
              </w:rPr>
              <w:t>|</w:t>
            </w:r>
            <w:r w:rsidR="00E34E17">
              <w:rPr>
                <w:b/>
                <w:vertAlign w:val="superscript"/>
              </w:rPr>
              <w:t xml:space="preserve"> 6</w:t>
            </w:r>
          </w:p>
        </w:tc>
        <w:tc>
          <w:tcPr>
            <w:tcW w:w="611" w:type="pct"/>
          </w:tcPr>
          <w:p w14:paraId="6E71E46E" w14:textId="7834E908" w:rsidR="002C1266" w:rsidRPr="0009793F" w:rsidRDefault="002C1266" w:rsidP="000B6828">
            <w:pPr>
              <w:pStyle w:val="TableText0"/>
              <w:keepNext/>
              <w:jc w:val="center"/>
            </w:pPr>
            <w:r w:rsidRPr="002E3E4E">
              <w:t>$</w:t>
            </w:r>
            <w:r w:rsidR="007F3646" w:rsidRPr="007F3646">
              <w:rPr>
                <w:color w:val="000000"/>
                <w:spacing w:val="53"/>
                <w:shd w:val="solid" w:color="000000" w:fill="000000"/>
                <w:fitText w:val="330" w:id="-663525370"/>
                <w14:textFill>
                  <w14:solidFill>
                    <w14:srgbClr w14:val="000000">
                      <w14:alpha w14:val="100000"/>
                    </w14:srgbClr>
                  </w14:solidFill>
                </w14:textFill>
              </w:rPr>
              <w:t>|||</w:t>
            </w:r>
            <w:r w:rsidR="007F3646" w:rsidRPr="007F3646">
              <w:rPr>
                <w:color w:val="000000"/>
                <w:spacing w:val="1"/>
                <w:shd w:val="solid" w:color="000000" w:fill="000000"/>
                <w:fitText w:val="330" w:id="-663525370"/>
                <w14:textFill>
                  <w14:solidFill>
                    <w14:srgbClr w14:val="000000">
                      <w14:alpha w14:val="100000"/>
                    </w14:srgbClr>
                  </w14:solidFill>
                </w14:textFill>
              </w:rPr>
              <w:t>|</w:t>
            </w:r>
            <w:r w:rsidR="00E34E17">
              <w:rPr>
                <w:b/>
                <w:vertAlign w:val="superscript"/>
              </w:rPr>
              <w:t xml:space="preserve"> 6</w:t>
            </w:r>
          </w:p>
        </w:tc>
      </w:tr>
      <w:tr w:rsidR="002C1266" w:rsidRPr="0098262F" w14:paraId="594F4C17" w14:textId="77777777" w:rsidTr="2BCE08C6">
        <w:tc>
          <w:tcPr>
            <w:tcW w:w="1334" w:type="pct"/>
            <w:shd w:val="clear" w:color="auto" w:fill="auto"/>
            <w:vAlign w:val="center"/>
          </w:tcPr>
          <w:p w14:paraId="3A875452" w14:textId="77777777" w:rsidR="002C1266" w:rsidRPr="0098262F" w:rsidRDefault="002C1266" w:rsidP="000B6828">
            <w:pPr>
              <w:pStyle w:val="TableText0"/>
              <w:keepNext/>
              <w:ind w:left="284"/>
            </w:pPr>
            <w:r>
              <w:t>BEC &lt;300 cells/µl segment</w:t>
            </w:r>
          </w:p>
        </w:tc>
        <w:tc>
          <w:tcPr>
            <w:tcW w:w="611" w:type="pct"/>
            <w:shd w:val="clear" w:color="auto" w:fill="auto"/>
          </w:tcPr>
          <w:p w14:paraId="74BAA0F5" w14:textId="4B0BFA45" w:rsidR="002C1266" w:rsidRPr="0009793F" w:rsidRDefault="002C1266" w:rsidP="000B6828">
            <w:pPr>
              <w:pStyle w:val="TableText0"/>
              <w:keepNext/>
              <w:jc w:val="center"/>
            </w:pPr>
            <w:r w:rsidRPr="0056665C">
              <w:t>$</w:t>
            </w:r>
            <w:r w:rsidR="007F3646" w:rsidRPr="007F3646">
              <w:rPr>
                <w:color w:val="000000"/>
                <w:spacing w:val="53"/>
                <w:shd w:val="solid" w:color="000000" w:fill="000000"/>
                <w:fitText w:val="330" w:id="-663525369"/>
                <w14:textFill>
                  <w14:solidFill>
                    <w14:srgbClr w14:val="000000">
                      <w14:alpha w14:val="100000"/>
                    </w14:srgbClr>
                  </w14:solidFill>
                </w14:textFill>
              </w:rPr>
              <w:t>|||</w:t>
            </w:r>
            <w:r w:rsidR="007F3646" w:rsidRPr="007F3646">
              <w:rPr>
                <w:color w:val="000000"/>
                <w:spacing w:val="1"/>
                <w:shd w:val="solid" w:color="000000" w:fill="000000"/>
                <w:fitText w:val="330" w:id="-663525369"/>
                <w14:textFill>
                  <w14:solidFill>
                    <w14:srgbClr w14:val="000000">
                      <w14:alpha w14:val="100000"/>
                    </w14:srgbClr>
                  </w14:solidFill>
                </w14:textFill>
              </w:rPr>
              <w:t>|</w:t>
            </w:r>
            <w:r w:rsidR="00E34E17">
              <w:rPr>
                <w:b/>
                <w:vertAlign w:val="superscript"/>
              </w:rPr>
              <w:t xml:space="preserve"> 6</w:t>
            </w:r>
          </w:p>
        </w:tc>
        <w:tc>
          <w:tcPr>
            <w:tcW w:w="611" w:type="pct"/>
            <w:shd w:val="clear" w:color="auto" w:fill="auto"/>
          </w:tcPr>
          <w:p w14:paraId="36BDC8AC" w14:textId="79D113CA" w:rsidR="002C1266" w:rsidRPr="0009793F" w:rsidRDefault="002C1266" w:rsidP="000B6828">
            <w:pPr>
              <w:pStyle w:val="TableText0"/>
              <w:keepNext/>
              <w:jc w:val="center"/>
            </w:pPr>
            <w:r w:rsidRPr="0056665C">
              <w:t>$</w:t>
            </w:r>
            <w:r w:rsidR="007F3646" w:rsidRPr="007F3646">
              <w:rPr>
                <w:color w:val="000000"/>
                <w:spacing w:val="53"/>
                <w:shd w:val="solid" w:color="000000" w:fill="000000"/>
                <w:fitText w:val="330" w:id="-663525368"/>
                <w14:textFill>
                  <w14:solidFill>
                    <w14:srgbClr w14:val="000000">
                      <w14:alpha w14:val="100000"/>
                    </w14:srgbClr>
                  </w14:solidFill>
                </w14:textFill>
              </w:rPr>
              <w:t>|||</w:t>
            </w:r>
            <w:r w:rsidR="007F3646" w:rsidRPr="007F3646">
              <w:rPr>
                <w:color w:val="000000"/>
                <w:spacing w:val="1"/>
                <w:shd w:val="solid" w:color="000000" w:fill="000000"/>
                <w:fitText w:val="330" w:id="-663525368"/>
                <w14:textFill>
                  <w14:solidFill>
                    <w14:srgbClr w14:val="000000">
                      <w14:alpha w14:val="100000"/>
                    </w14:srgbClr>
                  </w14:solidFill>
                </w14:textFill>
              </w:rPr>
              <w:t>|</w:t>
            </w:r>
            <w:r w:rsidR="00E34E17">
              <w:rPr>
                <w:b/>
                <w:vertAlign w:val="superscript"/>
              </w:rPr>
              <w:t xml:space="preserve"> 6</w:t>
            </w:r>
          </w:p>
        </w:tc>
        <w:tc>
          <w:tcPr>
            <w:tcW w:w="611" w:type="pct"/>
            <w:shd w:val="clear" w:color="auto" w:fill="auto"/>
          </w:tcPr>
          <w:p w14:paraId="29C83717" w14:textId="2CEA1229" w:rsidR="002C1266" w:rsidRPr="0009793F" w:rsidRDefault="002C1266" w:rsidP="000B6828">
            <w:pPr>
              <w:pStyle w:val="TableText0"/>
              <w:keepNext/>
              <w:jc w:val="center"/>
            </w:pPr>
            <w:r w:rsidRPr="0056665C">
              <w:t>$</w:t>
            </w:r>
            <w:r w:rsidR="007F3646" w:rsidRPr="007F3646">
              <w:rPr>
                <w:color w:val="000000"/>
                <w:spacing w:val="53"/>
                <w:shd w:val="solid" w:color="000000" w:fill="000000"/>
                <w:fitText w:val="330" w:id="-663525367"/>
                <w14:textFill>
                  <w14:solidFill>
                    <w14:srgbClr w14:val="000000">
                      <w14:alpha w14:val="100000"/>
                    </w14:srgbClr>
                  </w14:solidFill>
                </w14:textFill>
              </w:rPr>
              <w:t>|||</w:t>
            </w:r>
            <w:r w:rsidR="007F3646" w:rsidRPr="007F3646">
              <w:rPr>
                <w:color w:val="000000"/>
                <w:spacing w:val="1"/>
                <w:shd w:val="solid" w:color="000000" w:fill="000000"/>
                <w:fitText w:val="330" w:id="-663525367"/>
                <w14:textFill>
                  <w14:solidFill>
                    <w14:srgbClr w14:val="000000">
                      <w14:alpha w14:val="100000"/>
                    </w14:srgbClr>
                  </w14:solidFill>
                </w14:textFill>
              </w:rPr>
              <w:t>|</w:t>
            </w:r>
            <w:r w:rsidR="00E34E17">
              <w:rPr>
                <w:b/>
                <w:vertAlign w:val="superscript"/>
              </w:rPr>
              <w:t xml:space="preserve"> 6</w:t>
            </w:r>
          </w:p>
        </w:tc>
        <w:tc>
          <w:tcPr>
            <w:tcW w:w="611" w:type="pct"/>
            <w:shd w:val="clear" w:color="auto" w:fill="auto"/>
          </w:tcPr>
          <w:p w14:paraId="00F64793" w14:textId="3FA08480" w:rsidR="002C1266" w:rsidRPr="0009793F" w:rsidRDefault="002C1266" w:rsidP="000B6828">
            <w:pPr>
              <w:pStyle w:val="TableText0"/>
              <w:keepNext/>
              <w:jc w:val="center"/>
            </w:pPr>
            <w:r w:rsidRPr="0056665C">
              <w:t>$</w:t>
            </w:r>
            <w:r w:rsidR="007F3646" w:rsidRPr="007F3646">
              <w:rPr>
                <w:color w:val="000000"/>
                <w:spacing w:val="53"/>
                <w:shd w:val="solid" w:color="000000" w:fill="000000"/>
                <w:fitText w:val="330" w:id="-663525366"/>
                <w14:textFill>
                  <w14:solidFill>
                    <w14:srgbClr w14:val="000000">
                      <w14:alpha w14:val="100000"/>
                    </w14:srgbClr>
                  </w14:solidFill>
                </w14:textFill>
              </w:rPr>
              <w:t>|||</w:t>
            </w:r>
            <w:r w:rsidR="007F3646" w:rsidRPr="007F3646">
              <w:rPr>
                <w:color w:val="000000"/>
                <w:spacing w:val="1"/>
                <w:shd w:val="solid" w:color="000000" w:fill="000000"/>
                <w:fitText w:val="330" w:id="-663525366"/>
                <w14:textFill>
                  <w14:solidFill>
                    <w14:srgbClr w14:val="000000">
                      <w14:alpha w14:val="100000"/>
                    </w14:srgbClr>
                  </w14:solidFill>
                </w14:textFill>
              </w:rPr>
              <w:t>|</w:t>
            </w:r>
            <w:r w:rsidR="00E34E17">
              <w:rPr>
                <w:b/>
                <w:vertAlign w:val="superscript"/>
              </w:rPr>
              <w:t xml:space="preserve"> 6</w:t>
            </w:r>
          </w:p>
        </w:tc>
        <w:tc>
          <w:tcPr>
            <w:tcW w:w="611" w:type="pct"/>
            <w:shd w:val="clear" w:color="auto" w:fill="auto"/>
          </w:tcPr>
          <w:p w14:paraId="03247A31" w14:textId="5439643A" w:rsidR="002C1266" w:rsidRPr="0009793F" w:rsidRDefault="002C1266" w:rsidP="000B6828">
            <w:pPr>
              <w:pStyle w:val="TableText0"/>
              <w:keepNext/>
              <w:jc w:val="center"/>
            </w:pPr>
            <w:r w:rsidRPr="0056665C">
              <w:t>$</w:t>
            </w:r>
            <w:r w:rsidR="007F3646" w:rsidRPr="007F3646">
              <w:rPr>
                <w:color w:val="000000"/>
                <w:spacing w:val="53"/>
                <w:shd w:val="solid" w:color="000000" w:fill="000000"/>
                <w:fitText w:val="330" w:id="-663525365"/>
                <w14:textFill>
                  <w14:solidFill>
                    <w14:srgbClr w14:val="000000">
                      <w14:alpha w14:val="100000"/>
                    </w14:srgbClr>
                  </w14:solidFill>
                </w14:textFill>
              </w:rPr>
              <w:t>|||</w:t>
            </w:r>
            <w:r w:rsidR="007F3646" w:rsidRPr="007F3646">
              <w:rPr>
                <w:color w:val="000000"/>
                <w:spacing w:val="1"/>
                <w:shd w:val="solid" w:color="000000" w:fill="000000"/>
                <w:fitText w:val="330" w:id="-663525365"/>
                <w14:textFill>
                  <w14:solidFill>
                    <w14:srgbClr w14:val="000000">
                      <w14:alpha w14:val="100000"/>
                    </w14:srgbClr>
                  </w14:solidFill>
                </w14:textFill>
              </w:rPr>
              <w:t>|</w:t>
            </w:r>
            <w:r w:rsidR="00E34E17">
              <w:rPr>
                <w:b/>
                <w:vertAlign w:val="superscript"/>
              </w:rPr>
              <w:t xml:space="preserve"> 6</w:t>
            </w:r>
          </w:p>
        </w:tc>
        <w:tc>
          <w:tcPr>
            <w:tcW w:w="611" w:type="pct"/>
          </w:tcPr>
          <w:p w14:paraId="29706E96" w14:textId="4FCEEF10" w:rsidR="002C1266" w:rsidRPr="0009793F" w:rsidRDefault="002C1266" w:rsidP="000B6828">
            <w:pPr>
              <w:pStyle w:val="TableText0"/>
              <w:keepNext/>
              <w:jc w:val="center"/>
            </w:pPr>
            <w:r w:rsidRPr="0056665C">
              <w:t>$</w:t>
            </w:r>
            <w:r w:rsidR="007F3646" w:rsidRPr="007F3646">
              <w:rPr>
                <w:color w:val="000000"/>
                <w:spacing w:val="53"/>
                <w:shd w:val="solid" w:color="000000" w:fill="000000"/>
                <w:fitText w:val="330" w:id="-663525364"/>
                <w14:textFill>
                  <w14:solidFill>
                    <w14:srgbClr w14:val="000000">
                      <w14:alpha w14:val="100000"/>
                    </w14:srgbClr>
                  </w14:solidFill>
                </w14:textFill>
              </w:rPr>
              <w:t>|||</w:t>
            </w:r>
            <w:r w:rsidR="007F3646" w:rsidRPr="007F3646">
              <w:rPr>
                <w:color w:val="000000"/>
                <w:spacing w:val="1"/>
                <w:shd w:val="solid" w:color="000000" w:fill="000000"/>
                <w:fitText w:val="330" w:id="-663525364"/>
                <w14:textFill>
                  <w14:solidFill>
                    <w14:srgbClr w14:val="000000">
                      <w14:alpha w14:val="100000"/>
                    </w14:srgbClr>
                  </w14:solidFill>
                </w14:textFill>
              </w:rPr>
              <w:t>|</w:t>
            </w:r>
            <w:r w:rsidR="00E34E17">
              <w:rPr>
                <w:b/>
                <w:vertAlign w:val="superscript"/>
              </w:rPr>
              <w:t xml:space="preserve"> 6</w:t>
            </w:r>
          </w:p>
        </w:tc>
      </w:tr>
      <w:tr w:rsidR="002C1266" w:rsidRPr="00695458" w14:paraId="3965EAC9" w14:textId="77777777" w:rsidTr="2BCE08C6">
        <w:tc>
          <w:tcPr>
            <w:tcW w:w="5000" w:type="pct"/>
            <w:gridSpan w:val="7"/>
            <w:shd w:val="clear" w:color="auto" w:fill="D9D9D9" w:themeFill="background1" w:themeFillShade="D9"/>
            <w:vAlign w:val="center"/>
          </w:tcPr>
          <w:p w14:paraId="5226E682" w14:textId="77777777" w:rsidR="002C1266" w:rsidRPr="00695458" w:rsidRDefault="002C1266" w:rsidP="000B6828">
            <w:pPr>
              <w:pStyle w:val="TableText0"/>
              <w:keepNext/>
              <w:rPr>
                <w:b/>
              </w:rPr>
            </w:pPr>
            <w:r w:rsidRPr="00695458">
              <w:rPr>
                <w:b/>
              </w:rPr>
              <w:t>Estimated financial implications for mepolizumab</w:t>
            </w:r>
          </w:p>
        </w:tc>
      </w:tr>
      <w:tr w:rsidR="002C1266" w:rsidRPr="0098262F" w14:paraId="4BFE5F4B" w14:textId="77777777" w:rsidTr="2BCE08C6">
        <w:tc>
          <w:tcPr>
            <w:tcW w:w="1334" w:type="pct"/>
            <w:shd w:val="clear" w:color="auto" w:fill="auto"/>
            <w:vAlign w:val="center"/>
          </w:tcPr>
          <w:p w14:paraId="15ECE788" w14:textId="77777777" w:rsidR="002C1266" w:rsidRPr="0098262F" w:rsidRDefault="002C1266" w:rsidP="000B6828">
            <w:pPr>
              <w:pStyle w:val="TableText0"/>
              <w:keepNext/>
            </w:pPr>
            <w:r>
              <w:t>Total cost offsets to the PBS/RPBS</w:t>
            </w:r>
          </w:p>
        </w:tc>
        <w:tc>
          <w:tcPr>
            <w:tcW w:w="611" w:type="pct"/>
            <w:shd w:val="clear" w:color="auto" w:fill="auto"/>
            <w:vAlign w:val="center"/>
          </w:tcPr>
          <w:p w14:paraId="3C7AFCF6" w14:textId="68DF4209" w:rsidR="002C1266" w:rsidRPr="0098262F" w:rsidRDefault="002C1266" w:rsidP="000B6828">
            <w:pPr>
              <w:pStyle w:val="TableText0"/>
              <w:keepNext/>
              <w:jc w:val="center"/>
            </w:pPr>
            <w:r w:rsidRPr="00740A55">
              <w:t>-$</w:t>
            </w:r>
            <w:r w:rsidR="007F3646" w:rsidRPr="007F3646">
              <w:rPr>
                <w:color w:val="000000"/>
                <w:spacing w:val="53"/>
                <w:shd w:val="solid" w:color="000000" w:fill="000000"/>
                <w:fitText w:val="330" w:id="-663525363"/>
                <w14:textFill>
                  <w14:solidFill>
                    <w14:srgbClr w14:val="000000">
                      <w14:alpha w14:val="100000"/>
                    </w14:srgbClr>
                  </w14:solidFill>
                </w14:textFill>
              </w:rPr>
              <w:t>|||</w:t>
            </w:r>
            <w:r w:rsidR="007F3646" w:rsidRPr="007F3646">
              <w:rPr>
                <w:color w:val="000000"/>
                <w:spacing w:val="1"/>
                <w:shd w:val="solid" w:color="000000" w:fill="000000"/>
                <w:fitText w:val="330" w:id="-663525363"/>
                <w14:textFill>
                  <w14:solidFill>
                    <w14:srgbClr w14:val="000000">
                      <w14:alpha w14:val="100000"/>
                    </w14:srgbClr>
                  </w14:solidFill>
                </w14:textFill>
              </w:rPr>
              <w:t>|</w:t>
            </w:r>
            <w:r w:rsidR="00EE3E7A">
              <w:rPr>
                <w:b/>
                <w:vertAlign w:val="superscript"/>
              </w:rPr>
              <w:t xml:space="preserve"> 12</w:t>
            </w:r>
          </w:p>
        </w:tc>
        <w:tc>
          <w:tcPr>
            <w:tcW w:w="611" w:type="pct"/>
            <w:shd w:val="clear" w:color="auto" w:fill="auto"/>
            <w:vAlign w:val="center"/>
          </w:tcPr>
          <w:p w14:paraId="554737D1" w14:textId="2711238E" w:rsidR="002C1266" w:rsidRPr="0098262F" w:rsidRDefault="002C1266" w:rsidP="000B6828">
            <w:pPr>
              <w:pStyle w:val="TableText0"/>
              <w:keepNext/>
              <w:jc w:val="center"/>
            </w:pPr>
            <w:r w:rsidRPr="00740A55">
              <w:t>-$</w:t>
            </w:r>
            <w:r w:rsidR="007F3646" w:rsidRPr="007F3646">
              <w:rPr>
                <w:color w:val="000000"/>
                <w:spacing w:val="53"/>
                <w:shd w:val="solid" w:color="000000" w:fill="000000"/>
                <w:fitText w:val="330" w:id="-663525362"/>
                <w14:textFill>
                  <w14:solidFill>
                    <w14:srgbClr w14:val="000000">
                      <w14:alpha w14:val="100000"/>
                    </w14:srgbClr>
                  </w14:solidFill>
                </w14:textFill>
              </w:rPr>
              <w:t>|||</w:t>
            </w:r>
            <w:r w:rsidR="007F3646" w:rsidRPr="007F3646">
              <w:rPr>
                <w:color w:val="000000"/>
                <w:spacing w:val="1"/>
                <w:shd w:val="solid" w:color="000000" w:fill="000000"/>
                <w:fitText w:val="330" w:id="-663525362"/>
                <w14:textFill>
                  <w14:solidFill>
                    <w14:srgbClr w14:val="000000">
                      <w14:alpha w14:val="100000"/>
                    </w14:srgbClr>
                  </w14:solidFill>
                </w14:textFill>
              </w:rPr>
              <w:t>|</w:t>
            </w:r>
            <w:r w:rsidR="00EE3E7A">
              <w:rPr>
                <w:b/>
                <w:vertAlign w:val="superscript"/>
              </w:rPr>
              <w:t xml:space="preserve"> 12</w:t>
            </w:r>
          </w:p>
        </w:tc>
        <w:tc>
          <w:tcPr>
            <w:tcW w:w="611" w:type="pct"/>
            <w:shd w:val="clear" w:color="auto" w:fill="auto"/>
            <w:vAlign w:val="center"/>
          </w:tcPr>
          <w:p w14:paraId="28352D96" w14:textId="7469324B" w:rsidR="002C1266" w:rsidRPr="0098262F" w:rsidRDefault="002C1266" w:rsidP="000B6828">
            <w:pPr>
              <w:pStyle w:val="TableText0"/>
              <w:keepNext/>
              <w:jc w:val="center"/>
            </w:pPr>
            <w:r w:rsidRPr="00740A55">
              <w:t>-$</w:t>
            </w:r>
            <w:r w:rsidR="007F3646" w:rsidRPr="007F3646">
              <w:rPr>
                <w:color w:val="000000"/>
                <w:spacing w:val="53"/>
                <w:shd w:val="solid" w:color="000000" w:fill="000000"/>
                <w:fitText w:val="330" w:id="-663525361"/>
                <w14:textFill>
                  <w14:solidFill>
                    <w14:srgbClr w14:val="000000">
                      <w14:alpha w14:val="100000"/>
                    </w14:srgbClr>
                  </w14:solidFill>
                </w14:textFill>
              </w:rPr>
              <w:t>|||</w:t>
            </w:r>
            <w:r w:rsidR="007F3646" w:rsidRPr="007F3646">
              <w:rPr>
                <w:color w:val="000000"/>
                <w:spacing w:val="1"/>
                <w:shd w:val="solid" w:color="000000" w:fill="000000"/>
                <w:fitText w:val="330" w:id="-663525361"/>
                <w14:textFill>
                  <w14:solidFill>
                    <w14:srgbClr w14:val="000000">
                      <w14:alpha w14:val="100000"/>
                    </w14:srgbClr>
                  </w14:solidFill>
                </w14:textFill>
              </w:rPr>
              <w:t>|</w:t>
            </w:r>
            <w:r w:rsidR="00EE3E7A">
              <w:rPr>
                <w:b/>
                <w:vertAlign w:val="superscript"/>
              </w:rPr>
              <w:t xml:space="preserve"> 12</w:t>
            </w:r>
          </w:p>
        </w:tc>
        <w:tc>
          <w:tcPr>
            <w:tcW w:w="611" w:type="pct"/>
            <w:shd w:val="clear" w:color="auto" w:fill="auto"/>
            <w:vAlign w:val="center"/>
          </w:tcPr>
          <w:p w14:paraId="1B22931C" w14:textId="3926942E" w:rsidR="002C1266" w:rsidRPr="0098262F" w:rsidRDefault="002C1266" w:rsidP="000B6828">
            <w:pPr>
              <w:pStyle w:val="TableText0"/>
              <w:keepNext/>
              <w:jc w:val="center"/>
            </w:pPr>
            <w:r w:rsidRPr="00740A55">
              <w:t>-$</w:t>
            </w:r>
            <w:r w:rsidR="007F3646" w:rsidRPr="007F3646">
              <w:rPr>
                <w:color w:val="000000"/>
                <w:spacing w:val="53"/>
                <w:shd w:val="solid" w:color="000000" w:fill="000000"/>
                <w:fitText w:val="330" w:id="-663525360"/>
                <w14:textFill>
                  <w14:solidFill>
                    <w14:srgbClr w14:val="000000">
                      <w14:alpha w14:val="100000"/>
                    </w14:srgbClr>
                  </w14:solidFill>
                </w14:textFill>
              </w:rPr>
              <w:t>|||</w:t>
            </w:r>
            <w:r w:rsidR="007F3646" w:rsidRPr="007F3646">
              <w:rPr>
                <w:color w:val="000000"/>
                <w:spacing w:val="1"/>
                <w:shd w:val="solid" w:color="000000" w:fill="000000"/>
                <w:fitText w:val="330" w:id="-663525360"/>
                <w14:textFill>
                  <w14:solidFill>
                    <w14:srgbClr w14:val="000000">
                      <w14:alpha w14:val="100000"/>
                    </w14:srgbClr>
                  </w14:solidFill>
                </w14:textFill>
              </w:rPr>
              <w:t>|</w:t>
            </w:r>
            <w:r w:rsidR="00EE3E7A">
              <w:rPr>
                <w:b/>
                <w:vertAlign w:val="superscript"/>
              </w:rPr>
              <w:t xml:space="preserve"> 12</w:t>
            </w:r>
          </w:p>
        </w:tc>
        <w:tc>
          <w:tcPr>
            <w:tcW w:w="611" w:type="pct"/>
            <w:shd w:val="clear" w:color="auto" w:fill="auto"/>
            <w:vAlign w:val="center"/>
          </w:tcPr>
          <w:p w14:paraId="187254D1" w14:textId="0A358CFB" w:rsidR="002C1266" w:rsidRPr="0098262F" w:rsidRDefault="002C1266" w:rsidP="000B6828">
            <w:pPr>
              <w:pStyle w:val="TableText0"/>
              <w:keepNext/>
              <w:jc w:val="center"/>
            </w:pPr>
            <w:r w:rsidRPr="00740A55">
              <w:t>-$</w:t>
            </w:r>
            <w:r w:rsidR="007F3646" w:rsidRPr="007F3646">
              <w:rPr>
                <w:color w:val="000000"/>
                <w:spacing w:val="53"/>
                <w:shd w:val="solid" w:color="000000" w:fill="000000"/>
                <w:fitText w:val="330" w:id="-663525376"/>
                <w14:textFill>
                  <w14:solidFill>
                    <w14:srgbClr w14:val="000000">
                      <w14:alpha w14:val="100000"/>
                    </w14:srgbClr>
                  </w14:solidFill>
                </w14:textFill>
              </w:rPr>
              <w:t>|||</w:t>
            </w:r>
            <w:r w:rsidR="007F3646" w:rsidRPr="007F3646">
              <w:rPr>
                <w:color w:val="000000"/>
                <w:spacing w:val="1"/>
                <w:shd w:val="solid" w:color="000000" w:fill="000000"/>
                <w:fitText w:val="330" w:id="-663525376"/>
                <w14:textFill>
                  <w14:solidFill>
                    <w14:srgbClr w14:val="000000">
                      <w14:alpha w14:val="100000"/>
                    </w14:srgbClr>
                  </w14:solidFill>
                </w14:textFill>
              </w:rPr>
              <w:t>|</w:t>
            </w:r>
            <w:r w:rsidR="00EE3E7A">
              <w:rPr>
                <w:b/>
                <w:vertAlign w:val="superscript"/>
              </w:rPr>
              <w:t xml:space="preserve"> 12</w:t>
            </w:r>
          </w:p>
        </w:tc>
        <w:tc>
          <w:tcPr>
            <w:tcW w:w="611" w:type="pct"/>
            <w:vAlign w:val="center"/>
          </w:tcPr>
          <w:p w14:paraId="752C9FE1" w14:textId="27C2082B" w:rsidR="002C1266" w:rsidRPr="0098262F" w:rsidRDefault="002C1266" w:rsidP="000B6828">
            <w:pPr>
              <w:pStyle w:val="TableText0"/>
              <w:keepNext/>
              <w:jc w:val="center"/>
            </w:pPr>
            <w:r w:rsidRPr="00740A55">
              <w:t>-$</w:t>
            </w:r>
            <w:r w:rsidR="007F3646" w:rsidRPr="007F3646">
              <w:rPr>
                <w:color w:val="000000"/>
                <w:spacing w:val="53"/>
                <w:shd w:val="solid" w:color="000000" w:fill="000000"/>
                <w:fitText w:val="330" w:id="-663525375"/>
                <w14:textFill>
                  <w14:solidFill>
                    <w14:srgbClr w14:val="000000">
                      <w14:alpha w14:val="100000"/>
                    </w14:srgbClr>
                  </w14:solidFill>
                </w14:textFill>
              </w:rPr>
              <w:t>|||</w:t>
            </w:r>
            <w:r w:rsidR="007F3646" w:rsidRPr="007F3646">
              <w:rPr>
                <w:color w:val="000000"/>
                <w:spacing w:val="1"/>
                <w:shd w:val="solid" w:color="000000" w:fill="000000"/>
                <w:fitText w:val="330" w:id="-663525375"/>
                <w14:textFill>
                  <w14:solidFill>
                    <w14:srgbClr w14:val="000000">
                      <w14:alpha w14:val="100000"/>
                    </w14:srgbClr>
                  </w14:solidFill>
                </w14:textFill>
              </w:rPr>
              <w:t>|</w:t>
            </w:r>
            <w:r w:rsidR="00EE3E7A">
              <w:rPr>
                <w:b/>
                <w:vertAlign w:val="superscript"/>
              </w:rPr>
              <w:t xml:space="preserve"> 12</w:t>
            </w:r>
          </w:p>
        </w:tc>
      </w:tr>
      <w:tr w:rsidR="002C1266" w:rsidRPr="0098262F" w14:paraId="5CBD1F2F" w14:textId="77777777" w:rsidTr="2BCE08C6">
        <w:tc>
          <w:tcPr>
            <w:tcW w:w="5000" w:type="pct"/>
            <w:gridSpan w:val="7"/>
            <w:shd w:val="clear" w:color="auto" w:fill="D9D9D9" w:themeFill="background1" w:themeFillShade="D9"/>
            <w:vAlign w:val="center"/>
          </w:tcPr>
          <w:p w14:paraId="789A9117" w14:textId="77777777" w:rsidR="002C1266" w:rsidRPr="0098262F" w:rsidRDefault="002C1266" w:rsidP="000B6828">
            <w:pPr>
              <w:pStyle w:val="In-tableHeading"/>
              <w:rPr>
                <w:lang w:val="en-AU"/>
              </w:rPr>
            </w:pPr>
            <w:r w:rsidRPr="0098262F">
              <w:rPr>
                <w:lang w:val="en-AU"/>
              </w:rPr>
              <w:t>Net financial implications</w:t>
            </w:r>
            <w:r w:rsidRPr="0098262F">
              <w:rPr>
                <w:color w:val="4BACC6" w:themeColor="accent5"/>
                <w:lang w:val="en-AU"/>
              </w:rPr>
              <w:t xml:space="preserve"> </w:t>
            </w:r>
          </w:p>
        </w:tc>
      </w:tr>
      <w:tr w:rsidR="002C1266" w:rsidRPr="0098262F" w14:paraId="4043050C" w14:textId="77777777" w:rsidTr="2BCE08C6">
        <w:tc>
          <w:tcPr>
            <w:tcW w:w="1334" w:type="pct"/>
            <w:shd w:val="clear" w:color="auto" w:fill="auto"/>
            <w:vAlign w:val="center"/>
          </w:tcPr>
          <w:p w14:paraId="5E62236A" w14:textId="77777777" w:rsidR="002C1266" w:rsidRPr="0098262F" w:rsidRDefault="002C1266" w:rsidP="000B6828">
            <w:pPr>
              <w:pStyle w:val="TableText0"/>
              <w:keepNext/>
            </w:pPr>
            <w:r w:rsidRPr="0098262F">
              <w:t>Net cost to PBS/RPBS</w:t>
            </w:r>
          </w:p>
        </w:tc>
        <w:tc>
          <w:tcPr>
            <w:tcW w:w="611" w:type="pct"/>
            <w:shd w:val="clear" w:color="auto" w:fill="auto"/>
            <w:vAlign w:val="center"/>
          </w:tcPr>
          <w:p w14:paraId="75F59570" w14:textId="204AF2B8" w:rsidR="002C1266" w:rsidRPr="0098262F" w:rsidRDefault="002C1266" w:rsidP="000B6828">
            <w:pPr>
              <w:pStyle w:val="TableText0"/>
              <w:keepNext/>
              <w:jc w:val="center"/>
            </w:pPr>
            <w:r w:rsidRPr="000C386D">
              <w:t>$</w:t>
            </w:r>
            <w:r w:rsidR="007F3646" w:rsidRPr="007F3646">
              <w:rPr>
                <w:color w:val="000000"/>
                <w:spacing w:val="53"/>
                <w:shd w:val="solid" w:color="000000" w:fill="000000"/>
                <w:fitText w:val="330" w:id="-663525374"/>
                <w14:textFill>
                  <w14:solidFill>
                    <w14:srgbClr w14:val="000000">
                      <w14:alpha w14:val="100000"/>
                    </w14:srgbClr>
                  </w14:solidFill>
                </w14:textFill>
              </w:rPr>
              <w:t>|||</w:t>
            </w:r>
            <w:r w:rsidR="007F3646" w:rsidRPr="007F3646">
              <w:rPr>
                <w:color w:val="000000"/>
                <w:spacing w:val="1"/>
                <w:shd w:val="solid" w:color="000000" w:fill="000000"/>
                <w:fitText w:val="330" w:id="-663525374"/>
                <w14:textFill>
                  <w14:solidFill>
                    <w14:srgbClr w14:val="000000">
                      <w14:alpha w14:val="100000"/>
                    </w14:srgbClr>
                  </w14:solidFill>
                </w14:textFill>
              </w:rPr>
              <w:t>|</w:t>
            </w:r>
            <w:r w:rsidR="00E34E17">
              <w:rPr>
                <w:b/>
                <w:vertAlign w:val="superscript"/>
              </w:rPr>
              <w:t xml:space="preserve"> 6</w:t>
            </w:r>
          </w:p>
        </w:tc>
        <w:tc>
          <w:tcPr>
            <w:tcW w:w="611" w:type="pct"/>
            <w:shd w:val="clear" w:color="auto" w:fill="auto"/>
            <w:vAlign w:val="center"/>
          </w:tcPr>
          <w:p w14:paraId="6972D429" w14:textId="37E11F06" w:rsidR="002C1266" w:rsidRPr="0098262F" w:rsidRDefault="002C1266" w:rsidP="000B6828">
            <w:pPr>
              <w:pStyle w:val="TableText0"/>
              <w:keepNext/>
              <w:jc w:val="center"/>
            </w:pPr>
            <w:r w:rsidRPr="000C386D">
              <w:t>$</w:t>
            </w:r>
            <w:r w:rsidR="007F3646" w:rsidRPr="007F3646">
              <w:rPr>
                <w:color w:val="000000"/>
                <w:spacing w:val="53"/>
                <w:shd w:val="solid" w:color="000000" w:fill="000000"/>
                <w:fitText w:val="330" w:id="-663525373"/>
                <w14:textFill>
                  <w14:solidFill>
                    <w14:srgbClr w14:val="000000">
                      <w14:alpha w14:val="100000"/>
                    </w14:srgbClr>
                  </w14:solidFill>
                </w14:textFill>
              </w:rPr>
              <w:t>|||</w:t>
            </w:r>
            <w:r w:rsidR="007F3646" w:rsidRPr="007F3646">
              <w:rPr>
                <w:color w:val="000000"/>
                <w:spacing w:val="1"/>
                <w:shd w:val="solid" w:color="000000" w:fill="000000"/>
                <w:fitText w:val="330" w:id="-663525373"/>
                <w14:textFill>
                  <w14:solidFill>
                    <w14:srgbClr w14:val="000000">
                      <w14:alpha w14:val="100000"/>
                    </w14:srgbClr>
                  </w14:solidFill>
                </w14:textFill>
              </w:rPr>
              <w:t>|</w:t>
            </w:r>
            <w:r w:rsidR="00E34E17">
              <w:rPr>
                <w:b/>
                <w:vertAlign w:val="superscript"/>
              </w:rPr>
              <w:t xml:space="preserve"> 6</w:t>
            </w:r>
          </w:p>
        </w:tc>
        <w:tc>
          <w:tcPr>
            <w:tcW w:w="611" w:type="pct"/>
            <w:shd w:val="clear" w:color="auto" w:fill="auto"/>
            <w:vAlign w:val="center"/>
          </w:tcPr>
          <w:p w14:paraId="75420714" w14:textId="1A0582AB" w:rsidR="002C1266" w:rsidRPr="0098262F" w:rsidRDefault="002C1266" w:rsidP="000B6828">
            <w:pPr>
              <w:pStyle w:val="TableText0"/>
              <w:keepNext/>
              <w:jc w:val="center"/>
            </w:pPr>
            <w:r w:rsidRPr="000C386D">
              <w:t>$</w:t>
            </w:r>
            <w:r w:rsidR="007F3646" w:rsidRPr="007F3646">
              <w:rPr>
                <w:color w:val="000000"/>
                <w:spacing w:val="53"/>
                <w:shd w:val="solid" w:color="000000" w:fill="000000"/>
                <w:fitText w:val="330" w:id="-663525372"/>
                <w14:textFill>
                  <w14:solidFill>
                    <w14:srgbClr w14:val="000000">
                      <w14:alpha w14:val="100000"/>
                    </w14:srgbClr>
                  </w14:solidFill>
                </w14:textFill>
              </w:rPr>
              <w:t>|||</w:t>
            </w:r>
            <w:r w:rsidR="007F3646" w:rsidRPr="007F3646">
              <w:rPr>
                <w:color w:val="000000"/>
                <w:spacing w:val="1"/>
                <w:shd w:val="solid" w:color="000000" w:fill="000000"/>
                <w:fitText w:val="330" w:id="-663525372"/>
                <w14:textFill>
                  <w14:solidFill>
                    <w14:srgbClr w14:val="000000">
                      <w14:alpha w14:val="100000"/>
                    </w14:srgbClr>
                  </w14:solidFill>
                </w14:textFill>
              </w:rPr>
              <w:t>|</w:t>
            </w:r>
            <w:r w:rsidR="00E34E17">
              <w:rPr>
                <w:b/>
                <w:vertAlign w:val="superscript"/>
              </w:rPr>
              <w:t xml:space="preserve"> 6</w:t>
            </w:r>
          </w:p>
        </w:tc>
        <w:tc>
          <w:tcPr>
            <w:tcW w:w="611" w:type="pct"/>
            <w:shd w:val="clear" w:color="auto" w:fill="auto"/>
            <w:vAlign w:val="center"/>
          </w:tcPr>
          <w:p w14:paraId="01167079" w14:textId="097C8A10" w:rsidR="002C1266" w:rsidRPr="0098262F" w:rsidRDefault="002C1266" w:rsidP="000B6828">
            <w:pPr>
              <w:pStyle w:val="TableText0"/>
              <w:keepNext/>
              <w:jc w:val="center"/>
            </w:pPr>
            <w:r w:rsidRPr="000C386D">
              <w:t>$</w:t>
            </w:r>
            <w:r w:rsidR="007F3646" w:rsidRPr="007F3646">
              <w:rPr>
                <w:color w:val="000000"/>
                <w:spacing w:val="53"/>
                <w:shd w:val="solid" w:color="000000" w:fill="000000"/>
                <w:fitText w:val="330" w:id="-663525371"/>
                <w14:textFill>
                  <w14:solidFill>
                    <w14:srgbClr w14:val="000000">
                      <w14:alpha w14:val="100000"/>
                    </w14:srgbClr>
                  </w14:solidFill>
                </w14:textFill>
              </w:rPr>
              <w:t>|||</w:t>
            </w:r>
            <w:r w:rsidR="007F3646" w:rsidRPr="007F3646">
              <w:rPr>
                <w:color w:val="000000"/>
                <w:spacing w:val="1"/>
                <w:shd w:val="solid" w:color="000000" w:fill="000000"/>
                <w:fitText w:val="330" w:id="-663525371"/>
                <w14:textFill>
                  <w14:solidFill>
                    <w14:srgbClr w14:val="000000">
                      <w14:alpha w14:val="100000"/>
                    </w14:srgbClr>
                  </w14:solidFill>
                </w14:textFill>
              </w:rPr>
              <w:t>|</w:t>
            </w:r>
            <w:r w:rsidR="00E34E17">
              <w:rPr>
                <w:b/>
                <w:vertAlign w:val="superscript"/>
              </w:rPr>
              <w:t xml:space="preserve"> 6</w:t>
            </w:r>
          </w:p>
        </w:tc>
        <w:tc>
          <w:tcPr>
            <w:tcW w:w="611" w:type="pct"/>
            <w:shd w:val="clear" w:color="auto" w:fill="auto"/>
            <w:vAlign w:val="center"/>
          </w:tcPr>
          <w:p w14:paraId="54E57C24" w14:textId="64CACD2F" w:rsidR="002C1266" w:rsidRPr="0098262F" w:rsidRDefault="002C1266" w:rsidP="000B6828">
            <w:pPr>
              <w:pStyle w:val="TableText0"/>
              <w:keepNext/>
              <w:jc w:val="center"/>
            </w:pPr>
            <w:r w:rsidRPr="000C386D">
              <w:t>$</w:t>
            </w:r>
            <w:r w:rsidR="007F3646" w:rsidRPr="007F3646">
              <w:rPr>
                <w:color w:val="000000"/>
                <w:spacing w:val="53"/>
                <w:shd w:val="solid" w:color="000000" w:fill="000000"/>
                <w:fitText w:val="330" w:id="-663525370"/>
                <w14:textFill>
                  <w14:solidFill>
                    <w14:srgbClr w14:val="000000">
                      <w14:alpha w14:val="100000"/>
                    </w14:srgbClr>
                  </w14:solidFill>
                </w14:textFill>
              </w:rPr>
              <w:t>|||</w:t>
            </w:r>
            <w:r w:rsidR="007F3646" w:rsidRPr="007F3646">
              <w:rPr>
                <w:color w:val="000000"/>
                <w:spacing w:val="1"/>
                <w:shd w:val="solid" w:color="000000" w:fill="000000"/>
                <w:fitText w:val="330" w:id="-663525370"/>
                <w14:textFill>
                  <w14:solidFill>
                    <w14:srgbClr w14:val="000000">
                      <w14:alpha w14:val="100000"/>
                    </w14:srgbClr>
                  </w14:solidFill>
                </w14:textFill>
              </w:rPr>
              <w:t>|</w:t>
            </w:r>
            <w:r w:rsidR="00E34E17">
              <w:rPr>
                <w:b/>
                <w:vertAlign w:val="superscript"/>
              </w:rPr>
              <w:t xml:space="preserve"> 6</w:t>
            </w:r>
          </w:p>
        </w:tc>
        <w:tc>
          <w:tcPr>
            <w:tcW w:w="611" w:type="pct"/>
            <w:vAlign w:val="center"/>
          </w:tcPr>
          <w:p w14:paraId="02D8550A" w14:textId="6EC69836" w:rsidR="002C1266" w:rsidRPr="0098262F" w:rsidRDefault="002C1266" w:rsidP="000B6828">
            <w:pPr>
              <w:pStyle w:val="TableText0"/>
              <w:keepNext/>
              <w:jc w:val="center"/>
            </w:pPr>
            <w:r w:rsidRPr="000C386D">
              <w:t>$</w:t>
            </w:r>
            <w:r w:rsidR="007F3646" w:rsidRPr="007F3646">
              <w:rPr>
                <w:color w:val="000000"/>
                <w:spacing w:val="53"/>
                <w:shd w:val="solid" w:color="000000" w:fill="000000"/>
                <w:fitText w:val="330" w:id="-663525369"/>
                <w14:textFill>
                  <w14:solidFill>
                    <w14:srgbClr w14:val="000000">
                      <w14:alpha w14:val="100000"/>
                    </w14:srgbClr>
                  </w14:solidFill>
                </w14:textFill>
              </w:rPr>
              <w:t>|||</w:t>
            </w:r>
            <w:r w:rsidR="007F3646" w:rsidRPr="007F3646">
              <w:rPr>
                <w:color w:val="000000"/>
                <w:spacing w:val="1"/>
                <w:shd w:val="solid" w:color="000000" w:fill="000000"/>
                <w:fitText w:val="330" w:id="-663525369"/>
                <w14:textFill>
                  <w14:solidFill>
                    <w14:srgbClr w14:val="000000">
                      <w14:alpha w14:val="100000"/>
                    </w14:srgbClr>
                  </w14:solidFill>
                </w14:textFill>
              </w:rPr>
              <w:t>|</w:t>
            </w:r>
            <w:r w:rsidR="00E34E17">
              <w:rPr>
                <w:b/>
                <w:vertAlign w:val="superscript"/>
              </w:rPr>
              <w:t xml:space="preserve"> 6</w:t>
            </w:r>
          </w:p>
        </w:tc>
      </w:tr>
      <w:tr w:rsidR="002C1266" w:rsidRPr="0098262F" w14:paraId="4BE01796" w14:textId="77777777" w:rsidTr="2BCE08C6">
        <w:tc>
          <w:tcPr>
            <w:tcW w:w="1334" w:type="pct"/>
            <w:shd w:val="clear" w:color="auto" w:fill="auto"/>
            <w:vAlign w:val="center"/>
          </w:tcPr>
          <w:p w14:paraId="662581D7" w14:textId="77777777" w:rsidR="002C1266" w:rsidRPr="0098262F" w:rsidRDefault="002C1266" w:rsidP="000B6828">
            <w:pPr>
              <w:pStyle w:val="TableText0"/>
              <w:keepNext/>
              <w:rPr>
                <w:rFonts w:ascii="Times" w:hAnsi="Times"/>
              </w:rPr>
            </w:pPr>
            <w:r w:rsidRPr="0098262F">
              <w:t xml:space="preserve">Net cost to </w:t>
            </w:r>
            <w:r>
              <w:t>MBS</w:t>
            </w:r>
          </w:p>
        </w:tc>
        <w:tc>
          <w:tcPr>
            <w:tcW w:w="611" w:type="pct"/>
            <w:shd w:val="clear" w:color="auto" w:fill="auto"/>
            <w:vAlign w:val="center"/>
          </w:tcPr>
          <w:p w14:paraId="47F2F5D6" w14:textId="0472357A" w:rsidR="002C1266" w:rsidRPr="0098262F" w:rsidRDefault="002C1266" w:rsidP="000B6828">
            <w:pPr>
              <w:pStyle w:val="TableText0"/>
              <w:keepNext/>
              <w:jc w:val="center"/>
            </w:pPr>
            <w:r w:rsidRPr="00541F87">
              <w:t>$</w:t>
            </w:r>
            <w:r w:rsidR="007F3646" w:rsidRPr="007F3646">
              <w:rPr>
                <w:color w:val="000000"/>
                <w:spacing w:val="49"/>
                <w:shd w:val="solid" w:color="000000" w:fill="000000"/>
                <w:fitText w:val="320" w:id="-663525368"/>
                <w14:textFill>
                  <w14:solidFill>
                    <w14:srgbClr w14:val="000000">
                      <w14:alpha w14:val="100000"/>
                    </w14:srgbClr>
                  </w14:solidFill>
                </w14:textFill>
              </w:rPr>
              <w:t>|||</w:t>
            </w:r>
            <w:r w:rsidR="007F3646" w:rsidRPr="007F3646">
              <w:rPr>
                <w:color w:val="000000"/>
                <w:spacing w:val="3"/>
                <w:shd w:val="solid" w:color="000000" w:fill="000000"/>
                <w:fitText w:val="320" w:id="-663525368"/>
                <w14:textFill>
                  <w14:solidFill>
                    <w14:srgbClr w14:val="000000">
                      <w14:alpha w14:val="100000"/>
                    </w14:srgbClr>
                  </w14:solidFill>
                </w14:textFill>
              </w:rPr>
              <w:t>|</w:t>
            </w:r>
            <w:r w:rsidR="00EE3E7A">
              <w:rPr>
                <w:b/>
                <w:vertAlign w:val="superscript"/>
              </w:rPr>
              <w:t xml:space="preserve"> 10</w:t>
            </w:r>
          </w:p>
        </w:tc>
        <w:tc>
          <w:tcPr>
            <w:tcW w:w="611" w:type="pct"/>
            <w:shd w:val="clear" w:color="auto" w:fill="auto"/>
            <w:vAlign w:val="center"/>
          </w:tcPr>
          <w:p w14:paraId="4ECDFFB0" w14:textId="464AF3FF" w:rsidR="002C1266" w:rsidRPr="0098262F" w:rsidRDefault="002C1266" w:rsidP="000B6828">
            <w:pPr>
              <w:pStyle w:val="TableText0"/>
              <w:keepNext/>
              <w:jc w:val="center"/>
            </w:pPr>
            <w:r w:rsidRPr="00541F87">
              <w:t>$</w:t>
            </w:r>
            <w:r w:rsidR="007F3646" w:rsidRPr="007F3646">
              <w:rPr>
                <w:color w:val="000000"/>
                <w:spacing w:val="49"/>
                <w:shd w:val="solid" w:color="000000" w:fill="000000"/>
                <w:fitText w:val="320" w:id="-663525367"/>
                <w14:textFill>
                  <w14:solidFill>
                    <w14:srgbClr w14:val="000000">
                      <w14:alpha w14:val="100000"/>
                    </w14:srgbClr>
                  </w14:solidFill>
                </w14:textFill>
              </w:rPr>
              <w:t>|||</w:t>
            </w:r>
            <w:r w:rsidR="007F3646" w:rsidRPr="007F3646">
              <w:rPr>
                <w:color w:val="000000"/>
                <w:spacing w:val="3"/>
                <w:shd w:val="solid" w:color="000000" w:fill="000000"/>
                <w:fitText w:val="320" w:id="-663525367"/>
                <w14:textFill>
                  <w14:solidFill>
                    <w14:srgbClr w14:val="000000">
                      <w14:alpha w14:val="100000"/>
                    </w14:srgbClr>
                  </w14:solidFill>
                </w14:textFill>
              </w:rPr>
              <w:t>|</w:t>
            </w:r>
            <w:r w:rsidR="00EE3E7A">
              <w:rPr>
                <w:b/>
                <w:vertAlign w:val="superscript"/>
              </w:rPr>
              <w:t xml:space="preserve"> 10</w:t>
            </w:r>
          </w:p>
        </w:tc>
        <w:tc>
          <w:tcPr>
            <w:tcW w:w="611" w:type="pct"/>
            <w:shd w:val="clear" w:color="auto" w:fill="auto"/>
            <w:vAlign w:val="center"/>
          </w:tcPr>
          <w:p w14:paraId="4FD6E0D2" w14:textId="3EB5743B" w:rsidR="002C1266" w:rsidRPr="0098262F" w:rsidRDefault="002C1266" w:rsidP="000B6828">
            <w:pPr>
              <w:pStyle w:val="TableText0"/>
              <w:keepNext/>
              <w:jc w:val="center"/>
            </w:pPr>
            <w:r w:rsidRPr="00541F87">
              <w:t>$</w:t>
            </w:r>
            <w:r w:rsidR="007F3646" w:rsidRPr="007F3646">
              <w:rPr>
                <w:color w:val="000000"/>
                <w:spacing w:val="49"/>
                <w:shd w:val="solid" w:color="000000" w:fill="000000"/>
                <w:fitText w:val="320" w:id="-663525366"/>
                <w14:textFill>
                  <w14:solidFill>
                    <w14:srgbClr w14:val="000000">
                      <w14:alpha w14:val="100000"/>
                    </w14:srgbClr>
                  </w14:solidFill>
                </w14:textFill>
              </w:rPr>
              <w:t>|||</w:t>
            </w:r>
            <w:r w:rsidR="007F3646" w:rsidRPr="007F3646">
              <w:rPr>
                <w:color w:val="000000"/>
                <w:spacing w:val="3"/>
                <w:shd w:val="solid" w:color="000000" w:fill="000000"/>
                <w:fitText w:val="320" w:id="-663525366"/>
                <w14:textFill>
                  <w14:solidFill>
                    <w14:srgbClr w14:val="000000">
                      <w14:alpha w14:val="100000"/>
                    </w14:srgbClr>
                  </w14:solidFill>
                </w14:textFill>
              </w:rPr>
              <w:t>|</w:t>
            </w:r>
            <w:r w:rsidR="00EE3E7A">
              <w:rPr>
                <w:b/>
                <w:vertAlign w:val="superscript"/>
              </w:rPr>
              <w:t xml:space="preserve"> 10</w:t>
            </w:r>
          </w:p>
        </w:tc>
        <w:tc>
          <w:tcPr>
            <w:tcW w:w="611" w:type="pct"/>
            <w:shd w:val="clear" w:color="auto" w:fill="auto"/>
            <w:vAlign w:val="center"/>
          </w:tcPr>
          <w:p w14:paraId="017BC8FC" w14:textId="1235D1E5" w:rsidR="002C1266" w:rsidRPr="0098262F" w:rsidRDefault="002C1266" w:rsidP="000B6828">
            <w:pPr>
              <w:pStyle w:val="TableText0"/>
              <w:keepNext/>
              <w:jc w:val="center"/>
            </w:pPr>
            <w:r w:rsidRPr="00541F87">
              <w:t>$</w:t>
            </w:r>
            <w:r w:rsidR="007F3646" w:rsidRPr="007F3646">
              <w:rPr>
                <w:color w:val="000000"/>
                <w:spacing w:val="49"/>
                <w:shd w:val="solid" w:color="000000" w:fill="000000"/>
                <w:fitText w:val="320" w:id="-663525365"/>
                <w14:textFill>
                  <w14:solidFill>
                    <w14:srgbClr w14:val="000000">
                      <w14:alpha w14:val="100000"/>
                    </w14:srgbClr>
                  </w14:solidFill>
                </w14:textFill>
              </w:rPr>
              <w:t>|||</w:t>
            </w:r>
            <w:r w:rsidR="007F3646" w:rsidRPr="007F3646">
              <w:rPr>
                <w:color w:val="000000"/>
                <w:spacing w:val="3"/>
                <w:shd w:val="solid" w:color="000000" w:fill="000000"/>
                <w:fitText w:val="320" w:id="-663525365"/>
                <w14:textFill>
                  <w14:solidFill>
                    <w14:srgbClr w14:val="000000">
                      <w14:alpha w14:val="100000"/>
                    </w14:srgbClr>
                  </w14:solidFill>
                </w14:textFill>
              </w:rPr>
              <w:t>|</w:t>
            </w:r>
            <w:r w:rsidR="00EE3E7A">
              <w:rPr>
                <w:b/>
                <w:vertAlign w:val="superscript"/>
              </w:rPr>
              <w:t xml:space="preserve"> 10</w:t>
            </w:r>
          </w:p>
        </w:tc>
        <w:tc>
          <w:tcPr>
            <w:tcW w:w="611" w:type="pct"/>
            <w:shd w:val="clear" w:color="auto" w:fill="auto"/>
            <w:vAlign w:val="center"/>
          </w:tcPr>
          <w:p w14:paraId="04DA2638" w14:textId="032866A1" w:rsidR="002C1266" w:rsidRPr="0098262F" w:rsidRDefault="002C1266" w:rsidP="000B6828">
            <w:pPr>
              <w:pStyle w:val="TableText0"/>
              <w:keepNext/>
              <w:jc w:val="center"/>
            </w:pPr>
            <w:r w:rsidRPr="00541F87">
              <w:t>$</w:t>
            </w:r>
            <w:r w:rsidR="007F3646" w:rsidRPr="007F3646">
              <w:rPr>
                <w:color w:val="000000"/>
                <w:spacing w:val="49"/>
                <w:shd w:val="solid" w:color="000000" w:fill="000000"/>
                <w:fitText w:val="320" w:id="-663525364"/>
                <w14:textFill>
                  <w14:solidFill>
                    <w14:srgbClr w14:val="000000">
                      <w14:alpha w14:val="100000"/>
                    </w14:srgbClr>
                  </w14:solidFill>
                </w14:textFill>
              </w:rPr>
              <w:t>|||</w:t>
            </w:r>
            <w:r w:rsidR="007F3646" w:rsidRPr="007F3646">
              <w:rPr>
                <w:color w:val="000000"/>
                <w:spacing w:val="3"/>
                <w:shd w:val="solid" w:color="000000" w:fill="000000"/>
                <w:fitText w:val="320" w:id="-663525364"/>
                <w14:textFill>
                  <w14:solidFill>
                    <w14:srgbClr w14:val="000000">
                      <w14:alpha w14:val="100000"/>
                    </w14:srgbClr>
                  </w14:solidFill>
                </w14:textFill>
              </w:rPr>
              <w:t>|</w:t>
            </w:r>
            <w:r w:rsidR="00EE3E7A">
              <w:rPr>
                <w:b/>
                <w:vertAlign w:val="superscript"/>
              </w:rPr>
              <w:t xml:space="preserve"> 10</w:t>
            </w:r>
          </w:p>
        </w:tc>
        <w:tc>
          <w:tcPr>
            <w:tcW w:w="611" w:type="pct"/>
            <w:vAlign w:val="center"/>
          </w:tcPr>
          <w:p w14:paraId="3FF8EE70" w14:textId="2ACF9293" w:rsidR="002C1266" w:rsidRPr="0098262F" w:rsidRDefault="002C1266" w:rsidP="000B6828">
            <w:pPr>
              <w:pStyle w:val="TableText0"/>
              <w:keepNext/>
              <w:jc w:val="center"/>
            </w:pPr>
            <w:r w:rsidRPr="00541F87">
              <w:t>$</w:t>
            </w:r>
            <w:r w:rsidR="007F3646" w:rsidRPr="007F3646">
              <w:rPr>
                <w:color w:val="000000"/>
                <w:spacing w:val="49"/>
                <w:shd w:val="solid" w:color="000000" w:fill="000000"/>
                <w:fitText w:val="320" w:id="-663525363"/>
                <w14:textFill>
                  <w14:solidFill>
                    <w14:srgbClr w14:val="000000">
                      <w14:alpha w14:val="100000"/>
                    </w14:srgbClr>
                  </w14:solidFill>
                </w14:textFill>
              </w:rPr>
              <w:t>|||</w:t>
            </w:r>
            <w:r w:rsidR="007F3646" w:rsidRPr="007F3646">
              <w:rPr>
                <w:color w:val="000000"/>
                <w:spacing w:val="3"/>
                <w:shd w:val="solid" w:color="000000" w:fill="000000"/>
                <w:fitText w:val="320" w:id="-663525363"/>
                <w14:textFill>
                  <w14:solidFill>
                    <w14:srgbClr w14:val="000000">
                      <w14:alpha w14:val="100000"/>
                    </w14:srgbClr>
                  </w14:solidFill>
                </w14:textFill>
              </w:rPr>
              <w:t>|</w:t>
            </w:r>
            <w:r w:rsidR="00EE3E7A">
              <w:rPr>
                <w:b/>
                <w:vertAlign w:val="superscript"/>
              </w:rPr>
              <w:t xml:space="preserve"> 10</w:t>
            </w:r>
          </w:p>
        </w:tc>
      </w:tr>
      <w:tr w:rsidR="002C1266" w:rsidRPr="00DF0B6A" w14:paraId="10673B84" w14:textId="77777777" w:rsidTr="2BCE08C6">
        <w:tc>
          <w:tcPr>
            <w:tcW w:w="1334" w:type="pct"/>
            <w:shd w:val="clear" w:color="auto" w:fill="auto"/>
            <w:vAlign w:val="center"/>
          </w:tcPr>
          <w:p w14:paraId="6EF5A85C" w14:textId="77777777" w:rsidR="002C1266" w:rsidRPr="00DF0B6A" w:rsidRDefault="002C1266" w:rsidP="000B6828">
            <w:pPr>
              <w:pStyle w:val="TableText0"/>
              <w:keepNext/>
              <w:rPr>
                <w:b/>
              </w:rPr>
            </w:pPr>
            <w:r w:rsidRPr="00DF0B6A">
              <w:rPr>
                <w:b/>
              </w:rPr>
              <w:t>Net health budget</w:t>
            </w:r>
          </w:p>
        </w:tc>
        <w:tc>
          <w:tcPr>
            <w:tcW w:w="611" w:type="pct"/>
            <w:shd w:val="clear" w:color="auto" w:fill="auto"/>
            <w:vAlign w:val="center"/>
          </w:tcPr>
          <w:p w14:paraId="6148CD94" w14:textId="3892A503" w:rsidR="002C1266" w:rsidRPr="00DF0B6A" w:rsidRDefault="002C1266" w:rsidP="000B6828">
            <w:pPr>
              <w:pStyle w:val="TableText0"/>
              <w:keepNext/>
              <w:jc w:val="center"/>
              <w:rPr>
                <w:b/>
              </w:rPr>
            </w:pPr>
            <w:r w:rsidRPr="00DF0B6A">
              <w:rPr>
                <w:b/>
              </w:rPr>
              <w:t>$</w:t>
            </w:r>
            <w:r w:rsidR="007F3646" w:rsidRPr="007F3646">
              <w:rPr>
                <w:b/>
                <w:color w:val="000000"/>
                <w:spacing w:val="55"/>
                <w:shd w:val="solid" w:color="000000" w:fill="000000"/>
                <w:fitText w:val="350" w:id="-663525362"/>
                <w14:textFill>
                  <w14:solidFill>
                    <w14:srgbClr w14:val="000000">
                      <w14:alpha w14:val="100000"/>
                    </w14:srgbClr>
                  </w14:solidFill>
                </w14:textFill>
              </w:rPr>
              <w:t>|||</w:t>
            </w:r>
            <w:r w:rsidR="007F3646" w:rsidRPr="007F3646">
              <w:rPr>
                <w:b/>
                <w:color w:val="000000"/>
                <w:spacing w:val="2"/>
                <w:shd w:val="solid" w:color="000000" w:fill="000000"/>
                <w:fitText w:val="350" w:id="-663525362"/>
                <w14:textFill>
                  <w14:solidFill>
                    <w14:srgbClr w14:val="000000">
                      <w14:alpha w14:val="100000"/>
                    </w14:srgbClr>
                  </w14:solidFill>
                </w14:textFill>
              </w:rPr>
              <w:t>|</w:t>
            </w:r>
            <w:r w:rsidR="00E34E17">
              <w:rPr>
                <w:b/>
                <w:vertAlign w:val="superscript"/>
              </w:rPr>
              <w:t xml:space="preserve"> 6</w:t>
            </w:r>
          </w:p>
        </w:tc>
        <w:tc>
          <w:tcPr>
            <w:tcW w:w="611" w:type="pct"/>
            <w:shd w:val="clear" w:color="auto" w:fill="auto"/>
            <w:vAlign w:val="center"/>
          </w:tcPr>
          <w:p w14:paraId="41037FDB" w14:textId="07DADDAE" w:rsidR="002C1266" w:rsidRPr="00DF0B6A" w:rsidRDefault="002C1266" w:rsidP="000B6828">
            <w:pPr>
              <w:pStyle w:val="TableText0"/>
              <w:keepNext/>
              <w:jc w:val="center"/>
              <w:rPr>
                <w:b/>
              </w:rPr>
            </w:pPr>
            <w:r w:rsidRPr="00DF0B6A">
              <w:rPr>
                <w:b/>
              </w:rPr>
              <w:t>$</w:t>
            </w:r>
            <w:r w:rsidR="007F3646" w:rsidRPr="007F3646">
              <w:rPr>
                <w:b/>
                <w:color w:val="000000"/>
                <w:spacing w:val="55"/>
                <w:shd w:val="solid" w:color="000000" w:fill="000000"/>
                <w:fitText w:val="350" w:id="-663525361"/>
                <w14:textFill>
                  <w14:solidFill>
                    <w14:srgbClr w14:val="000000">
                      <w14:alpha w14:val="100000"/>
                    </w14:srgbClr>
                  </w14:solidFill>
                </w14:textFill>
              </w:rPr>
              <w:t>|||</w:t>
            </w:r>
            <w:r w:rsidR="007F3646" w:rsidRPr="007F3646">
              <w:rPr>
                <w:b/>
                <w:color w:val="000000"/>
                <w:spacing w:val="2"/>
                <w:shd w:val="solid" w:color="000000" w:fill="000000"/>
                <w:fitText w:val="350" w:id="-663525361"/>
                <w14:textFill>
                  <w14:solidFill>
                    <w14:srgbClr w14:val="000000">
                      <w14:alpha w14:val="100000"/>
                    </w14:srgbClr>
                  </w14:solidFill>
                </w14:textFill>
              </w:rPr>
              <w:t>|</w:t>
            </w:r>
            <w:r w:rsidR="00E34E17">
              <w:rPr>
                <w:b/>
                <w:vertAlign w:val="superscript"/>
              </w:rPr>
              <w:t xml:space="preserve"> 6</w:t>
            </w:r>
          </w:p>
        </w:tc>
        <w:tc>
          <w:tcPr>
            <w:tcW w:w="611" w:type="pct"/>
            <w:shd w:val="clear" w:color="auto" w:fill="auto"/>
            <w:vAlign w:val="center"/>
          </w:tcPr>
          <w:p w14:paraId="3E4CCD46" w14:textId="7231E752" w:rsidR="002C1266" w:rsidRPr="00DF0B6A" w:rsidRDefault="002C1266" w:rsidP="000B6828">
            <w:pPr>
              <w:pStyle w:val="TableText0"/>
              <w:keepNext/>
              <w:jc w:val="center"/>
              <w:rPr>
                <w:b/>
              </w:rPr>
            </w:pPr>
            <w:r w:rsidRPr="00DF0B6A">
              <w:rPr>
                <w:b/>
              </w:rPr>
              <w:t>$</w:t>
            </w:r>
            <w:r w:rsidR="007F3646" w:rsidRPr="007F3646">
              <w:rPr>
                <w:b/>
                <w:color w:val="000000"/>
                <w:spacing w:val="55"/>
                <w:shd w:val="solid" w:color="000000" w:fill="000000"/>
                <w:fitText w:val="350" w:id="-663525360"/>
                <w14:textFill>
                  <w14:solidFill>
                    <w14:srgbClr w14:val="000000">
                      <w14:alpha w14:val="100000"/>
                    </w14:srgbClr>
                  </w14:solidFill>
                </w14:textFill>
              </w:rPr>
              <w:t>|||</w:t>
            </w:r>
            <w:r w:rsidR="007F3646" w:rsidRPr="007F3646">
              <w:rPr>
                <w:b/>
                <w:color w:val="000000"/>
                <w:spacing w:val="2"/>
                <w:shd w:val="solid" w:color="000000" w:fill="000000"/>
                <w:fitText w:val="350" w:id="-663525360"/>
                <w14:textFill>
                  <w14:solidFill>
                    <w14:srgbClr w14:val="000000">
                      <w14:alpha w14:val="100000"/>
                    </w14:srgbClr>
                  </w14:solidFill>
                </w14:textFill>
              </w:rPr>
              <w:t>|</w:t>
            </w:r>
            <w:r w:rsidR="00E34E17">
              <w:rPr>
                <w:b/>
                <w:vertAlign w:val="superscript"/>
              </w:rPr>
              <w:t xml:space="preserve"> 6</w:t>
            </w:r>
          </w:p>
        </w:tc>
        <w:tc>
          <w:tcPr>
            <w:tcW w:w="611" w:type="pct"/>
            <w:shd w:val="clear" w:color="auto" w:fill="auto"/>
            <w:vAlign w:val="center"/>
          </w:tcPr>
          <w:p w14:paraId="236BD2AB" w14:textId="5B20FF84" w:rsidR="002C1266" w:rsidRPr="00DF0B6A" w:rsidRDefault="002C1266" w:rsidP="000B6828">
            <w:pPr>
              <w:pStyle w:val="TableText0"/>
              <w:keepNext/>
              <w:jc w:val="center"/>
              <w:rPr>
                <w:b/>
              </w:rPr>
            </w:pPr>
            <w:r w:rsidRPr="00DF0B6A">
              <w:rPr>
                <w:b/>
              </w:rPr>
              <w:t>$</w:t>
            </w:r>
            <w:r w:rsidR="007F3646" w:rsidRPr="007F3646">
              <w:rPr>
                <w:b/>
                <w:color w:val="000000"/>
                <w:spacing w:val="55"/>
                <w:shd w:val="solid" w:color="000000" w:fill="000000"/>
                <w:fitText w:val="350" w:id="-663525376"/>
                <w14:textFill>
                  <w14:solidFill>
                    <w14:srgbClr w14:val="000000">
                      <w14:alpha w14:val="100000"/>
                    </w14:srgbClr>
                  </w14:solidFill>
                </w14:textFill>
              </w:rPr>
              <w:t>|||</w:t>
            </w:r>
            <w:r w:rsidR="007F3646" w:rsidRPr="007F3646">
              <w:rPr>
                <w:b/>
                <w:color w:val="000000"/>
                <w:spacing w:val="2"/>
                <w:shd w:val="solid" w:color="000000" w:fill="000000"/>
                <w:fitText w:val="350" w:id="-663525376"/>
                <w14:textFill>
                  <w14:solidFill>
                    <w14:srgbClr w14:val="000000">
                      <w14:alpha w14:val="100000"/>
                    </w14:srgbClr>
                  </w14:solidFill>
                </w14:textFill>
              </w:rPr>
              <w:t>|</w:t>
            </w:r>
            <w:r w:rsidR="00E34E17">
              <w:rPr>
                <w:b/>
                <w:vertAlign w:val="superscript"/>
              </w:rPr>
              <w:t xml:space="preserve"> 6</w:t>
            </w:r>
          </w:p>
        </w:tc>
        <w:tc>
          <w:tcPr>
            <w:tcW w:w="611" w:type="pct"/>
            <w:shd w:val="clear" w:color="auto" w:fill="auto"/>
            <w:vAlign w:val="center"/>
          </w:tcPr>
          <w:p w14:paraId="7A7DB499" w14:textId="2AFB999A" w:rsidR="002C1266" w:rsidRPr="00DF0B6A" w:rsidRDefault="002C1266" w:rsidP="000B6828">
            <w:pPr>
              <w:pStyle w:val="TableText0"/>
              <w:keepNext/>
              <w:jc w:val="center"/>
              <w:rPr>
                <w:b/>
              </w:rPr>
            </w:pPr>
            <w:r w:rsidRPr="00DF0B6A">
              <w:rPr>
                <w:b/>
              </w:rPr>
              <w:t>$</w:t>
            </w:r>
            <w:r w:rsidR="007F3646" w:rsidRPr="007F3646">
              <w:rPr>
                <w:b/>
                <w:color w:val="000000"/>
                <w:spacing w:val="55"/>
                <w:shd w:val="solid" w:color="000000" w:fill="000000"/>
                <w:fitText w:val="350" w:id="-663525375"/>
                <w14:textFill>
                  <w14:solidFill>
                    <w14:srgbClr w14:val="000000">
                      <w14:alpha w14:val="100000"/>
                    </w14:srgbClr>
                  </w14:solidFill>
                </w14:textFill>
              </w:rPr>
              <w:t>|||</w:t>
            </w:r>
            <w:r w:rsidR="007F3646" w:rsidRPr="007F3646">
              <w:rPr>
                <w:b/>
                <w:color w:val="000000"/>
                <w:spacing w:val="2"/>
                <w:shd w:val="solid" w:color="000000" w:fill="000000"/>
                <w:fitText w:val="350" w:id="-663525375"/>
                <w14:textFill>
                  <w14:solidFill>
                    <w14:srgbClr w14:val="000000">
                      <w14:alpha w14:val="100000"/>
                    </w14:srgbClr>
                  </w14:solidFill>
                </w14:textFill>
              </w:rPr>
              <w:t>|</w:t>
            </w:r>
            <w:r w:rsidR="00E34E17">
              <w:rPr>
                <w:b/>
                <w:vertAlign w:val="superscript"/>
              </w:rPr>
              <w:t xml:space="preserve"> 6</w:t>
            </w:r>
          </w:p>
        </w:tc>
        <w:tc>
          <w:tcPr>
            <w:tcW w:w="611" w:type="pct"/>
            <w:vAlign w:val="center"/>
          </w:tcPr>
          <w:p w14:paraId="4386408D" w14:textId="420A9AB8" w:rsidR="002C1266" w:rsidRPr="00DF0B6A" w:rsidRDefault="002C1266" w:rsidP="000B6828">
            <w:pPr>
              <w:pStyle w:val="TableText0"/>
              <w:keepNext/>
              <w:jc w:val="center"/>
              <w:rPr>
                <w:b/>
              </w:rPr>
            </w:pPr>
            <w:r w:rsidRPr="00DF0B6A">
              <w:rPr>
                <w:b/>
              </w:rPr>
              <w:t>$</w:t>
            </w:r>
            <w:r w:rsidR="007F3646" w:rsidRPr="000704B3">
              <w:rPr>
                <w:b/>
                <w:color w:val="000000"/>
                <w:spacing w:val="55"/>
                <w:shd w:val="solid" w:color="000000" w:fill="000000"/>
                <w:fitText w:val="350" w:id="-663525374"/>
                <w14:textFill>
                  <w14:solidFill>
                    <w14:srgbClr w14:val="000000">
                      <w14:alpha w14:val="100000"/>
                    </w14:srgbClr>
                  </w14:solidFill>
                </w14:textFill>
              </w:rPr>
              <w:t>|||</w:t>
            </w:r>
            <w:r w:rsidR="007F3646" w:rsidRPr="000704B3">
              <w:rPr>
                <w:b/>
                <w:color w:val="000000"/>
                <w:spacing w:val="2"/>
                <w:shd w:val="solid" w:color="000000" w:fill="000000"/>
                <w:fitText w:val="350" w:id="-663525374"/>
                <w14:textFill>
                  <w14:solidFill>
                    <w14:srgbClr w14:val="000000">
                      <w14:alpha w14:val="100000"/>
                    </w14:srgbClr>
                  </w14:solidFill>
                </w14:textFill>
              </w:rPr>
              <w:t>|</w:t>
            </w:r>
            <w:r w:rsidR="00E34E17">
              <w:rPr>
                <w:b/>
                <w:vertAlign w:val="superscript"/>
              </w:rPr>
              <w:t xml:space="preserve"> 6</w:t>
            </w:r>
          </w:p>
        </w:tc>
      </w:tr>
    </w:tbl>
    <w:p w14:paraId="6362E5B5" w14:textId="77777777" w:rsidR="002C1266" w:rsidRPr="00B80992" w:rsidRDefault="002C1266" w:rsidP="002C1266">
      <w:pPr>
        <w:pStyle w:val="FooterTableFigure"/>
        <w:rPr>
          <w:rStyle w:val="CommentReference"/>
          <w:b w:val="0"/>
          <w:sz w:val="18"/>
          <w:szCs w:val="22"/>
        </w:rPr>
      </w:pPr>
      <w:r w:rsidRPr="00B80992">
        <w:t>Source: Compiled during the evaluation from Table 4.13, p155 of the submission and Table 4.15, p157 of the submission.</w:t>
      </w:r>
      <w:r w:rsidRPr="00B80992">
        <w:br/>
      </w:r>
      <w:r w:rsidRPr="00B80992">
        <w:rPr>
          <w:rStyle w:val="CommentReference"/>
          <w:b w:val="0"/>
          <w:sz w:val="18"/>
          <w:szCs w:val="22"/>
        </w:rPr>
        <w:t>BEC, blood eosinophilic count; MBS, Medicare Benefits Scheme; PBS, Pharmaceutical Benefits Scheme; RPBS, Repatriation Pharmaceutical Benefits Scheme.</w:t>
      </w:r>
    </w:p>
    <w:p w14:paraId="641337C7" w14:textId="2B2C2352" w:rsidR="002C1266" w:rsidRDefault="002C1266" w:rsidP="004A5CE2">
      <w:pPr>
        <w:pStyle w:val="FooterTableFigure"/>
        <w:spacing w:after="0"/>
      </w:pPr>
      <w:proofErr w:type="gramStart"/>
      <w:r w:rsidRPr="2BCE08C6">
        <w:t>a</w:t>
      </w:r>
      <w:proofErr w:type="gramEnd"/>
      <w:r w:rsidRPr="2BCE08C6">
        <w:t xml:space="preserve"> Assuming 9.6 scripts per year as estimated by the submission and script equivalence adjusted (0.024 x omalizumab 75 mg vial script &amp; 1 x omalizumab 150 mg vial script = 1 mepolizumab script).</w:t>
      </w:r>
    </w:p>
    <w:p w14:paraId="6514912F" w14:textId="77777777" w:rsidR="004A5CE2" w:rsidRPr="009A6D58" w:rsidRDefault="004A5CE2" w:rsidP="004A5CE2">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112973B" w14:textId="2DE80176" w:rsidR="004A5CE2" w:rsidRPr="009A6D58" w:rsidRDefault="004A5CE2" w:rsidP="004A5CE2">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CB1AE3">
        <w:rPr>
          <w:rFonts w:ascii="Arial Narrow" w:hAnsi="Arial Narrow"/>
          <w:i/>
          <w:sz w:val="18"/>
          <w:szCs w:val="18"/>
        </w:rPr>
        <w:t>5,000 to &lt; 10,000</w:t>
      </w:r>
    </w:p>
    <w:p w14:paraId="2140A680" w14:textId="121EFEC6" w:rsidR="004A5CE2" w:rsidRPr="009A6D58" w:rsidRDefault="004A5CE2" w:rsidP="004A5CE2">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6B6A2F" w:rsidRPr="006B6A2F">
        <w:rPr>
          <w:rFonts w:ascii="Arial Narrow" w:hAnsi="Arial Narrow"/>
          <w:i/>
          <w:sz w:val="18"/>
          <w:szCs w:val="18"/>
        </w:rPr>
        <w:t>500 to &lt; 5,000</w:t>
      </w:r>
    </w:p>
    <w:p w14:paraId="48403DD6" w14:textId="0BBA9AB1" w:rsidR="004A5CE2" w:rsidRDefault="004A5CE2" w:rsidP="004A5CE2">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214E5C" w:rsidRPr="00214E5C">
        <w:rPr>
          <w:rFonts w:ascii="Arial Narrow" w:hAnsi="Arial Narrow"/>
          <w:i/>
          <w:sz w:val="18"/>
          <w:szCs w:val="18"/>
        </w:rPr>
        <w:t>10,000 to &lt; 20,000</w:t>
      </w:r>
    </w:p>
    <w:p w14:paraId="63912391" w14:textId="5A8E581B" w:rsidR="004A5CE2" w:rsidRDefault="004A5CE2" w:rsidP="004A5CE2">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A02BC0" w:rsidRPr="00A02BC0">
        <w:rPr>
          <w:rFonts w:ascii="Arial Narrow" w:hAnsi="Arial Narrow"/>
          <w:i/>
          <w:sz w:val="18"/>
          <w:szCs w:val="18"/>
        </w:rPr>
        <w:t>20,000 to &lt; 30,000</w:t>
      </w:r>
    </w:p>
    <w:p w14:paraId="520E4FEF" w14:textId="3523DDD1" w:rsidR="004A5CE2" w:rsidRDefault="004A5CE2" w:rsidP="004A5CE2">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101310" w:rsidRPr="00101310">
        <w:rPr>
          <w:rFonts w:ascii="Arial Narrow" w:hAnsi="Arial Narrow"/>
          <w:i/>
          <w:sz w:val="18"/>
          <w:szCs w:val="18"/>
        </w:rPr>
        <w:t>30,000 to &lt; 40,000</w:t>
      </w:r>
    </w:p>
    <w:p w14:paraId="0A1D7100" w14:textId="00E98E1E" w:rsidR="004A5CE2" w:rsidRDefault="004A5CE2" w:rsidP="004A5CE2">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A82973" w:rsidRPr="00A82973">
        <w:rPr>
          <w:rFonts w:ascii="Arial Narrow" w:hAnsi="Arial Narrow"/>
          <w:i/>
          <w:sz w:val="18"/>
          <w:szCs w:val="18"/>
        </w:rPr>
        <w:t>$20 million to &lt; $30 million</w:t>
      </w:r>
    </w:p>
    <w:p w14:paraId="2684B311" w14:textId="5147F9BD" w:rsidR="004A5CE2" w:rsidRPr="009A6D58" w:rsidRDefault="004A5CE2" w:rsidP="004A5CE2">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50788D" w:rsidRPr="0050788D">
        <w:rPr>
          <w:rFonts w:ascii="Arial Narrow" w:hAnsi="Arial Narrow"/>
          <w:i/>
          <w:sz w:val="18"/>
          <w:szCs w:val="18"/>
        </w:rPr>
        <w:t>$30 million to &lt; $40 million</w:t>
      </w:r>
    </w:p>
    <w:p w14:paraId="4BD65124" w14:textId="0D86B80A" w:rsidR="004A5CE2" w:rsidRPr="009A6D58" w:rsidRDefault="004A5CE2" w:rsidP="004A5CE2">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83516D" w:rsidRPr="0083516D">
        <w:rPr>
          <w:rFonts w:ascii="Arial Narrow" w:hAnsi="Arial Narrow"/>
          <w:i/>
          <w:sz w:val="18"/>
          <w:szCs w:val="18"/>
        </w:rPr>
        <w:t>$40 million to &lt; $50 million</w:t>
      </w:r>
    </w:p>
    <w:p w14:paraId="77F3B43B" w14:textId="5B16457F" w:rsidR="004A5CE2" w:rsidRDefault="004A5CE2" w:rsidP="004A5CE2">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006308DE" w:rsidRPr="006308DE">
        <w:rPr>
          <w:rFonts w:ascii="Arial Narrow" w:hAnsi="Arial Narrow"/>
          <w:i/>
          <w:sz w:val="18"/>
          <w:szCs w:val="18"/>
        </w:rPr>
        <w:t>$50 million to &lt; $60 million</w:t>
      </w:r>
    </w:p>
    <w:p w14:paraId="5B5639B0" w14:textId="34F09E6E" w:rsidR="004A5CE2" w:rsidRDefault="004A5CE2" w:rsidP="004A5CE2">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006F5089" w:rsidRPr="006F5089">
        <w:rPr>
          <w:rFonts w:ascii="Arial Narrow" w:hAnsi="Arial Narrow"/>
          <w:i/>
          <w:sz w:val="18"/>
          <w:szCs w:val="18"/>
        </w:rPr>
        <w:t>$0 to &lt; $10 million</w:t>
      </w:r>
    </w:p>
    <w:p w14:paraId="15EFF154" w14:textId="0CC4BDD5" w:rsidR="004A5CE2" w:rsidRDefault="004A5CE2" w:rsidP="004A5CE2">
      <w:pPr>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00D340B1" w:rsidRPr="00D340B1">
        <w:rPr>
          <w:rFonts w:ascii="Arial Narrow" w:hAnsi="Arial Narrow"/>
          <w:i/>
          <w:sz w:val="18"/>
          <w:szCs w:val="18"/>
        </w:rPr>
        <w:t>$10 million to &lt; $20 million</w:t>
      </w:r>
    </w:p>
    <w:p w14:paraId="6A8CE6CE" w14:textId="23B96D85" w:rsidR="004A5CE2" w:rsidRPr="004A5CE2" w:rsidRDefault="004A5CE2" w:rsidP="004A5CE2">
      <w:pPr>
        <w:spacing w:after="120"/>
        <w:rPr>
          <w:rFonts w:ascii="Arial Narrow" w:hAnsi="Arial Narrow"/>
          <w:i/>
          <w:sz w:val="18"/>
          <w:szCs w:val="18"/>
        </w:rPr>
      </w:pPr>
      <w:r>
        <w:rPr>
          <w:rFonts w:ascii="Arial Narrow" w:hAnsi="Arial Narrow"/>
          <w:i/>
          <w:sz w:val="18"/>
          <w:szCs w:val="18"/>
          <w:vertAlign w:val="superscript"/>
        </w:rPr>
        <w:t xml:space="preserve">12 </w:t>
      </w:r>
      <w:r w:rsidR="00C80493" w:rsidRPr="00C80493">
        <w:rPr>
          <w:rFonts w:ascii="Arial Narrow" w:hAnsi="Arial Narrow"/>
          <w:i/>
          <w:sz w:val="18"/>
          <w:szCs w:val="18"/>
        </w:rPr>
        <w:t>net cost saving</w:t>
      </w:r>
    </w:p>
    <w:p w14:paraId="504FC421" w14:textId="3B94B101" w:rsidR="002C1266" w:rsidRPr="0098262F" w:rsidRDefault="002C1266" w:rsidP="002C1266">
      <w:pPr>
        <w:pStyle w:val="3-BodyText"/>
      </w:pPr>
      <w:r w:rsidRPr="0098262F">
        <w:t xml:space="preserve">The total cost to the PBS/RPBS of listing </w:t>
      </w:r>
      <w:r>
        <w:t>omalizumab (based on the published price)</w:t>
      </w:r>
      <w:r w:rsidRPr="0098262F">
        <w:t xml:space="preserve"> was estimated to be </w:t>
      </w:r>
      <w:r w:rsidR="00DA5C8A" w:rsidRPr="00DA5C8A">
        <w:t>$20 million to &lt; $30 million</w:t>
      </w:r>
      <w:r w:rsidR="00DA5C8A" w:rsidRPr="00DA5C8A" w:rsidDel="00DA5C8A">
        <w:t xml:space="preserve"> </w:t>
      </w:r>
      <w:r w:rsidRPr="0098262F">
        <w:t xml:space="preserve">in Year 6, and a total of </w:t>
      </w:r>
      <w:r w:rsidR="00D52BAE" w:rsidRPr="00D52BAE">
        <w:t>$100 million to &lt; $200 million</w:t>
      </w:r>
      <w:r w:rsidR="00D52BAE" w:rsidRPr="00D52BAE" w:rsidDel="00D52BAE">
        <w:t xml:space="preserve"> </w:t>
      </w:r>
      <w:r w:rsidRPr="0098262F">
        <w:t>in the first 6 years of</w:t>
      </w:r>
      <w:r>
        <w:t xml:space="preserve"> </w:t>
      </w:r>
      <w:r w:rsidRPr="0098262F">
        <w:t>listing</w:t>
      </w:r>
      <w:r w:rsidRPr="0098262F">
        <w:rPr>
          <w:color w:val="3366FF"/>
        </w:rPr>
        <w:t>.</w:t>
      </w:r>
      <w:r w:rsidRPr="0098262F">
        <w:t xml:space="preserve"> </w:t>
      </w:r>
    </w:p>
    <w:p w14:paraId="1F2402FA" w14:textId="60923ED3" w:rsidR="002C1266" w:rsidRDefault="002C1266" w:rsidP="002C1266">
      <w:pPr>
        <w:pStyle w:val="3-BodyText"/>
      </w:pPr>
      <w:r>
        <w:t xml:space="preserve">The price applied for the financial estimates was the proposed published AEMP for omalizumab based on the cost-minimisation approach against mepolizumab (see para </w:t>
      </w:r>
      <w:r>
        <w:fldChar w:fldCharType="begin"/>
      </w:r>
      <w:r>
        <w:instrText xml:space="preserve"> REF _Ref190340542 \r \h </w:instrText>
      </w:r>
      <w:r>
        <w:fldChar w:fldCharType="separate"/>
      </w:r>
      <w:r w:rsidR="00CE52BF">
        <w:t>3.2</w:t>
      </w:r>
      <w:r>
        <w:fldChar w:fldCharType="end"/>
      </w:r>
      <w:r>
        <w:t>)</w:t>
      </w:r>
    </w:p>
    <w:p w14:paraId="4392F442" w14:textId="10056E7B" w:rsidR="002C1266" w:rsidRPr="007D2E1F" w:rsidRDefault="002C1266" w:rsidP="002C1266">
      <w:pPr>
        <w:pStyle w:val="3-BodyText"/>
      </w:pPr>
      <w:bookmarkStart w:id="74" w:name="_Ref195541415"/>
      <w:r w:rsidRPr="2BCE08C6">
        <w:t xml:space="preserve">The approach taken to estimate the number of treated patients and prescriptions in patients with BEC ≥300 cells/µL closely aligned with the approach taken from the mepolizumab November 2022 PSD, employing a number of the same inputs in the financial analysis. </w:t>
      </w:r>
      <w:r w:rsidRPr="007D2E1F">
        <w:t xml:space="preserve">While the approach may be reasonable to </w:t>
      </w:r>
      <w:r w:rsidR="002C11B4" w:rsidRPr="007D2E1F">
        <w:t xml:space="preserve">align </w:t>
      </w:r>
      <w:r w:rsidR="000660B2" w:rsidRPr="007D2E1F">
        <w:t xml:space="preserve">with calculations for </w:t>
      </w:r>
      <w:r w:rsidRPr="007D2E1F">
        <w:t xml:space="preserve">mepolizumab’s RSA cap, it assumes that the proposed omalizumab population would </w:t>
      </w:r>
      <w:r w:rsidRPr="007D2E1F">
        <w:lastRenderedPageBreak/>
        <w:t>be similar to mepolizumab. There are a number of differences that could affect the financial estimates. This includes:</w:t>
      </w:r>
      <w:bookmarkEnd w:id="74"/>
      <w:r w:rsidRPr="007D2E1F">
        <w:t xml:space="preserve"> </w:t>
      </w:r>
    </w:p>
    <w:p w14:paraId="77B14DBB" w14:textId="7598F796" w:rsidR="002C1266" w:rsidRPr="007D2E1F" w:rsidRDefault="002C1266" w:rsidP="00730032">
      <w:pPr>
        <w:pStyle w:val="ListParagraph"/>
        <w:numPr>
          <w:ilvl w:val="0"/>
          <w:numId w:val="10"/>
        </w:numPr>
        <w:ind w:left="1134"/>
        <w:jc w:val="both"/>
      </w:pPr>
      <w:bookmarkStart w:id="75" w:name="_Ref190166253"/>
      <w:r w:rsidRPr="007D2E1F">
        <w:t>The proportion of patients with BEC ≥300 cells/µL of 68.3% based on the SYNAPSE trial is higher than the proportion reported in the POLYP 1 (42.3%) and POLYP 2 trial (50.4</w:t>
      </w:r>
      <w:bookmarkEnd w:id="75"/>
      <w:r w:rsidRPr="007D2E1F">
        <w:t xml:space="preserve">%), which would result in more patients being eligible for omalizumab based on BEC &lt;300 cells/µL. </w:t>
      </w:r>
    </w:p>
    <w:p w14:paraId="68000341" w14:textId="254E3B48" w:rsidR="002C1266" w:rsidRPr="00613221" w:rsidRDefault="002C1266" w:rsidP="00730032">
      <w:pPr>
        <w:pStyle w:val="ListParagraph"/>
        <w:ind w:left="1134"/>
        <w:jc w:val="both"/>
      </w:pPr>
      <w:bookmarkStart w:id="76" w:name="_Ref190166256"/>
      <w:r w:rsidRPr="00613221">
        <w:t>The proportion of patients requiring (first) NP surgery (47%) was considered to be underestimated in the mepolizumab consideration (Table 17, para 6.57, mepolizumab, PSD, November 2022 PBAC meeting). The POLYP trials reported higher proportions for participants who had undergone prior sinonasal surgery (57.2% in POLYP 1 and 62.2% in POLYP 2). Increasing the rate to align with the POLYP trials increases the number of treated patients by 20-28% patients in the first year</w:t>
      </w:r>
      <w:bookmarkEnd w:id="76"/>
      <w:r w:rsidR="00EE0E76" w:rsidRPr="00613221">
        <w:t xml:space="preserve"> of treatment</w:t>
      </w:r>
      <w:r w:rsidRPr="00613221">
        <w:t>.</w:t>
      </w:r>
    </w:p>
    <w:p w14:paraId="6389CC6C" w14:textId="4CE4865B" w:rsidR="002C1266" w:rsidRPr="00613221" w:rsidRDefault="002C1266" w:rsidP="00730032">
      <w:pPr>
        <w:pStyle w:val="ListParagraph"/>
        <w:ind w:left="1134"/>
        <w:jc w:val="both"/>
        <w:rPr>
          <w:iCs/>
        </w:rPr>
      </w:pPr>
      <w:bookmarkStart w:id="77" w:name="_Ref190166258"/>
      <w:r w:rsidRPr="00613221">
        <w:rPr>
          <w:iCs/>
        </w:rPr>
        <w:t xml:space="preserve">The proportion </w:t>
      </w:r>
      <w:r w:rsidR="000660B2" w:rsidRPr="00613221">
        <w:rPr>
          <w:iCs/>
        </w:rPr>
        <w:t>of</w:t>
      </w:r>
      <w:r w:rsidRPr="00613221">
        <w:rPr>
          <w:iCs/>
        </w:rPr>
        <w:t xml:space="preserve"> patients who experience</w:t>
      </w:r>
      <w:r w:rsidR="00EA1DFE">
        <w:rPr>
          <w:iCs/>
        </w:rPr>
        <w:t>d</w:t>
      </w:r>
      <w:r w:rsidRPr="00613221">
        <w:rPr>
          <w:iCs/>
        </w:rPr>
        <w:t xml:space="preserve"> post-surgical NP regrowth (21%) was lower than the proportion noted by Australasian Society of Clinical Immunology and Allergy (ASCIA) (50%). Applying the increased proportion of 50% would increase the estimated number of eligible patients.</w:t>
      </w:r>
      <w:bookmarkEnd w:id="77"/>
    </w:p>
    <w:p w14:paraId="38743615" w14:textId="2A444F8E" w:rsidR="002C1266" w:rsidRPr="00613221" w:rsidRDefault="002C1266" w:rsidP="00730032">
      <w:pPr>
        <w:pStyle w:val="ListParagraph"/>
        <w:ind w:left="1134"/>
        <w:jc w:val="both"/>
        <w:rPr>
          <w:iCs/>
        </w:rPr>
      </w:pPr>
      <w:bookmarkStart w:id="78" w:name="_Ref190166262"/>
      <w:r w:rsidRPr="00613221">
        <w:rPr>
          <w:iCs/>
        </w:rPr>
        <w:t xml:space="preserve">The submission applied 9.6 scripts per year to estimate the number of omalizumab scripts. This was based on the number of scripts used in the mepolizumab November 2022 PSD, which the PBAC considered to be appropriate based on SYNAPSE trial data (treatment duration of 116.46 weeks, compliance rate of 94.6% and response rate of 72.6%) (para 6.61, mepolizumab, PSD, November 2022 PBAC meeting). This may not be applicable for omalizumab given the difference in dosing regimen </w:t>
      </w:r>
      <w:r w:rsidR="003A3AD0" w:rsidRPr="00613221">
        <w:rPr>
          <w:iCs/>
        </w:rPr>
        <w:t xml:space="preserve">and </w:t>
      </w:r>
      <w:r w:rsidRPr="00613221">
        <w:rPr>
          <w:iCs/>
        </w:rPr>
        <w:t xml:space="preserve">treatment duration </w:t>
      </w:r>
      <w:r w:rsidR="009C204F" w:rsidRPr="00613221">
        <w:rPr>
          <w:iCs/>
        </w:rPr>
        <w:t>(</w:t>
      </w:r>
      <w:r w:rsidR="00536152" w:rsidRPr="00613221">
        <w:rPr>
          <w:iCs/>
        </w:rPr>
        <w:t xml:space="preserve">6.3 doses per patient over 20 weeks in </w:t>
      </w:r>
      <w:r w:rsidR="009C204F" w:rsidRPr="00613221">
        <w:rPr>
          <w:iCs/>
        </w:rPr>
        <w:t xml:space="preserve">POLYP </w:t>
      </w:r>
      <w:r w:rsidR="009F2727" w:rsidRPr="00613221">
        <w:rPr>
          <w:iCs/>
        </w:rPr>
        <w:t>1</w:t>
      </w:r>
      <w:r w:rsidRPr="00613221">
        <w:rPr>
          <w:iCs/>
        </w:rPr>
        <w:t xml:space="preserve"> </w:t>
      </w:r>
      <w:r w:rsidR="00536152" w:rsidRPr="00613221">
        <w:rPr>
          <w:iCs/>
        </w:rPr>
        <w:t xml:space="preserve">and </w:t>
      </w:r>
      <w:r w:rsidR="004A0C47" w:rsidRPr="00613221">
        <w:rPr>
          <w:iCs/>
        </w:rPr>
        <w:t>6.6 doses per patient over 19</w:t>
      </w:r>
      <w:r w:rsidR="00F0095E" w:rsidRPr="00613221">
        <w:rPr>
          <w:iCs/>
        </w:rPr>
        <w:t>.8 weeks in POLYP 2)</w:t>
      </w:r>
      <w:r w:rsidRPr="00613221">
        <w:rPr>
          <w:iCs/>
        </w:rPr>
        <w:t xml:space="preserve"> </w:t>
      </w:r>
      <w:bookmarkEnd w:id="78"/>
      <w:r w:rsidR="003A3AD0" w:rsidRPr="00613221">
        <w:rPr>
          <w:iCs/>
        </w:rPr>
        <w:t>in</w:t>
      </w:r>
      <w:r w:rsidRPr="00613221">
        <w:rPr>
          <w:iCs/>
        </w:rPr>
        <w:t xml:space="preserve"> the POLYP trials. </w:t>
      </w:r>
    </w:p>
    <w:p w14:paraId="5D4B9E37" w14:textId="3E853A3F" w:rsidR="002C1266" w:rsidRPr="00A22E2B" w:rsidRDefault="002C1266" w:rsidP="00730032">
      <w:pPr>
        <w:pStyle w:val="ListParagraph"/>
        <w:ind w:left="1134"/>
        <w:jc w:val="both"/>
      </w:pPr>
      <w:r w:rsidRPr="00613221">
        <w:rPr>
          <w:iCs/>
        </w:rPr>
        <w:t>The estimate for the proportion of patients with IgE ≥30 IU/m</w:t>
      </w:r>
      <w:r w:rsidR="00E824DF" w:rsidRPr="00613221">
        <w:rPr>
          <w:iCs/>
        </w:rPr>
        <w:t>L</w:t>
      </w:r>
      <w:r w:rsidRPr="00613221">
        <w:rPr>
          <w:iCs/>
        </w:rPr>
        <w:t xml:space="preserve"> was based on the POLYP trials’ inclusion criterion of ‘IgE level ≥30 to ≤1500 IU/</w:t>
      </w:r>
      <w:r w:rsidR="00E824DF" w:rsidRPr="00613221">
        <w:rPr>
          <w:iCs/>
        </w:rPr>
        <w:t>mL</w:t>
      </w:r>
      <w:r w:rsidRPr="00613221">
        <w:rPr>
          <w:iCs/>
        </w:rPr>
        <w:t xml:space="preserve"> and body weight ≥30 to ≤150 kg’. A proportion of 83% was calculated in the submission when accounting for the 17% of patients who were excluded from the trials based on this criterion. </w:t>
      </w:r>
      <w:r w:rsidR="00550C57" w:rsidRPr="00A22E2B">
        <w:rPr>
          <w:lang w:val="en"/>
        </w:rPr>
        <w:t>The</w:t>
      </w:r>
      <w:r w:rsidR="00725071" w:rsidRPr="00A22E2B">
        <w:rPr>
          <w:lang w:val="en"/>
        </w:rPr>
        <w:t xml:space="preserve"> </w:t>
      </w:r>
      <w:r w:rsidR="00594E4F" w:rsidRPr="00A22E2B">
        <w:rPr>
          <w:lang w:val="en"/>
        </w:rPr>
        <w:t xml:space="preserve">ESC advised that IgE≥30 was not a high threshold </w:t>
      </w:r>
      <w:r w:rsidR="007E1801" w:rsidRPr="00A22E2B">
        <w:rPr>
          <w:lang w:val="en"/>
        </w:rPr>
        <w:t xml:space="preserve">to fulfill </w:t>
      </w:r>
      <w:r w:rsidR="00594E4F" w:rsidRPr="00A22E2B">
        <w:rPr>
          <w:lang w:val="en"/>
        </w:rPr>
        <w:t>and th</w:t>
      </w:r>
      <w:r w:rsidR="00C83FEC" w:rsidRPr="00A22E2B">
        <w:rPr>
          <w:lang w:val="en"/>
        </w:rPr>
        <w:t>us</w:t>
      </w:r>
      <w:r w:rsidR="00594E4F" w:rsidRPr="00A22E2B">
        <w:rPr>
          <w:lang w:val="en"/>
        </w:rPr>
        <w:t xml:space="preserve"> 83% was likely an underestimate of the proportion of </w:t>
      </w:r>
      <w:proofErr w:type="spellStart"/>
      <w:r w:rsidR="00594E4F" w:rsidRPr="00A22E2B">
        <w:rPr>
          <w:lang w:val="en"/>
        </w:rPr>
        <w:t>CRSwNP</w:t>
      </w:r>
      <w:proofErr w:type="spellEnd"/>
      <w:r w:rsidR="00594E4F" w:rsidRPr="00A22E2B">
        <w:rPr>
          <w:lang w:val="en"/>
        </w:rPr>
        <w:t xml:space="preserve"> patients meeting the other existing restrictions that would also meet the proposed IgE threshold.</w:t>
      </w:r>
    </w:p>
    <w:p w14:paraId="390194F9" w14:textId="6AF2CE54" w:rsidR="002C1266" w:rsidRPr="007E0FD4" w:rsidRDefault="002C1266" w:rsidP="002C1266">
      <w:pPr>
        <w:pStyle w:val="3-BodyText"/>
      </w:pPr>
      <w:bookmarkStart w:id="79" w:name="_Ref192513322"/>
      <w:bookmarkStart w:id="80" w:name="_Ref195539351"/>
      <w:r w:rsidRPr="2BCE08C6">
        <w:t xml:space="preserve">The submission estimated that approximately an additional </w:t>
      </w:r>
      <w:r w:rsidR="00451E42" w:rsidRPr="00451E42">
        <w:t>500 to &lt; 5,000</w:t>
      </w:r>
      <w:r w:rsidR="00451E42">
        <w:t xml:space="preserve"> </w:t>
      </w:r>
      <w:r w:rsidRPr="2BCE08C6">
        <w:t>patients per year would meet proposed PBS eligibility for omalizumab (</w:t>
      </w:r>
      <w:r w:rsidR="00217FC6" w:rsidRPr="00217FC6">
        <w:t>5,000 to &lt; 10,000</w:t>
      </w:r>
      <w:r w:rsidR="00217FC6">
        <w:t xml:space="preserve"> </w:t>
      </w:r>
      <w:r w:rsidRPr="2BCE08C6">
        <w:t xml:space="preserve">patients over six years), resulting in a </w:t>
      </w:r>
      <w:r w:rsidR="007F3646" w:rsidRPr="007F3646">
        <w:rPr>
          <w:color w:val="000000"/>
          <w:w w:val="60"/>
          <w:shd w:val="solid" w:color="000000" w:fill="000000"/>
          <w:fitText w:val="470" w:id="-663525373"/>
          <w14:textFill>
            <w14:solidFill>
              <w14:srgbClr w14:val="000000">
                <w14:alpha w14:val="100000"/>
              </w14:srgbClr>
            </w14:solidFill>
          </w14:textFill>
        </w:rPr>
        <w:t>|||  ||</w:t>
      </w:r>
      <w:r w:rsidR="007F3646" w:rsidRPr="007F3646">
        <w:rPr>
          <w:color w:val="000000"/>
          <w:spacing w:val="6"/>
          <w:w w:val="60"/>
          <w:shd w:val="solid" w:color="000000" w:fill="000000"/>
          <w:fitText w:val="470" w:id="-663525373"/>
          <w14:textFill>
            <w14:solidFill>
              <w14:srgbClr w14:val="000000">
                <w14:alpha w14:val="100000"/>
              </w14:srgbClr>
            </w14:solidFill>
          </w14:textFill>
        </w:rPr>
        <w:t>|</w:t>
      </w:r>
      <w:r w:rsidRPr="2BCE08C6">
        <w:t xml:space="preserve">% increase in the current expenditure cap for </w:t>
      </w:r>
      <w:proofErr w:type="spellStart"/>
      <w:r w:rsidRPr="2BCE08C6">
        <w:t>CRSwNP</w:t>
      </w:r>
      <w:proofErr w:type="spellEnd"/>
      <w:r w:rsidR="00E8260D" w:rsidRPr="00960B0B">
        <w:rPr>
          <w:i/>
          <w:iCs/>
        </w:rPr>
        <w:t>.</w:t>
      </w:r>
      <w:r w:rsidRPr="2BCE08C6">
        <w:t xml:space="preserve"> This increase is attributed to the expanded population proposed in the submission (patients with BEC &lt;300 cells/µL and IgE ≥30 IU/m</w:t>
      </w:r>
      <w:r w:rsidR="00E824DF" w:rsidRPr="2BCE08C6">
        <w:t>L</w:t>
      </w:r>
      <w:r w:rsidRPr="2BCE08C6">
        <w:t>).</w:t>
      </w:r>
      <w:bookmarkEnd w:id="79"/>
      <w:r w:rsidR="00117493">
        <w:t xml:space="preserve"> </w:t>
      </w:r>
      <w:r w:rsidR="00423884" w:rsidRPr="00D52ED5">
        <w:t xml:space="preserve">The number of additional patients </w:t>
      </w:r>
      <w:r w:rsidR="00471692" w:rsidRPr="00D52ED5">
        <w:t>was based</w:t>
      </w:r>
      <w:r w:rsidR="0095329C" w:rsidRPr="00D52ED5">
        <w:t xml:space="preserve"> on</w:t>
      </w:r>
      <w:r w:rsidR="00423884" w:rsidRPr="00D52ED5">
        <w:t xml:space="preserve"> the proportion of patients with IgE ≥30 IU/mL (83% </w:t>
      </w:r>
      <w:r w:rsidR="00423884" w:rsidRPr="00D52ED5">
        <w:lastRenderedPageBreak/>
        <w:t>in POLYP trials) and BEC &lt;300 cells/µL (31.7% in SYNAPSE trial) (26.3%)</w:t>
      </w:r>
      <w:r w:rsidR="0095329C" w:rsidRPr="00D52ED5">
        <w:t>; the evaluation noted this</w:t>
      </w:r>
      <w:r w:rsidR="00423884" w:rsidRPr="00D52ED5">
        <w:t xml:space="preserve"> was lower than that reported in the POLYP trials (41.2%). Increasing this proportion to match the POLYP trials (41.2%) would increase the caps by </w:t>
      </w:r>
      <w:r w:rsidR="007F3646" w:rsidRPr="007F3646">
        <w:rPr>
          <w:color w:val="000000"/>
          <w:w w:val="60"/>
          <w:shd w:val="solid" w:color="000000" w:fill="000000"/>
          <w:fitText w:val="470" w:id="-663525372"/>
          <w14:textFill>
            <w14:solidFill>
              <w14:srgbClr w14:val="000000">
                <w14:alpha w14:val="100000"/>
              </w14:srgbClr>
            </w14:solidFill>
          </w14:textFill>
        </w:rPr>
        <w:t>|||  ||</w:t>
      </w:r>
      <w:r w:rsidR="007F3646" w:rsidRPr="007F3646">
        <w:rPr>
          <w:color w:val="000000"/>
          <w:spacing w:val="6"/>
          <w:w w:val="60"/>
          <w:shd w:val="solid" w:color="000000" w:fill="000000"/>
          <w:fitText w:val="470" w:id="-663525372"/>
          <w14:textFill>
            <w14:solidFill>
              <w14:srgbClr w14:val="000000">
                <w14:alpha w14:val="100000"/>
              </w14:srgbClr>
            </w14:solidFill>
          </w14:textFill>
        </w:rPr>
        <w:t>|</w:t>
      </w:r>
      <w:r w:rsidR="00423884" w:rsidRPr="00D52ED5">
        <w:t>%</w:t>
      </w:r>
      <w:r w:rsidR="0095329C" w:rsidRPr="00D52ED5">
        <w:t xml:space="preserve">. </w:t>
      </w:r>
      <w:r w:rsidR="003E68FB" w:rsidRPr="00D52ED5">
        <w:t xml:space="preserve">While </w:t>
      </w:r>
      <w:r w:rsidR="007A5A53" w:rsidRPr="00D52ED5">
        <w:t xml:space="preserve">the </w:t>
      </w:r>
      <w:r w:rsidR="003E68FB" w:rsidRPr="00D52ED5">
        <w:t>ESC agreed that the size of treatment eligible population would increase by inclusion of patients with IgE ≥30 IU/mL and BEC &lt;300 cells/µL, it advised that the magnitude of this increase was uncertain and likely overestimated.</w:t>
      </w:r>
      <w:r w:rsidR="003E68FB" w:rsidRPr="00C42995">
        <w:rPr>
          <w:i/>
          <w:iCs/>
        </w:rPr>
        <w:t xml:space="preserve"> </w:t>
      </w:r>
      <w:r w:rsidR="007A5A53" w:rsidRPr="002006B0">
        <w:t xml:space="preserve">The </w:t>
      </w:r>
      <w:r w:rsidR="003E68FB" w:rsidRPr="002006B0">
        <w:t xml:space="preserve">ESC noted that it was unclear if the POLYP trials were a more suitable source of data for this estimate. It was noted </w:t>
      </w:r>
      <w:r w:rsidR="003E68FB" w:rsidRPr="002006B0">
        <w:rPr>
          <w:lang w:val="en"/>
        </w:rPr>
        <w:t>the PSCR argued that the POLYP trials were an inappropriate basis for determining the size of the proposed incremental population for omalizumab (those with IgE ≥30 IU/mL and BEC &lt;300 cells/µL) relative to the existing population of mepolizumab (those with BEC</w:t>
      </w:r>
      <w:r w:rsidR="003E68FB" w:rsidRPr="00DB302B">
        <w:rPr>
          <w:i/>
          <w:iCs/>
          <w:lang w:val="en"/>
        </w:rPr>
        <w:t xml:space="preserve"> </w:t>
      </w:r>
      <w:r w:rsidR="003E68FB" w:rsidRPr="001E5E55">
        <w:rPr>
          <w:lang w:val="en"/>
        </w:rPr>
        <w:t>≥300 cells/µL) because the POLYP trials excluded patients who would be currently eligible for mepolizumab on the basis of high BEC but with “normal” IgE (&lt;30 IU/mL). The ESC also noted that</w:t>
      </w:r>
      <w:r w:rsidR="003E68FB" w:rsidRPr="001E5E55">
        <w:t xml:space="preserve"> patients with comorbid asthma </w:t>
      </w:r>
      <w:r w:rsidR="003E68FB" w:rsidRPr="001E5E55">
        <w:rPr>
          <w:lang w:val="en"/>
        </w:rPr>
        <w:t xml:space="preserve">may already </w:t>
      </w:r>
      <w:r w:rsidR="00DE70C5" w:rsidRPr="001E5E55">
        <w:rPr>
          <w:lang w:val="en"/>
        </w:rPr>
        <w:t xml:space="preserve">be </w:t>
      </w:r>
      <w:r w:rsidR="003E68FB" w:rsidRPr="001E5E55">
        <w:rPr>
          <w:lang w:val="en"/>
        </w:rPr>
        <w:t>treated with a monoclonal antibody in clinical practice</w:t>
      </w:r>
      <w:r w:rsidR="0095329C" w:rsidRPr="001E5E55">
        <w:rPr>
          <w:lang w:val="en"/>
        </w:rPr>
        <w:t xml:space="preserve"> and that </w:t>
      </w:r>
      <w:r w:rsidR="009B7CEA" w:rsidRPr="001E5E55">
        <w:rPr>
          <w:lang w:val="en"/>
        </w:rPr>
        <w:t xml:space="preserve">this was not </w:t>
      </w:r>
      <w:r w:rsidR="00960B0B" w:rsidRPr="001E5E55">
        <w:rPr>
          <w:lang w:val="en"/>
        </w:rPr>
        <w:t xml:space="preserve">taken into </w:t>
      </w:r>
      <w:r w:rsidR="009B7CEA" w:rsidRPr="001E5E55">
        <w:rPr>
          <w:lang w:val="en"/>
        </w:rPr>
        <w:t>accounted</w:t>
      </w:r>
      <w:r w:rsidR="003E68FB" w:rsidRPr="001E5E55">
        <w:t>.</w:t>
      </w:r>
      <w:bookmarkEnd w:id="80"/>
    </w:p>
    <w:p w14:paraId="0CBCEB01" w14:textId="1E5718B1" w:rsidR="002C1266" w:rsidRPr="00613221" w:rsidRDefault="002C1266" w:rsidP="2BCE08C6">
      <w:pPr>
        <w:pStyle w:val="3-BodyText"/>
      </w:pPr>
      <w:r w:rsidRPr="2BCE08C6">
        <w:t xml:space="preserve">The submission assumed a market share of </w:t>
      </w:r>
      <w:r w:rsidR="007F3646" w:rsidRPr="007F3646">
        <w:rPr>
          <w:color w:val="000000"/>
          <w:w w:val="60"/>
          <w:shd w:val="solid" w:color="000000" w:fill="000000"/>
          <w:fitText w:val="470" w:id="-663525371"/>
          <w14:textFill>
            <w14:solidFill>
              <w14:srgbClr w14:val="000000">
                <w14:alpha w14:val="100000"/>
              </w14:srgbClr>
            </w14:solidFill>
          </w14:textFill>
        </w:rPr>
        <w:t>|||  |||</w:t>
      </w:r>
      <w:r w:rsidRPr="2BCE08C6">
        <w:t>%:</w:t>
      </w:r>
      <w:r w:rsidR="007F3646" w:rsidRPr="007F3646">
        <w:rPr>
          <w:color w:val="000000"/>
          <w:w w:val="60"/>
          <w:shd w:val="solid" w:color="000000" w:fill="000000"/>
          <w:fitText w:val="470" w:id="-663525370"/>
          <w14:textFill>
            <w14:solidFill>
              <w14:srgbClr w14:val="000000">
                <w14:alpha w14:val="100000"/>
              </w14:srgbClr>
            </w14:solidFill>
          </w14:textFill>
        </w:rPr>
        <w:t>|||  ||</w:t>
      </w:r>
      <w:r w:rsidR="007F3646" w:rsidRPr="007F3646">
        <w:rPr>
          <w:color w:val="000000"/>
          <w:spacing w:val="6"/>
          <w:w w:val="60"/>
          <w:shd w:val="solid" w:color="000000" w:fill="000000"/>
          <w:fitText w:val="470" w:id="-663525370"/>
          <w14:textFill>
            <w14:solidFill>
              <w14:srgbClr w14:val="000000">
                <w14:alpha w14:val="100000"/>
              </w14:srgbClr>
            </w14:solidFill>
          </w14:textFill>
        </w:rPr>
        <w:t>|</w:t>
      </w:r>
      <w:r w:rsidRPr="2BCE08C6">
        <w:t xml:space="preserve">% to </w:t>
      </w:r>
      <w:r w:rsidR="007F3646" w:rsidRPr="007F3646">
        <w:rPr>
          <w:color w:val="000000"/>
          <w:w w:val="60"/>
          <w:shd w:val="solid" w:color="000000" w:fill="000000"/>
          <w:fitText w:val="470" w:id="-663525369"/>
          <w14:textFill>
            <w14:solidFill>
              <w14:srgbClr w14:val="000000">
                <w14:alpha w14:val="100000"/>
              </w14:srgbClr>
            </w14:solidFill>
          </w14:textFill>
        </w:rPr>
        <w:t>|||  |||</w:t>
      </w:r>
      <w:r w:rsidRPr="2BCE08C6">
        <w:t>%:</w:t>
      </w:r>
      <w:r w:rsidR="007F3646" w:rsidRPr="007F3646">
        <w:rPr>
          <w:color w:val="000000"/>
          <w:w w:val="60"/>
          <w:shd w:val="solid" w:color="000000" w:fill="000000"/>
          <w:fitText w:val="470" w:id="-663525368"/>
          <w14:textFill>
            <w14:solidFill>
              <w14:srgbClr w14:val="000000">
                <w14:alpha w14:val="100000"/>
              </w14:srgbClr>
            </w14:solidFill>
          </w14:textFill>
        </w:rPr>
        <w:t>|||  ||</w:t>
      </w:r>
      <w:r w:rsidR="007F3646" w:rsidRPr="007F3646">
        <w:rPr>
          <w:color w:val="000000"/>
          <w:spacing w:val="6"/>
          <w:w w:val="60"/>
          <w:shd w:val="solid" w:color="000000" w:fill="000000"/>
          <w:fitText w:val="470" w:id="-663525368"/>
          <w14:textFill>
            <w14:solidFill>
              <w14:srgbClr w14:val="000000">
                <w14:alpha w14:val="100000"/>
              </w14:srgbClr>
            </w14:solidFill>
          </w14:textFill>
        </w:rPr>
        <w:t>|</w:t>
      </w:r>
      <w:r w:rsidRPr="2BCE08C6">
        <w:t xml:space="preserve">% for </w:t>
      </w:r>
      <w:proofErr w:type="spellStart"/>
      <w:r w:rsidRPr="2BCE08C6">
        <w:t>omalizumab:mepolizumab</w:t>
      </w:r>
      <w:proofErr w:type="spellEnd"/>
      <w:r w:rsidRPr="2BCE08C6">
        <w:t xml:space="preserve"> in the BEC ≥300 cell/µL segment from Years 1 to 6. </w:t>
      </w:r>
      <w:r w:rsidR="530A4601" w:rsidRPr="2BCE08C6">
        <w:t>In addition</w:t>
      </w:r>
      <w:r w:rsidR="009218FF" w:rsidRPr="2BCE08C6">
        <w:t>,</w:t>
      </w:r>
      <w:r w:rsidR="530A4601" w:rsidRPr="2BCE08C6">
        <w:t xml:space="preserve"> it </w:t>
      </w:r>
      <w:r w:rsidRPr="2BCE08C6">
        <w:t xml:space="preserve">was </w:t>
      </w:r>
      <w:r w:rsidR="530A4601" w:rsidRPr="2BCE08C6">
        <w:t>assumed</w:t>
      </w:r>
      <w:r w:rsidRPr="2BCE08C6">
        <w:t xml:space="preserve"> that 17% of patients would not meet the proposed PBS restriction criteria (i.e., IgE ≥30 IU/mL) for omalizumab, and that mepolizumab has the first </w:t>
      </w:r>
      <w:r w:rsidR="00A05E7C">
        <w:t xml:space="preserve">to </w:t>
      </w:r>
      <w:r w:rsidRPr="2BCE08C6">
        <w:t xml:space="preserve">market advantage over omalizumab. </w:t>
      </w:r>
      <w:r w:rsidRPr="00613221">
        <w:t>The market share assumptions for the BEC ≥300 cells/µL segment are uncertain</w:t>
      </w:r>
      <w:r w:rsidR="7FF47454" w:rsidRPr="00613221">
        <w:t>.</w:t>
      </w:r>
    </w:p>
    <w:p w14:paraId="469030F9" w14:textId="2F9F028D" w:rsidR="002C1266" w:rsidRPr="000C13AD" w:rsidRDefault="002C1266" w:rsidP="002C1266">
      <w:pPr>
        <w:pStyle w:val="3-BodyText"/>
      </w:pPr>
      <w:r w:rsidRPr="2BCE08C6">
        <w:t xml:space="preserve">The submission estimated no net changes to the MBS. </w:t>
      </w:r>
      <w:r w:rsidRPr="00613221">
        <w:t>MBS items for specialist fees (MBS item 116; $87.30) and nurse supervisions post dose (MBS item 82210; $58.85) to</w:t>
      </w:r>
      <w:r w:rsidRPr="2BCE08C6">
        <w:rPr>
          <w:i/>
          <w:iCs/>
        </w:rPr>
        <w:t xml:space="preserve"> </w:t>
      </w:r>
      <w:r w:rsidRPr="00613221">
        <w:t xml:space="preserve">monitor anaphylaxis reactions following </w:t>
      </w:r>
      <w:r w:rsidRPr="006D44DD">
        <w:t>administration of omalizumab</w:t>
      </w:r>
      <w:r w:rsidR="001E6676">
        <w:t xml:space="preserve"> </w:t>
      </w:r>
      <w:r w:rsidRPr="006D44DD">
        <w:t>were included during the evaluation.</w:t>
      </w:r>
      <w:r w:rsidR="00D21E93" w:rsidRPr="006D44DD">
        <w:t xml:space="preserve"> </w:t>
      </w:r>
      <w:r w:rsidR="007A5A53" w:rsidRPr="000C13AD">
        <w:t xml:space="preserve">The </w:t>
      </w:r>
      <w:r w:rsidR="009F3289" w:rsidRPr="000C13AD">
        <w:t>ESC agreed with</w:t>
      </w:r>
      <w:r w:rsidR="00AA2D72" w:rsidRPr="000C13AD">
        <w:t xml:space="preserve"> inclu</w:t>
      </w:r>
      <w:r w:rsidR="00917784" w:rsidRPr="000C13AD">
        <w:t>sion of</w:t>
      </w:r>
      <w:r w:rsidR="00AA2D72" w:rsidRPr="000C13AD">
        <w:t xml:space="preserve"> additional costs </w:t>
      </w:r>
      <w:r w:rsidR="00306B9A" w:rsidRPr="000C13AD">
        <w:t xml:space="preserve">associated with medical supervision </w:t>
      </w:r>
      <w:r w:rsidR="00875E78" w:rsidRPr="000C13AD">
        <w:t>for</w:t>
      </w:r>
      <w:r w:rsidR="008141D8" w:rsidRPr="000C13AD">
        <w:t xml:space="preserve"> first three doses</w:t>
      </w:r>
      <w:r w:rsidR="00917784" w:rsidRPr="000C13AD">
        <w:t xml:space="preserve"> of omalizumab</w:t>
      </w:r>
      <w:r w:rsidR="008141D8" w:rsidRPr="000C13AD">
        <w:t xml:space="preserve"> </w:t>
      </w:r>
      <w:r w:rsidR="00917784" w:rsidRPr="000C13AD">
        <w:t>due to risk of anaphylaxis</w:t>
      </w:r>
      <w:r w:rsidR="00592035" w:rsidRPr="000C13AD">
        <w:t>.</w:t>
      </w:r>
    </w:p>
    <w:p w14:paraId="24B38F5C" w14:textId="57928D50" w:rsidR="002C1266" w:rsidRPr="003C4822" w:rsidRDefault="002C1266" w:rsidP="2BCE08C6">
      <w:pPr>
        <w:pStyle w:val="3-BodyText"/>
        <w:rPr>
          <w:i/>
          <w:iCs/>
          <w:color w:val="0066FF"/>
        </w:rPr>
      </w:pPr>
      <w:r w:rsidRPr="00613221">
        <w:t xml:space="preserve">The submission did not include sensitivity analyses. </w:t>
      </w:r>
      <w:r w:rsidRPr="00613221">
        <w:fldChar w:fldCharType="begin"/>
      </w:r>
      <w:r w:rsidRPr="00613221">
        <w:instrText xml:space="preserve"> REF _Ref190130419 \h  \* MERGEFORMAT </w:instrText>
      </w:r>
      <w:r w:rsidRPr="00613221">
        <w:fldChar w:fldCharType="separate"/>
      </w:r>
      <w:r w:rsidR="00CE52BF">
        <w:t xml:space="preserve">Table </w:t>
      </w:r>
      <w:r w:rsidR="00CE52BF">
        <w:rPr>
          <w:noProof/>
        </w:rPr>
        <w:t>18</w:t>
      </w:r>
      <w:r w:rsidRPr="00613221">
        <w:fldChar w:fldCharType="end"/>
      </w:r>
      <w:r w:rsidRPr="00613221">
        <w:fldChar w:fldCharType="begin"/>
      </w:r>
      <w:r w:rsidRPr="00613221">
        <w:fldChar w:fldCharType="separate"/>
      </w:r>
      <w:r w:rsidRPr="00613221">
        <w:t xml:space="preserve">Table </w:t>
      </w:r>
      <w:r w:rsidRPr="00613221">
        <w:rPr>
          <w:noProof/>
        </w:rPr>
        <w:t>15</w:t>
      </w:r>
      <w:r w:rsidRPr="00613221">
        <w:fldChar w:fldCharType="end"/>
      </w:r>
      <w:r w:rsidRPr="00613221">
        <w:fldChar w:fldCharType="begin"/>
      </w:r>
      <w:r w:rsidRPr="00613221">
        <w:fldChar w:fldCharType="separate"/>
      </w:r>
      <w:r w:rsidRPr="00613221">
        <w:t xml:space="preserve">Table </w:t>
      </w:r>
      <w:r w:rsidRPr="00613221">
        <w:rPr>
          <w:noProof/>
        </w:rPr>
        <w:t>15</w:t>
      </w:r>
      <w:r w:rsidRPr="00613221">
        <w:fldChar w:fldCharType="end"/>
      </w:r>
      <w:r w:rsidRPr="00613221">
        <w:t xml:space="preserve"> presents the sensitivity analys</w:t>
      </w:r>
      <w:r w:rsidR="00455401" w:rsidRPr="00613221">
        <w:t>e</w:t>
      </w:r>
      <w:r w:rsidRPr="00613221">
        <w:t xml:space="preserve">s conducted during the evaluation </w:t>
      </w:r>
      <w:r w:rsidRPr="00613221">
        <w:rPr>
          <w:rFonts w:cs="Calibri"/>
        </w:rPr>
        <w:t xml:space="preserve">to test the impact of the assumptions made in estimating the proportion of patients with BEC &lt;300 cell/µL and </w:t>
      </w:r>
      <w:r w:rsidRPr="00613221">
        <w:t xml:space="preserve">IgE level ≥30. </w:t>
      </w:r>
      <w:r w:rsidRPr="00613221">
        <w:rPr>
          <w:rFonts w:cs="Calibri"/>
        </w:rPr>
        <w:t>Removing the BEC &lt;300 cell/µL</w:t>
      </w:r>
      <w:r w:rsidRPr="00613221" w:rsidDel="00674986">
        <w:rPr>
          <w:rFonts w:cs="Calibri"/>
        </w:rPr>
        <w:t xml:space="preserve"> </w:t>
      </w:r>
      <w:r w:rsidR="00674986" w:rsidRPr="00613221">
        <w:rPr>
          <w:rFonts w:cs="Calibri"/>
        </w:rPr>
        <w:t xml:space="preserve">patients </w:t>
      </w:r>
      <w:r w:rsidRPr="00613221">
        <w:rPr>
          <w:rFonts w:cs="Calibri"/>
        </w:rPr>
        <w:t>to maintain consistency with the mepolizumab restriction would lower the financial impact to slightly below the current cost (approx. -100%) due to the expected reduction in mepolizumab scripts based on the market share assumptions presented in the submission</w:t>
      </w:r>
      <w:r w:rsidRPr="2BCE08C6">
        <w:rPr>
          <w:rFonts w:cs="Calibri"/>
          <w:i/>
          <w:iCs/>
        </w:rPr>
        <w:t>.</w:t>
      </w:r>
    </w:p>
    <w:p w14:paraId="178F7A2A" w14:textId="7B852EA8" w:rsidR="002C1266" w:rsidRDefault="002C1266" w:rsidP="00217FC6">
      <w:pPr>
        <w:pStyle w:val="Caption"/>
      </w:pPr>
      <w:bookmarkStart w:id="81" w:name="_Ref190130419"/>
      <w:r>
        <w:lastRenderedPageBreak/>
        <w:t xml:space="preserve">Table </w:t>
      </w:r>
      <w:r>
        <w:fldChar w:fldCharType="begin"/>
      </w:r>
      <w:r>
        <w:instrText>SEQ Table \* ARABIC</w:instrText>
      </w:r>
      <w:r>
        <w:fldChar w:fldCharType="separate"/>
      </w:r>
      <w:r w:rsidR="00CE52BF">
        <w:rPr>
          <w:noProof/>
        </w:rPr>
        <w:t>18</w:t>
      </w:r>
      <w:r>
        <w:fldChar w:fldCharType="end"/>
      </w:r>
      <w:bookmarkEnd w:id="81"/>
      <w:r>
        <w:t>: Sensitivity analyses (net cost to R/PBS) for the expanded population (</w:t>
      </w:r>
      <w:r w:rsidRPr="61B6131D">
        <w:rPr>
          <w:rFonts w:eastAsiaTheme="majorEastAsia"/>
        </w:rPr>
        <w:t xml:space="preserve">BEC &lt;300 cells/µL segment) </w:t>
      </w:r>
      <w:r>
        <w:t>(published price)</w:t>
      </w:r>
    </w:p>
    <w:tbl>
      <w:tblPr>
        <w:tblStyle w:val="TableGrid"/>
        <w:tblW w:w="5028" w:type="pct"/>
        <w:tblLook w:val="04A0" w:firstRow="1" w:lastRow="0" w:firstColumn="1" w:lastColumn="0" w:noHBand="0" w:noVBand="1"/>
      </w:tblPr>
      <w:tblGrid>
        <w:gridCol w:w="571"/>
        <w:gridCol w:w="1087"/>
        <w:gridCol w:w="1088"/>
        <w:gridCol w:w="1088"/>
        <w:gridCol w:w="1088"/>
        <w:gridCol w:w="1088"/>
        <w:gridCol w:w="1088"/>
        <w:gridCol w:w="1178"/>
        <w:gridCol w:w="791"/>
      </w:tblGrid>
      <w:tr w:rsidR="0019786D" w14:paraId="1CCC7907" w14:textId="77777777" w:rsidTr="2BCE08C6">
        <w:tc>
          <w:tcPr>
            <w:tcW w:w="315" w:type="pct"/>
            <w:tcBorders>
              <w:bottom w:val="single" w:sz="4" w:space="0" w:color="auto"/>
            </w:tcBorders>
          </w:tcPr>
          <w:p w14:paraId="25646FDD" w14:textId="77777777" w:rsidR="0019786D" w:rsidRDefault="0019786D" w:rsidP="00217FC6">
            <w:pPr>
              <w:pStyle w:val="TableFigureHeading"/>
              <w:keepLines/>
            </w:pPr>
          </w:p>
        </w:tc>
        <w:tc>
          <w:tcPr>
            <w:tcW w:w="623" w:type="pct"/>
            <w:tcBorders>
              <w:bottom w:val="single" w:sz="4" w:space="0" w:color="auto"/>
            </w:tcBorders>
            <w:vAlign w:val="center"/>
          </w:tcPr>
          <w:p w14:paraId="19242D01" w14:textId="77777777" w:rsidR="0019786D" w:rsidRDefault="0019786D" w:rsidP="00217FC6">
            <w:pPr>
              <w:pStyle w:val="TableFigureHeading"/>
              <w:keepLines/>
            </w:pPr>
            <w:r w:rsidRPr="000F691E">
              <w:rPr>
                <w:rFonts w:cs="Times New Roman"/>
                <w:lang w:val="en-US"/>
              </w:rPr>
              <w:t>Year 1</w:t>
            </w:r>
            <w:r w:rsidRPr="000F691E">
              <w:rPr>
                <w:rFonts w:cs="Times New Roman"/>
                <w:lang w:val="en-US"/>
              </w:rPr>
              <w:br/>
              <w:t>(2025)</w:t>
            </w:r>
          </w:p>
        </w:tc>
        <w:tc>
          <w:tcPr>
            <w:tcW w:w="623" w:type="pct"/>
            <w:tcBorders>
              <w:bottom w:val="single" w:sz="4" w:space="0" w:color="auto"/>
            </w:tcBorders>
            <w:vAlign w:val="center"/>
          </w:tcPr>
          <w:p w14:paraId="1BDF504A" w14:textId="77777777" w:rsidR="0019786D" w:rsidRDefault="0019786D" w:rsidP="00217FC6">
            <w:pPr>
              <w:pStyle w:val="TableFigureHeading"/>
              <w:keepLines/>
            </w:pPr>
            <w:r w:rsidRPr="000F691E">
              <w:rPr>
                <w:rFonts w:cs="Times New Roman"/>
                <w:lang w:val="en-US"/>
              </w:rPr>
              <w:t>Year 2</w:t>
            </w:r>
            <w:r w:rsidRPr="000F691E">
              <w:rPr>
                <w:rFonts w:cs="Times New Roman"/>
                <w:lang w:val="en-US"/>
              </w:rPr>
              <w:br/>
              <w:t>(2026)</w:t>
            </w:r>
          </w:p>
        </w:tc>
        <w:tc>
          <w:tcPr>
            <w:tcW w:w="623" w:type="pct"/>
            <w:tcBorders>
              <w:bottom w:val="single" w:sz="4" w:space="0" w:color="auto"/>
            </w:tcBorders>
            <w:vAlign w:val="center"/>
          </w:tcPr>
          <w:p w14:paraId="6117E0F3" w14:textId="77777777" w:rsidR="0019786D" w:rsidRDefault="0019786D" w:rsidP="00217FC6">
            <w:pPr>
              <w:pStyle w:val="TableFigureHeading"/>
              <w:keepLines/>
            </w:pPr>
            <w:r w:rsidRPr="000F691E">
              <w:rPr>
                <w:rFonts w:cs="Times New Roman"/>
                <w:lang w:val="en-US"/>
              </w:rPr>
              <w:t>Year 3</w:t>
            </w:r>
            <w:r w:rsidRPr="000F691E">
              <w:rPr>
                <w:rFonts w:cs="Times New Roman"/>
                <w:lang w:val="en-US"/>
              </w:rPr>
              <w:br/>
              <w:t>(2027)</w:t>
            </w:r>
          </w:p>
        </w:tc>
        <w:tc>
          <w:tcPr>
            <w:tcW w:w="623" w:type="pct"/>
            <w:tcBorders>
              <w:bottom w:val="single" w:sz="4" w:space="0" w:color="auto"/>
            </w:tcBorders>
            <w:vAlign w:val="center"/>
          </w:tcPr>
          <w:p w14:paraId="6C1DC1B6" w14:textId="77777777" w:rsidR="0019786D" w:rsidRDefault="0019786D" w:rsidP="00217FC6">
            <w:pPr>
              <w:pStyle w:val="TableFigureHeading"/>
              <w:keepLines/>
            </w:pPr>
            <w:r w:rsidRPr="000F691E">
              <w:rPr>
                <w:rFonts w:cs="Times New Roman"/>
                <w:lang w:val="en-US"/>
              </w:rPr>
              <w:t>Year 4</w:t>
            </w:r>
            <w:r w:rsidRPr="000F691E">
              <w:rPr>
                <w:rFonts w:cs="Times New Roman"/>
                <w:lang w:val="en-US"/>
              </w:rPr>
              <w:br/>
              <w:t>(2028)</w:t>
            </w:r>
          </w:p>
        </w:tc>
        <w:tc>
          <w:tcPr>
            <w:tcW w:w="623" w:type="pct"/>
            <w:tcBorders>
              <w:bottom w:val="single" w:sz="4" w:space="0" w:color="auto"/>
            </w:tcBorders>
            <w:vAlign w:val="center"/>
          </w:tcPr>
          <w:p w14:paraId="4C9D517C" w14:textId="77777777" w:rsidR="0019786D" w:rsidRDefault="0019786D" w:rsidP="00217FC6">
            <w:pPr>
              <w:pStyle w:val="TableFigureHeading"/>
              <w:keepLines/>
            </w:pPr>
            <w:r w:rsidRPr="000F691E">
              <w:rPr>
                <w:rFonts w:cs="Times New Roman"/>
                <w:lang w:val="en-US"/>
              </w:rPr>
              <w:t>Year 5</w:t>
            </w:r>
            <w:r w:rsidRPr="000F691E">
              <w:rPr>
                <w:rFonts w:cs="Times New Roman"/>
                <w:lang w:val="en-US"/>
              </w:rPr>
              <w:br/>
              <w:t>(2029)</w:t>
            </w:r>
          </w:p>
        </w:tc>
        <w:tc>
          <w:tcPr>
            <w:tcW w:w="623" w:type="pct"/>
            <w:tcBorders>
              <w:bottom w:val="single" w:sz="4" w:space="0" w:color="auto"/>
            </w:tcBorders>
            <w:vAlign w:val="center"/>
          </w:tcPr>
          <w:p w14:paraId="4A4BF151" w14:textId="77777777" w:rsidR="0019786D" w:rsidRDefault="0019786D" w:rsidP="00217FC6">
            <w:pPr>
              <w:pStyle w:val="TableFigureHeading"/>
              <w:keepLines/>
            </w:pPr>
            <w:r w:rsidRPr="000F691E">
              <w:rPr>
                <w:rFonts w:cs="Times New Roman"/>
                <w:lang w:val="en-US"/>
              </w:rPr>
              <w:t>Year 6</w:t>
            </w:r>
            <w:r w:rsidRPr="000F691E">
              <w:rPr>
                <w:rFonts w:cs="Times New Roman"/>
                <w:lang w:val="en-US"/>
              </w:rPr>
              <w:br/>
              <w:t>(2030)</w:t>
            </w:r>
          </w:p>
        </w:tc>
        <w:tc>
          <w:tcPr>
            <w:tcW w:w="673" w:type="pct"/>
            <w:tcBorders>
              <w:bottom w:val="single" w:sz="4" w:space="0" w:color="auto"/>
            </w:tcBorders>
          </w:tcPr>
          <w:p w14:paraId="5E758026" w14:textId="77777777" w:rsidR="0019786D" w:rsidRPr="00FB1BD4" w:rsidRDefault="0019786D" w:rsidP="00217FC6">
            <w:pPr>
              <w:pStyle w:val="TableFigureHeading"/>
              <w:keepLines/>
              <w:rPr>
                <w:rFonts w:cs="Times New Roman"/>
                <w:i/>
                <w:iCs/>
                <w:lang w:val="en-US"/>
              </w:rPr>
            </w:pPr>
            <w:r w:rsidRPr="00FB1BD4">
              <w:rPr>
                <w:rFonts w:cs="Times New Roman"/>
                <w:i/>
                <w:iCs/>
                <w:lang w:val="en-US"/>
              </w:rPr>
              <w:t>Sum across 6 years</w:t>
            </w:r>
          </w:p>
        </w:tc>
        <w:tc>
          <w:tcPr>
            <w:tcW w:w="277" w:type="pct"/>
            <w:tcBorders>
              <w:bottom w:val="single" w:sz="4" w:space="0" w:color="auto"/>
            </w:tcBorders>
          </w:tcPr>
          <w:p w14:paraId="5CC215D5" w14:textId="77777777" w:rsidR="0019786D" w:rsidRPr="00FB1BD4" w:rsidRDefault="0019786D" w:rsidP="00217FC6">
            <w:pPr>
              <w:pStyle w:val="TableFigureHeading"/>
              <w:keepLines/>
              <w:rPr>
                <w:rFonts w:cs="Times New Roman"/>
                <w:i/>
                <w:iCs/>
                <w:lang w:val="en-US"/>
              </w:rPr>
            </w:pPr>
            <w:r w:rsidRPr="00FB1BD4">
              <w:rPr>
                <w:rFonts w:cs="Times New Roman"/>
                <w:i/>
                <w:iCs/>
                <w:lang w:val="en-US"/>
              </w:rPr>
              <w:t>% change</w:t>
            </w:r>
          </w:p>
        </w:tc>
      </w:tr>
      <w:tr w:rsidR="0019786D" w:rsidRPr="005474D1" w14:paraId="5499F966" w14:textId="77777777" w:rsidTr="2BCE08C6">
        <w:tc>
          <w:tcPr>
            <w:tcW w:w="5000" w:type="pct"/>
            <w:gridSpan w:val="9"/>
          </w:tcPr>
          <w:p w14:paraId="6B4BC38D" w14:textId="416BB452" w:rsidR="0019786D" w:rsidRPr="005474D1" w:rsidRDefault="0019786D" w:rsidP="00217FC6">
            <w:pPr>
              <w:pStyle w:val="TableText0"/>
              <w:keepNext/>
              <w:keepLines/>
              <w:rPr>
                <w:b/>
              </w:rPr>
            </w:pPr>
            <w:r w:rsidRPr="2BCE08C6">
              <w:rPr>
                <w:b/>
              </w:rPr>
              <w:t>Base case (Proportion of patients with BEC &lt;300 cells/µLand IgE ≥30 IU/mL: 26.3%</w:t>
            </w:r>
            <w:r w:rsidRPr="2BCE08C6">
              <w:rPr>
                <w:b/>
                <w:vertAlign w:val="superscript"/>
              </w:rPr>
              <w:t>a</w:t>
            </w:r>
            <w:r w:rsidRPr="2BCE08C6">
              <w:rPr>
                <w:b/>
              </w:rPr>
              <w:t>)</w:t>
            </w:r>
          </w:p>
        </w:tc>
      </w:tr>
      <w:tr w:rsidR="0019786D" w14:paraId="031D66D8" w14:textId="77777777" w:rsidTr="2BCE08C6">
        <w:tc>
          <w:tcPr>
            <w:tcW w:w="315" w:type="pct"/>
            <w:tcBorders>
              <w:bottom w:val="single" w:sz="4" w:space="0" w:color="auto"/>
            </w:tcBorders>
          </w:tcPr>
          <w:p w14:paraId="32019D97" w14:textId="77777777" w:rsidR="0019786D" w:rsidRDefault="0019786D" w:rsidP="00217FC6">
            <w:pPr>
              <w:pStyle w:val="TableText0"/>
              <w:keepNext/>
              <w:keepLines/>
            </w:pPr>
            <w:r>
              <w:t xml:space="preserve">Net cost </w:t>
            </w:r>
          </w:p>
        </w:tc>
        <w:tc>
          <w:tcPr>
            <w:tcW w:w="623" w:type="pct"/>
            <w:tcBorders>
              <w:bottom w:val="single" w:sz="4" w:space="0" w:color="auto"/>
            </w:tcBorders>
          </w:tcPr>
          <w:p w14:paraId="0307740A" w14:textId="69967044" w:rsidR="0019786D" w:rsidRPr="0079001A" w:rsidRDefault="0019786D" w:rsidP="00217FC6">
            <w:pPr>
              <w:pStyle w:val="TableText0"/>
              <w:keepNext/>
              <w:keepLines/>
              <w:jc w:val="center"/>
              <w:rPr>
                <w:vertAlign w:val="superscript"/>
              </w:rPr>
            </w:pPr>
            <w:r w:rsidRPr="00433907">
              <w:t>$</w:t>
            </w:r>
            <w:r w:rsidR="007F3646" w:rsidRPr="007F3646">
              <w:rPr>
                <w:color w:val="000000"/>
                <w:spacing w:val="53"/>
                <w:shd w:val="solid" w:color="000000" w:fill="000000"/>
                <w:fitText w:val="330" w:id="-663525367"/>
                <w14:textFill>
                  <w14:solidFill>
                    <w14:srgbClr w14:val="000000">
                      <w14:alpha w14:val="100000"/>
                    </w14:srgbClr>
                  </w14:solidFill>
                </w14:textFill>
              </w:rPr>
              <w:t>|||</w:t>
            </w:r>
            <w:r w:rsidR="007F3646" w:rsidRPr="007F3646">
              <w:rPr>
                <w:color w:val="000000"/>
                <w:spacing w:val="1"/>
                <w:shd w:val="solid" w:color="000000" w:fill="000000"/>
                <w:fitText w:val="330" w:id="-663525367"/>
                <w14:textFill>
                  <w14:solidFill>
                    <w14:srgbClr w14:val="000000">
                      <w14:alpha w14:val="100000"/>
                    </w14:srgbClr>
                  </w14:solidFill>
                </w14:textFill>
              </w:rPr>
              <w:t>|</w:t>
            </w:r>
            <w:r w:rsidR="0079001A">
              <w:t xml:space="preserve"> </w:t>
            </w:r>
            <w:r w:rsidR="0079001A">
              <w:rPr>
                <w:vertAlign w:val="superscript"/>
              </w:rPr>
              <w:t>1</w:t>
            </w:r>
          </w:p>
        </w:tc>
        <w:tc>
          <w:tcPr>
            <w:tcW w:w="623" w:type="pct"/>
            <w:tcBorders>
              <w:bottom w:val="single" w:sz="4" w:space="0" w:color="auto"/>
            </w:tcBorders>
          </w:tcPr>
          <w:p w14:paraId="4FFB505D" w14:textId="1C4DFE21" w:rsidR="0019786D" w:rsidRPr="00433907" w:rsidRDefault="0019786D" w:rsidP="00217FC6">
            <w:pPr>
              <w:pStyle w:val="TableText0"/>
              <w:keepNext/>
              <w:keepLines/>
              <w:jc w:val="center"/>
            </w:pPr>
            <w:r w:rsidRPr="00433907">
              <w:t>$</w:t>
            </w:r>
            <w:r w:rsidR="007F3646" w:rsidRPr="007F3646">
              <w:rPr>
                <w:color w:val="000000"/>
                <w:spacing w:val="53"/>
                <w:shd w:val="solid" w:color="000000" w:fill="000000"/>
                <w:fitText w:val="330" w:id="-663525366"/>
                <w14:textFill>
                  <w14:solidFill>
                    <w14:srgbClr w14:val="000000">
                      <w14:alpha w14:val="100000"/>
                    </w14:srgbClr>
                  </w14:solidFill>
                </w14:textFill>
              </w:rPr>
              <w:t>|||</w:t>
            </w:r>
            <w:r w:rsidR="007F3646" w:rsidRPr="007F3646">
              <w:rPr>
                <w:color w:val="000000"/>
                <w:spacing w:val="1"/>
                <w:shd w:val="solid" w:color="000000" w:fill="000000"/>
                <w:fitText w:val="330" w:id="-663525366"/>
                <w14:textFill>
                  <w14:solidFill>
                    <w14:srgbClr w14:val="000000">
                      <w14:alpha w14:val="100000"/>
                    </w14:srgbClr>
                  </w14:solidFill>
                </w14:textFill>
              </w:rPr>
              <w:t>|</w:t>
            </w:r>
            <w:r w:rsidR="0079001A">
              <w:t xml:space="preserve"> </w:t>
            </w:r>
            <w:r w:rsidR="0079001A">
              <w:rPr>
                <w:vertAlign w:val="superscript"/>
              </w:rPr>
              <w:t>1</w:t>
            </w:r>
          </w:p>
        </w:tc>
        <w:tc>
          <w:tcPr>
            <w:tcW w:w="623" w:type="pct"/>
            <w:tcBorders>
              <w:bottom w:val="single" w:sz="4" w:space="0" w:color="auto"/>
            </w:tcBorders>
          </w:tcPr>
          <w:p w14:paraId="7746EA7B" w14:textId="4C5A33CD" w:rsidR="0019786D" w:rsidRPr="00433907" w:rsidRDefault="0019786D" w:rsidP="00217FC6">
            <w:pPr>
              <w:pStyle w:val="TableText0"/>
              <w:keepNext/>
              <w:keepLines/>
              <w:jc w:val="center"/>
            </w:pPr>
            <w:r w:rsidRPr="00433907">
              <w:t>$</w:t>
            </w:r>
            <w:r w:rsidR="007F3646" w:rsidRPr="007F3646">
              <w:rPr>
                <w:color w:val="000000"/>
                <w:spacing w:val="53"/>
                <w:shd w:val="solid" w:color="000000" w:fill="000000"/>
                <w:fitText w:val="330" w:id="-663525365"/>
                <w14:textFill>
                  <w14:solidFill>
                    <w14:srgbClr w14:val="000000">
                      <w14:alpha w14:val="100000"/>
                    </w14:srgbClr>
                  </w14:solidFill>
                </w14:textFill>
              </w:rPr>
              <w:t>|||</w:t>
            </w:r>
            <w:r w:rsidR="007F3646" w:rsidRPr="007F3646">
              <w:rPr>
                <w:color w:val="000000"/>
                <w:spacing w:val="1"/>
                <w:shd w:val="solid" w:color="000000" w:fill="000000"/>
                <w:fitText w:val="330" w:id="-663525365"/>
                <w14:textFill>
                  <w14:solidFill>
                    <w14:srgbClr w14:val="000000">
                      <w14:alpha w14:val="100000"/>
                    </w14:srgbClr>
                  </w14:solidFill>
                </w14:textFill>
              </w:rPr>
              <w:t>|</w:t>
            </w:r>
            <w:r w:rsidR="0079001A">
              <w:t xml:space="preserve"> </w:t>
            </w:r>
            <w:r w:rsidR="0079001A">
              <w:rPr>
                <w:vertAlign w:val="superscript"/>
              </w:rPr>
              <w:t>1</w:t>
            </w:r>
          </w:p>
        </w:tc>
        <w:tc>
          <w:tcPr>
            <w:tcW w:w="623" w:type="pct"/>
            <w:tcBorders>
              <w:bottom w:val="single" w:sz="4" w:space="0" w:color="auto"/>
            </w:tcBorders>
          </w:tcPr>
          <w:p w14:paraId="769E7AB3" w14:textId="3FD62A3B" w:rsidR="0019786D" w:rsidRPr="00433907" w:rsidRDefault="0019786D" w:rsidP="00217FC6">
            <w:pPr>
              <w:pStyle w:val="TableText0"/>
              <w:keepNext/>
              <w:keepLines/>
              <w:jc w:val="center"/>
            </w:pPr>
            <w:r w:rsidRPr="00433907">
              <w:t>$</w:t>
            </w:r>
            <w:r w:rsidR="007F3646" w:rsidRPr="007F3646">
              <w:rPr>
                <w:color w:val="000000"/>
                <w:spacing w:val="53"/>
                <w:shd w:val="solid" w:color="000000" w:fill="000000"/>
                <w:fitText w:val="330" w:id="-663525364"/>
                <w14:textFill>
                  <w14:solidFill>
                    <w14:srgbClr w14:val="000000">
                      <w14:alpha w14:val="100000"/>
                    </w14:srgbClr>
                  </w14:solidFill>
                </w14:textFill>
              </w:rPr>
              <w:t>|||</w:t>
            </w:r>
            <w:r w:rsidR="007F3646" w:rsidRPr="007F3646">
              <w:rPr>
                <w:color w:val="000000"/>
                <w:spacing w:val="1"/>
                <w:shd w:val="solid" w:color="000000" w:fill="000000"/>
                <w:fitText w:val="330" w:id="-663525364"/>
                <w14:textFill>
                  <w14:solidFill>
                    <w14:srgbClr w14:val="000000">
                      <w14:alpha w14:val="100000"/>
                    </w14:srgbClr>
                  </w14:solidFill>
                </w14:textFill>
              </w:rPr>
              <w:t>|</w:t>
            </w:r>
            <w:r w:rsidR="0079001A">
              <w:t xml:space="preserve"> </w:t>
            </w:r>
            <w:r w:rsidR="0079001A">
              <w:rPr>
                <w:vertAlign w:val="superscript"/>
              </w:rPr>
              <w:t>1</w:t>
            </w:r>
          </w:p>
        </w:tc>
        <w:tc>
          <w:tcPr>
            <w:tcW w:w="623" w:type="pct"/>
            <w:tcBorders>
              <w:bottom w:val="single" w:sz="4" w:space="0" w:color="auto"/>
            </w:tcBorders>
          </w:tcPr>
          <w:p w14:paraId="38D61558" w14:textId="6392E6F3" w:rsidR="0019786D" w:rsidRPr="00433907" w:rsidRDefault="0019786D" w:rsidP="00217FC6">
            <w:pPr>
              <w:pStyle w:val="TableText0"/>
              <w:keepNext/>
              <w:keepLines/>
              <w:jc w:val="center"/>
            </w:pPr>
            <w:r w:rsidRPr="00433907">
              <w:t>$</w:t>
            </w:r>
            <w:r w:rsidR="007F3646" w:rsidRPr="007F3646">
              <w:rPr>
                <w:color w:val="000000"/>
                <w:spacing w:val="53"/>
                <w:shd w:val="solid" w:color="000000" w:fill="000000"/>
                <w:fitText w:val="330" w:id="-663525363"/>
                <w14:textFill>
                  <w14:solidFill>
                    <w14:srgbClr w14:val="000000">
                      <w14:alpha w14:val="100000"/>
                    </w14:srgbClr>
                  </w14:solidFill>
                </w14:textFill>
              </w:rPr>
              <w:t>|||</w:t>
            </w:r>
            <w:r w:rsidR="007F3646" w:rsidRPr="007F3646">
              <w:rPr>
                <w:color w:val="000000"/>
                <w:spacing w:val="1"/>
                <w:shd w:val="solid" w:color="000000" w:fill="000000"/>
                <w:fitText w:val="330" w:id="-663525363"/>
                <w14:textFill>
                  <w14:solidFill>
                    <w14:srgbClr w14:val="000000">
                      <w14:alpha w14:val="100000"/>
                    </w14:srgbClr>
                  </w14:solidFill>
                </w14:textFill>
              </w:rPr>
              <w:t>|</w:t>
            </w:r>
            <w:r w:rsidR="0079001A">
              <w:t xml:space="preserve"> </w:t>
            </w:r>
            <w:r w:rsidR="0079001A">
              <w:rPr>
                <w:vertAlign w:val="superscript"/>
              </w:rPr>
              <w:t>1</w:t>
            </w:r>
          </w:p>
        </w:tc>
        <w:tc>
          <w:tcPr>
            <w:tcW w:w="623" w:type="pct"/>
            <w:tcBorders>
              <w:bottom w:val="single" w:sz="4" w:space="0" w:color="auto"/>
            </w:tcBorders>
          </w:tcPr>
          <w:p w14:paraId="07FDB59A" w14:textId="2359DCB4" w:rsidR="0019786D" w:rsidRPr="00433907" w:rsidRDefault="0019786D" w:rsidP="00217FC6">
            <w:pPr>
              <w:pStyle w:val="TableText0"/>
              <w:keepNext/>
              <w:keepLines/>
              <w:jc w:val="center"/>
            </w:pPr>
            <w:r w:rsidRPr="00433907">
              <w:t>$</w:t>
            </w:r>
            <w:r w:rsidR="007F3646" w:rsidRPr="007F3646">
              <w:rPr>
                <w:color w:val="000000"/>
                <w:spacing w:val="53"/>
                <w:shd w:val="solid" w:color="000000" w:fill="000000"/>
                <w:fitText w:val="330" w:id="-663525362"/>
                <w14:textFill>
                  <w14:solidFill>
                    <w14:srgbClr w14:val="000000">
                      <w14:alpha w14:val="100000"/>
                    </w14:srgbClr>
                  </w14:solidFill>
                </w14:textFill>
              </w:rPr>
              <w:t>|||</w:t>
            </w:r>
            <w:r w:rsidR="007F3646" w:rsidRPr="007F3646">
              <w:rPr>
                <w:color w:val="000000"/>
                <w:spacing w:val="1"/>
                <w:shd w:val="solid" w:color="000000" w:fill="000000"/>
                <w:fitText w:val="330" w:id="-663525362"/>
                <w14:textFill>
                  <w14:solidFill>
                    <w14:srgbClr w14:val="000000">
                      <w14:alpha w14:val="100000"/>
                    </w14:srgbClr>
                  </w14:solidFill>
                </w14:textFill>
              </w:rPr>
              <w:t>|</w:t>
            </w:r>
            <w:r w:rsidR="0079001A">
              <w:t xml:space="preserve"> </w:t>
            </w:r>
            <w:r w:rsidR="0079001A">
              <w:rPr>
                <w:vertAlign w:val="superscript"/>
              </w:rPr>
              <w:t>1</w:t>
            </w:r>
          </w:p>
        </w:tc>
        <w:tc>
          <w:tcPr>
            <w:tcW w:w="673" w:type="pct"/>
            <w:tcBorders>
              <w:bottom w:val="single" w:sz="4" w:space="0" w:color="auto"/>
            </w:tcBorders>
          </w:tcPr>
          <w:p w14:paraId="2B2C8640" w14:textId="3FFFDE5E" w:rsidR="0019786D" w:rsidRPr="00433907" w:rsidRDefault="0019786D" w:rsidP="00217FC6">
            <w:pPr>
              <w:pStyle w:val="TableText0"/>
              <w:keepNext/>
              <w:keepLines/>
              <w:jc w:val="center"/>
            </w:pPr>
            <w:r w:rsidRPr="00433907">
              <w:t>$</w:t>
            </w:r>
            <w:r w:rsidR="007F3646" w:rsidRPr="007F3646">
              <w:rPr>
                <w:color w:val="000000"/>
                <w:spacing w:val="53"/>
                <w:shd w:val="solid" w:color="000000" w:fill="000000"/>
                <w:fitText w:val="330" w:id="-663525361"/>
                <w14:textFill>
                  <w14:solidFill>
                    <w14:srgbClr w14:val="000000">
                      <w14:alpha w14:val="100000"/>
                    </w14:srgbClr>
                  </w14:solidFill>
                </w14:textFill>
              </w:rPr>
              <w:t>|||</w:t>
            </w:r>
            <w:r w:rsidR="007F3646" w:rsidRPr="007F3646">
              <w:rPr>
                <w:color w:val="000000"/>
                <w:spacing w:val="1"/>
                <w:shd w:val="solid" w:color="000000" w:fill="000000"/>
                <w:fitText w:val="330" w:id="-663525361"/>
                <w14:textFill>
                  <w14:solidFill>
                    <w14:srgbClr w14:val="000000">
                      <w14:alpha w14:val="100000"/>
                    </w14:srgbClr>
                  </w14:solidFill>
                </w14:textFill>
              </w:rPr>
              <w:t>|</w:t>
            </w:r>
            <w:r w:rsidR="0079001A">
              <w:t xml:space="preserve"> </w:t>
            </w:r>
            <w:r w:rsidR="0079001A">
              <w:rPr>
                <w:vertAlign w:val="superscript"/>
              </w:rPr>
              <w:t>2</w:t>
            </w:r>
          </w:p>
        </w:tc>
        <w:tc>
          <w:tcPr>
            <w:tcW w:w="277" w:type="pct"/>
            <w:tcBorders>
              <w:bottom w:val="single" w:sz="4" w:space="0" w:color="auto"/>
            </w:tcBorders>
          </w:tcPr>
          <w:p w14:paraId="66270CA8" w14:textId="77777777" w:rsidR="0019786D" w:rsidRPr="00433907" w:rsidRDefault="0019786D" w:rsidP="00217FC6">
            <w:pPr>
              <w:pStyle w:val="TableText0"/>
              <w:keepNext/>
              <w:keepLines/>
              <w:jc w:val="center"/>
            </w:pPr>
            <w:r w:rsidRPr="00433907">
              <w:t>-</w:t>
            </w:r>
          </w:p>
        </w:tc>
      </w:tr>
      <w:tr w:rsidR="0019786D" w:rsidRPr="00AB1B2A" w14:paraId="6DDABD2B" w14:textId="77777777" w:rsidTr="2BCE08C6">
        <w:tc>
          <w:tcPr>
            <w:tcW w:w="5000" w:type="pct"/>
            <w:gridSpan w:val="9"/>
          </w:tcPr>
          <w:p w14:paraId="19FF2FD5" w14:textId="77777777" w:rsidR="0019786D" w:rsidRPr="00AB1B2A" w:rsidRDefault="0019786D" w:rsidP="00217FC6">
            <w:pPr>
              <w:pStyle w:val="TableText0"/>
              <w:keepNext/>
              <w:keepLines/>
              <w:rPr>
                <w:b/>
                <w:i/>
              </w:rPr>
            </w:pPr>
            <w:r w:rsidRPr="2BCE08C6">
              <w:rPr>
                <w:b/>
              </w:rPr>
              <w:t>Proportion of patients with BEC &lt;300 cells/µLand IgE ≥30 IU/mL: 41.2%</w:t>
            </w:r>
            <w:r w:rsidRPr="2BCE08C6">
              <w:rPr>
                <w:b/>
                <w:vertAlign w:val="superscript"/>
              </w:rPr>
              <w:t>b</w:t>
            </w:r>
            <w:r w:rsidRPr="2BCE08C6">
              <w:rPr>
                <w:b/>
              </w:rPr>
              <w:t xml:space="preserve"> </w:t>
            </w:r>
          </w:p>
        </w:tc>
      </w:tr>
      <w:tr w:rsidR="0019786D" w14:paraId="0266EB5B" w14:textId="77777777" w:rsidTr="2BCE08C6">
        <w:tc>
          <w:tcPr>
            <w:tcW w:w="315" w:type="pct"/>
          </w:tcPr>
          <w:p w14:paraId="7B9813B4" w14:textId="77777777" w:rsidR="0019786D" w:rsidRDefault="0019786D" w:rsidP="00217FC6">
            <w:pPr>
              <w:pStyle w:val="TableText0"/>
              <w:keepNext/>
              <w:keepLines/>
            </w:pPr>
            <w:r>
              <w:t xml:space="preserve">Net cost </w:t>
            </w:r>
          </w:p>
        </w:tc>
        <w:tc>
          <w:tcPr>
            <w:tcW w:w="623" w:type="pct"/>
          </w:tcPr>
          <w:p w14:paraId="1438CE9D" w14:textId="720532ED" w:rsidR="0019786D" w:rsidRPr="00433907" w:rsidRDefault="0019786D" w:rsidP="00217FC6">
            <w:pPr>
              <w:pStyle w:val="TableText0"/>
              <w:keepNext/>
              <w:keepLines/>
              <w:jc w:val="center"/>
              <w:rPr>
                <w:i/>
                <w:sz w:val="18"/>
                <w:szCs w:val="22"/>
              </w:rPr>
            </w:pPr>
            <w:r w:rsidRPr="0062337A">
              <w:t>$</w:t>
            </w:r>
            <w:r w:rsidR="007F3646" w:rsidRPr="007F3646">
              <w:rPr>
                <w:color w:val="000000"/>
                <w:spacing w:val="53"/>
                <w:shd w:val="solid" w:color="000000" w:fill="000000"/>
                <w:fitText w:val="330" w:id="-663525360"/>
                <w14:textFill>
                  <w14:solidFill>
                    <w14:srgbClr w14:val="000000">
                      <w14:alpha w14:val="100000"/>
                    </w14:srgbClr>
                  </w14:solidFill>
                </w14:textFill>
              </w:rPr>
              <w:t>|||</w:t>
            </w:r>
            <w:r w:rsidR="007F3646" w:rsidRPr="007F3646">
              <w:rPr>
                <w:color w:val="000000"/>
                <w:spacing w:val="1"/>
                <w:shd w:val="solid" w:color="000000" w:fill="000000"/>
                <w:fitText w:val="330" w:id="-663525360"/>
                <w14:textFill>
                  <w14:solidFill>
                    <w14:srgbClr w14:val="000000">
                      <w14:alpha w14:val="100000"/>
                    </w14:srgbClr>
                  </w14:solidFill>
                </w14:textFill>
              </w:rPr>
              <w:t>|</w:t>
            </w:r>
            <w:r w:rsidR="0079001A">
              <w:t xml:space="preserve"> </w:t>
            </w:r>
            <w:r w:rsidR="0079001A">
              <w:rPr>
                <w:vertAlign w:val="superscript"/>
              </w:rPr>
              <w:t>3</w:t>
            </w:r>
          </w:p>
        </w:tc>
        <w:tc>
          <w:tcPr>
            <w:tcW w:w="623" w:type="pct"/>
          </w:tcPr>
          <w:p w14:paraId="625B1801" w14:textId="7867A491" w:rsidR="0019786D" w:rsidRPr="00433907" w:rsidRDefault="0019786D" w:rsidP="00217FC6">
            <w:pPr>
              <w:pStyle w:val="TableText0"/>
              <w:keepNext/>
              <w:keepLines/>
              <w:jc w:val="center"/>
              <w:rPr>
                <w:i/>
                <w:sz w:val="18"/>
                <w:szCs w:val="22"/>
              </w:rPr>
            </w:pPr>
            <w:r w:rsidRPr="0062337A">
              <w:t>$</w:t>
            </w:r>
            <w:r w:rsidR="007F3646" w:rsidRPr="007F3646">
              <w:rPr>
                <w:color w:val="000000"/>
                <w:spacing w:val="53"/>
                <w:shd w:val="solid" w:color="000000" w:fill="000000"/>
                <w:fitText w:val="330" w:id="-663525376"/>
                <w14:textFill>
                  <w14:solidFill>
                    <w14:srgbClr w14:val="000000">
                      <w14:alpha w14:val="100000"/>
                    </w14:srgbClr>
                  </w14:solidFill>
                </w14:textFill>
              </w:rPr>
              <w:t>|||</w:t>
            </w:r>
            <w:r w:rsidR="007F3646" w:rsidRPr="007F3646">
              <w:rPr>
                <w:color w:val="000000"/>
                <w:spacing w:val="1"/>
                <w:shd w:val="solid" w:color="000000" w:fill="000000"/>
                <w:fitText w:val="330" w:id="-663525376"/>
                <w14:textFill>
                  <w14:solidFill>
                    <w14:srgbClr w14:val="000000">
                      <w14:alpha w14:val="100000"/>
                    </w14:srgbClr>
                  </w14:solidFill>
                </w14:textFill>
              </w:rPr>
              <w:t>|</w:t>
            </w:r>
            <w:r w:rsidR="0079001A">
              <w:t xml:space="preserve"> </w:t>
            </w:r>
            <w:r w:rsidR="0079001A">
              <w:rPr>
                <w:vertAlign w:val="superscript"/>
              </w:rPr>
              <w:t>3</w:t>
            </w:r>
          </w:p>
        </w:tc>
        <w:tc>
          <w:tcPr>
            <w:tcW w:w="623" w:type="pct"/>
          </w:tcPr>
          <w:p w14:paraId="5BB4B654" w14:textId="70EB5865" w:rsidR="0019786D" w:rsidRPr="00433907" w:rsidRDefault="0019786D" w:rsidP="00217FC6">
            <w:pPr>
              <w:pStyle w:val="TableText0"/>
              <w:keepNext/>
              <w:keepLines/>
              <w:jc w:val="center"/>
              <w:rPr>
                <w:i/>
                <w:sz w:val="18"/>
                <w:szCs w:val="22"/>
              </w:rPr>
            </w:pPr>
            <w:r w:rsidRPr="0062337A">
              <w:t>$</w:t>
            </w:r>
            <w:r w:rsidR="007F3646" w:rsidRPr="007F3646">
              <w:rPr>
                <w:color w:val="000000"/>
                <w:spacing w:val="53"/>
                <w:shd w:val="solid" w:color="000000" w:fill="000000"/>
                <w:fitText w:val="330" w:id="-663525375"/>
                <w14:textFill>
                  <w14:solidFill>
                    <w14:srgbClr w14:val="000000">
                      <w14:alpha w14:val="100000"/>
                    </w14:srgbClr>
                  </w14:solidFill>
                </w14:textFill>
              </w:rPr>
              <w:t>|||</w:t>
            </w:r>
            <w:r w:rsidR="007F3646" w:rsidRPr="007F3646">
              <w:rPr>
                <w:color w:val="000000"/>
                <w:spacing w:val="1"/>
                <w:shd w:val="solid" w:color="000000" w:fill="000000"/>
                <w:fitText w:val="330" w:id="-663525375"/>
                <w14:textFill>
                  <w14:solidFill>
                    <w14:srgbClr w14:val="000000">
                      <w14:alpha w14:val="100000"/>
                    </w14:srgbClr>
                  </w14:solidFill>
                </w14:textFill>
              </w:rPr>
              <w:t>|</w:t>
            </w:r>
            <w:r w:rsidR="0079001A">
              <w:t xml:space="preserve"> </w:t>
            </w:r>
            <w:r w:rsidR="0079001A">
              <w:rPr>
                <w:vertAlign w:val="superscript"/>
              </w:rPr>
              <w:t>3</w:t>
            </w:r>
          </w:p>
        </w:tc>
        <w:tc>
          <w:tcPr>
            <w:tcW w:w="623" w:type="pct"/>
          </w:tcPr>
          <w:p w14:paraId="3EC397CC" w14:textId="3523E1D3" w:rsidR="0019786D" w:rsidRPr="00433907" w:rsidRDefault="0019786D" w:rsidP="00217FC6">
            <w:pPr>
              <w:pStyle w:val="TableText0"/>
              <w:keepNext/>
              <w:keepLines/>
              <w:jc w:val="center"/>
              <w:rPr>
                <w:i/>
                <w:sz w:val="18"/>
                <w:szCs w:val="22"/>
              </w:rPr>
            </w:pPr>
            <w:r w:rsidRPr="0062337A">
              <w:t>$</w:t>
            </w:r>
            <w:r w:rsidR="007F3646" w:rsidRPr="007F3646">
              <w:rPr>
                <w:color w:val="000000"/>
                <w:spacing w:val="53"/>
                <w:shd w:val="solid" w:color="000000" w:fill="000000"/>
                <w:fitText w:val="330" w:id="-663525374"/>
                <w14:textFill>
                  <w14:solidFill>
                    <w14:srgbClr w14:val="000000">
                      <w14:alpha w14:val="100000"/>
                    </w14:srgbClr>
                  </w14:solidFill>
                </w14:textFill>
              </w:rPr>
              <w:t>|||</w:t>
            </w:r>
            <w:r w:rsidR="007F3646" w:rsidRPr="007F3646">
              <w:rPr>
                <w:color w:val="000000"/>
                <w:spacing w:val="1"/>
                <w:shd w:val="solid" w:color="000000" w:fill="000000"/>
                <w:fitText w:val="330" w:id="-663525374"/>
                <w14:textFill>
                  <w14:solidFill>
                    <w14:srgbClr w14:val="000000">
                      <w14:alpha w14:val="100000"/>
                    </w14:srgbClr>
                  </w14:solidFill>
                </w14:textFill>
              </w:rPr>
              <w:t>|</w:t>
            </w:r>
            <w:r w:rsidR="0079001A">
              <w:t xml:space="preserve"> </w:t>
            </w:r>
            <w:r w:rsidR="0079001A">
              <w:rPr>
                <w:vertAlign w:val="superscript"/>
              </w:rPr>
              <w:t>3</w:t>
            </w:r>
          </w:p>
        </w:tc>
        <w:tc>
          <w:tcPr>
            <w:tcW w:w="623" w:type="pct"/>
          </w:tcPr>
          <w:p w14:paraId="70A33A6F" w14:textId="3DE85F6D" w:rsidR="0019786D" w:rsidRPr="00433907" w:rsidRDefault="0019786D" w:rsidP="00217FC6">
            <w:pPr>
              <w:pStyle w:val="TableText0"/>
              <w:keepNext/>
              <w:keepLines/>
              <w:jc w:val="center"/>
              <w:rPr>
                <w:i/>
                <w:sz w:val="18"/>
                <w:szCs w:val="22"/>
              </w:rPr>
            </w:pPr>
            <w:r w:rsidRPr="0062337A">
              <w:t>$</w:t>
            </w:r>
            <w:r w:rsidR="007F3646" w:rsidRPr="007F3646">
              <w:rPr>
                <w:color w:val="000000"/>
                <w:spacing w:val="53"/>
                <w:shd w:val="solid" w:color="000000" w:fill="000000"/>
                <w:fitText w:val="330" w:id="-663525373"/>
                <w14:textFill>
                  <w14:solidFill>
                    <w14:srgbClr w14:val="000000">
                      <w14:alpha w14:val="100000"/>
                    </w14:srgbClr>
                  </w14:solidFill>
                </w14:textFill>
              </w:rPr>
              <w:t>|||</w:t>
            </w:r>
            <w:r w:rsidR="007F3646" w:rsidRPr="007F3646">
              <w:rPr>
                <w:color w:val="000000"/>
                <w:spacing w:val="1"/>
                <w:shd w:val="solid" w:color="000000" w:fill="000000"/>
                <w:fitText w:val="330" w:id="-663525373"/>
                <w14:textFill>
                  <w14:solidFill>
                    <w14:srgbClr w14:val="000000">
                      <w14:alpha w14:val="100000"/>
                    </w14:srgbClr>
                  </w14:solidFill>
                </w14:textFill>
              </w:rPr>
              <w:t>|</w:t>
            </w:r>
            <w:r w:rsidR="0079001A">
              <w:t xml:space="preserve"> </w:t>
            </w:r>
            <w:r w:rsidR="0079001A">
              <w:rPr>
                <w:vertAlign w:val="superscript"/>
              </w:rPr>
              <w:t>3</w:t>
            </w:r>
          </w:p>
        </w:tc>
        <w:tc>
          <w:tcPr>
            <w:tcW w:w="623" w:type="pct"/>
          </w:tcPr>
          <w:p w14:paraId="41059F8C" w14:textId="010226A3" w:rsidR="0019786D" w:rsidRPr="00433907" w:rsidRDefault="0019786D" w:rsidP="00217FC6">
            <w:pPr>
              <w:pStyle w:val="TableText0"/>
              <w:keepNext/>
              <w:keepLines/>
              <w:jc w:val="center"/>
              <w:rPr>
                <w:i/>
                <w:sz w:val="18"/>
                <w:szCs w:val="22"/>
              </w:rPr>
            </w:pPr>
            <w:r w:rsidRPr="0062337A">
              <w:t>$</w:t>
            </w:r>
            <w:r w:rsidR="007F3646" w:rsidRPr="007F3646">
              <w:rPr>
                <w:color w:val="000000"/>
                <w:spacing w:val="53"/>
                <w:shd w:val="solid" w:color="000000" w:fill="000000"/>
                <w:fitText w:val="330" w:id="-663525372"/>
                <w14:textFill>
                  <w14:solidFill>
                    <w14:srgbClr w14:val="000000">
                      <w14:alpha w14:val="100000"/>
                    </w14:srgbClr>
                  </w14:solidFill>
                </w14:textFill>
              </w:rPr>
              <w:t>|||</w:t>
            </w:r>
            <w:r w:rsidR="007F3646" w:rsidRPr="007F3646">
              <w:rPr>
                <w:color w:val="000000"/>
                <w:spacing w:val="1"/>
                <w:shd w:val="solid" w:color="000000" w:fill="000000"/>
                <w:fitText w:val="330" w:id="-663525372"/>
                <w14:textFill>
                  <w14:solidFill>
                    <w14:srgbClr w14:val="000000">
                      <w14:alpha w14:val="100000"/>
                    </w14:srgbClr>
                  </w14:solidFill>
                </w14:textFill>
              </w:rPr>
              <w:t>|</w:t>
            </w:r>
            <w:r w:rsidR="0079001A">
              <w:t xml:space="preserve"> </w:t>
            </w:r>
            <w:r w:rsidR="0079001A">
              <w:rPr>
                <w:vertAlign w:val="superscript"/>
              </w:rPr>
              <w:t>3</w:t>
            </w:r>
          </w:p>
        </w:tc>
        <w:tc>
          <w:tcPr>
            <w:tcW w:w="673" w:type="pct"/>
          </w:tcPr>
          <w:p w14:paraId="0FC69501" w14:textId="4F77598A" w:rsidR="0019786D" w:rsidRPr="00433907" w:rsidRDefault="0019786D" w:rsidP="00217FC6">
            <w:pPr>
              <w:pStyle w:val="TableText0"/>
              <w:keepNext/>
              <w:keepLines/>
              <w:jc w:val="center"/>
              <w:rPr>
                <w:i/>
                <w:sz w:val="18"/>
                <w:szCs w:val="22"/>
              </w:rPr>
            </w:pPr>
            <w:r w:rsidRPr="0062337A">
              <w:t>$</w:t>
            </w:r>
            <w:r w:rsidR="007F3646" w:rsidRPr="007F3646">
              <w:rPr>
                <w:color w:val="000000"/>
                <w:spacing w:val="53"/>
                <w:shd w:val="solid" w:color="000000" w:fill="000000"/>
                <w:fitText w:val="330" w:id="-663525371"/>
                <w14:textFill>
                  <w14:solidFill>
                    <w14:srgbClr w14:val="000000">
                      <w14:alpha w14:val="100000"/>
                    </w14:srgbClr>
                  </w14:solidFill>
                </w14:textFill>
              </w:rPr>
              <w:t>|||</w:t>
            </w:r>
            <w:r w:rsidR="007F3646" w:rsidRPr="007F3646">
              <w:rPr>
                <w:color w:val="000000"/>
                <w:spacing w:val="1"/>
                <w:shd w:val="solid" w:color="000000" w:fill="000000"/>
                <w:fitText w:val="330" w:id="-663525371"/>
                <w14:textFill>
                  <w14:solidFill>
                    <w14:srgbClr w14:val="000000">
                      <w14:alpha w14:val="100000"/>
                    </w14:srgbClr>
                  </w14:solidFill>
                </w14:textFill>
              </w:rPr>
              <w:t>|</w:t>
            </w:r>
            <w:r w:rsidR="0079001A">
              <w:t xml:space="preserve"> </w:t>
            </w:r>
            <w:r w:rsidR="0079001A" w:rsidRPr="00705D37">
              <w:rPr>
                <w:vertAlign w:val="superscript"/>
              </w:rPr>
              <w:t>4</w:t>
            </w:r>
          </w:p>
        </w:tc>
        <w:tc>
          <w:tcPr>
            <w:tcW w:w="277" w:type="pct"/>
          </w:tcPr>
          <w:p w14:paraId="504F045B" w14:textId="46E7888D" w:rsidR="0019786D" w:rsidRPr="00433907" w:rsidRDefault="007F3646" w:rsidP="00217FC6">
            <w:pPr>
              <w:pStyle w:val="TableText0"/>
              <w:keepNext/>
              <w:keepLines/>
              <w:jc w:val="center"/>
              <w:rPr>
                <w:i/>
                <w:sz w:val="18"/>
                <w:szCs w:val="22"/>
              </w:rPr>
            </w:pPr>
            <w:r w:rsidRPr="007F3646">
              <w:rPr>
                <w:color w:val="000000"/>
                <w:spacing w:val="53"/>
                <w:shd w:val="solid" w:color="000000" w:fill="000000"/>
                <w:fitText w:val="330" w:id="-663525370"/>
                <w14:textFill>
                  <w14:solidFill>
                    <w14:srgbClr w14:val="000000">
                      <w14:alpha w14:val="100000"/>
                    </w14:srgbClr>
                  </w14:solidFill>
                </w14:textFill>
              </w:rPr>
              <w:t>|||</w:t>
            </w:r>
            <w:r w:rsidRPr="007F3646">
              <w:rPr>
                <w:color w:val="000000"/>
                <w:spacing w:val="1"/>
                <w:shd w:val="solid" w:color="000000" w:fill="000000"/>
                <w:fitText w:val="330" w:id="-663525370"/>
                <w14:textFill>
                  <w14:solidFill>
                    <w14:srgbClr w14:val="000000">
                      <w14:alpha w14:val="100000"/>
                    </w14:srgbClr>
                  </w14:solidFill>
                </w14:textFill>
              </w:rPr>
              <w:t>|</w:t>
            </w:r>
            <w:r w:rsidR="0019786D" w:rsidRPr="0062337A">
              <w:t>%</w:t>
            </w:r>
          </w:p>
        </w:tc>
      </w:tr>
      <w:tr w:rsidR="0019786D" w:rsidRPr="00AB1B2A" w14:paraId="11C0E38E" w14:textId="77777777" w:rsidTr="2BCE08C6">
        <w:tc>
          <w:tcPr>
            <w:tcW w:w="5000" w:type="pct"/>
            <w:gridSpan w:val="9"/>
          </w:tcPr>
          <w:p w14:paraId="415FC2CC" w14:textId="77777777" w:rsidR="0019786D" w:rsidRPr="00AB1B2A" w:rsidRDefault="0019786D" w:rsidP="00217FC6">
            <w:pPr>
              <w:pStyle w:val="TableText0"/>
              <w:keepNext/>
              <w:keepLines/>
              <w:rPr>
                <w:b/>
                <w:i/>
                <w:sz w:val="18"/>
                <w:szCs w:val="18"/>
              </w:rPr>
            </w:pPr>
            <w:r w:rsidRPr="2BCE08C6">
              <w:rPr>
                <w:b/>
              </w:rPr>
              <w:t xml:space="preserve">Proportion of patients with BEC &lt;300 cells/µLand IgE ≥30 IU/mL: 0% </w:t>
            </w:r>
          </w:p>
        </w:tc>
      </w:tr>
      <w:tr w:rsidR="0019786D" w14:paraId="16801A01" w14:textId="77777777" w:rsidTr="2BCE08C6">
        <w:tc>
          <w:tcPr>
            <w:tcW w:w="315" w:type="pct"/>
          </w:tcPr>
          <w:p w14:paraId="2FE68818" w14:textId="2C5703F6" w:rsidR="0019786D" w:rsidRDefault="0019786D" w:rsidP="00217FC6">
            <w:pPr>
              <w:pStyle w:val="TableText0"/>
              <w:keepNext/>
              <w:keepLines/>
            </w:pPr>
            <w:r w:rsidRPr="2BCE08C6">
              <w:t xml:space="preserve">Net </w:t>
            </w:r>
            <w:proofErr w:type="spellStart"/>
            <w:r w:rsidRPr="2BCE08C6">
              <w:t>cost</w:t>
            </w:r>
            <w:r w:rsidR="009B37A2" w:rsidRPr="2BCE08C6">
              <w:rPr>
                <w:vertAlign w:val="superscript"/>
              </w:rPr>
              <w:t>c</w:t>
            </w:r>
            <w:proofErr w:type="spellEnd"/>
            <w:r w:rsidRPr="2BCE08C6">
              <w:t xml:space="preserve"> </w:t>
            </w:r>
          </w:p>
        </w:tc>
        <w:tc>
          <w:tcPr>
            <w:tcW w:w="623" w:type="pct"/>
          </w:tcPr>
          <w:p w14:paraId="39FFBB77" w14:textId="73D66833" w:rsidR="0019786D" w:rsidRPr="00E31263" w:rsidRDefault="0019786D" w:rsidP="00217FC6">
            <w:pPr>
              <w:pStyle w:val="TableText0"/>
              <w:keepNext/>
              <w:keepLines/>
              <w:jc w:val="center"/>
              <w:rPr>
                <w:sz w:val="18"/>
                <w:szCs w:val="22"/>
              </w:rPr>
            </w:pPr>
            <w:r w:rsidRPr="00E31263">
              <w:t>-$</w:t>
            </w:r>
            <w:r w:rsidR="007F3646" w:rsidRPr="007F3646">
              <w:rPr>
                <w:color w:val="000000"/>
                <w:spacing w:val="49"/>
                <w:shd w:val="solid" w:color="000000" w:fill="000000"/>
                <w:fitText w:val="320" w:id="-663525369"/>
                <w14:textFill>
                  <w14:solidFill>
                    <w14:srgbClr w14:val="000000">
                      <w14:alpha w14:val="100000"/>
                    </w14:srgbClr>
                  </w14:solidFill>
                </w14:textFill>
              </w:rPr>
              <w:t>|||</w:t>
            </w:r>
            <w:r w:rsidR="007F3646" w:rsidRPr="007F3646">
              <w:rPr>
                <w:color w:val="000000"/>
                <w:spacing w:val="3"/>
                <w:shd w:val="solid" w:color="000000" w:fill="000000"/>
                <w:fitText w:val="320" w:id="-663525369"/>
                <w14:textFill>
                  <w14:solidFill>
                    <w14:srgbClr w14:val="000000">
                      <w14:alpha w14:val="100000"/>
                    </w14:srgbClr>
                  </w14:solidFill>
                </w14:textFill>
              </w:rPr>
              <w:t>|</w:t>
            </w:r>
            <w:r w:rsidR="0079001A">
              <w:t xml:space="preserve"> </w:t>
            </w:r>
            <w:r w:rsidR="0079001A">
              <w:rPr>
                <w:vertAlign w:val="superscript"/>
              </w:rPr>
              <w:t>5</w:t>
            </w:r>
          </w:p>
        </w:tc>
        <w:tc>
          <w:tcPr>
            <w:tcW w:w="623" w:type="pct"/>
          </w:tcPr>
          <w:p w14:paraId="22C7874B" w14:textId="6BE8012F" w:rsidR="0019786D" w:rsidRPr="00E31263" w:rsidRDefault="0019786D" w:rsidP="00217FC6">
            <w:pPr>
              <w:pStyle w:val="TableText0"/>
              <w:keepNext/>
              <w:keepLines/>
              <w:jc w:val="center"/>
              <w:rPr>
                <w:sz w:val="18"/>
                <w:szCs w:val="22"/>
              </w:rPr>
            </w:pPr>
            <w:r w:rsidRPr="00E31263">
              <w:t>-$</w:t>
            </w:r>
            <w:r w:rsidR="007F3646" w:rsidRPr="007F3646">
              <w:rPr>
                <w:color w:val="000000"/>
                <w:spacing w:val="53"/>
                <w:shd w:val="solid" w:color="000000" w:fill="000000"/>
                <w:fitText w:val="330" w:id="-663525368"/>
                <w14:textFill>
                  <w14:solidFill>
                    <w14:srgbClr w14:val="000000">
                      <w14:alpha w14:val="100000"/>
                    </w14:srgbClr>
                  </w14:solidFill>
                </w14:textFill>
              </w:rPr>
              <w:t>|||</w:t>
            </w:r>
            <w:r w:rsidR="007F3646" w:rsidRPr="007F3646">
              <w:rPr>
                <w:color w:val="000000"/>
                <w:spacing w:val="1"/>
                <w:shd w:val="solid" w:color="000000" w:fill="000000"/>
                <w:fitText w:val="330" w:id="-663525368"/>
                <w14:textFill>
                  <w14:solidFill>
                    <w14:srgbClr w14:val="000000">
                      <w14:alpha w14:val="100000"/>
                    </w14:srgbClr>
                  </w14:solidFill>
                </w14:textFill>
              </w:rPr>
              <w:t>|</w:t>
            </w:r>
            <w:r w:rsidR="0079001A">
              <w:t xml:space="preserve"> </w:t>
            </w:r>
            <w:r w:rsidR="0079001A">
              <w:rPr>
                <w:vertAlign w:val="superscript"/>
              </w:rPr>
              <w:t>5</w:t>
            </w:r>
          </w:p>
        </w:tc>
        <w:tc>
          <w:tcPr>
            <w:tcW w:w="623" w:type="pct"/>
          </w:tcPr>
          <w:p w14:paraId="5B9E1186" w14:textId="49CD6CBD" w:rsidR="0019786D" w:rsidRPr="00E31263" w:rsidRDefault="0019786D" w:rsidP="00217FC6">
            <w:pPr>
              <w:pStyle w:val="TableText0"/>
              <w:keepNext/>
              <w:keepLines/>
              <w:jc w:val="center"/>
              <w:rPr>
                <w:sz w:val="18"/>
                <w:szCs w:val="22"/>
              </w:rPr>
            </w:pPr>
            <w:r w:rsidRPr="00E31263">
              <w:t>-$</w:t>
            </w:r>
            <w:r w:rsidR="007F3646" w:rsidRPr="007F3646">
              <w:rPr>
                <w:color w:val="000000"/>
                <w:spacing w:val="53"/>
                <w:shd w:val="solid" w:color="000000" w:fill="000000"/>
                <w:fitText w:val="330" w:id="-663525367"/>
                <w14:textFill>
                  <w14:solidFill>
                    <w14:srgbClr w14:val="000000">
                      <w14:alpha w14:val="100000"/>
                    </w14:srgbClr>
                  </w14:solidFill>
                </w14:textFill>
              </w:rPr>
              <w:t>|||</w:t>
            </w:r>
            <w:r w:rsidR="007F3646" w:rsidRPr="007F3646">
              <w:rPr>
                <w:color w:val="000000"/>
                <w:spacing w:val="1"/>
                <w:shd w:val="solid" w:color="000000" w:fill="000000"/>
                <w:fitText w:val="330" w:id="-663525367"/>
                <w14:textFill>
                  <w14:solidFill>
                    <w14:srgbClr w14:val="000000">
                      <w14:alpha w14:val="100000"/>
                    </w14:srgbClr>
                  </w14:solidFill>
                </w14:textFill>
              </w:rPr>
              <w:t>|</w:t>
            </w:r>
            <w:r w:rsidR="0079001A">
              <w:t xml:space="preserve"> </w:t>
            </w:r>
            <w:r w:rsidR="0079001A">
              <w:rPr>
                <w:vertAlign w:val="superscript"/>
              </w:rPr>
              <w:t>5</w:t>
            </w:r>
          </w:p>
        </w:tc>
        <w:tc>
          <w:tcPr>
            <w:tcW w:w="623" w:type="pct"/>
          </w:tcPr>
          <w:p w14:paraId="5A13343E" w14:textId="4B5441DD" w:rsidR="0019786D" w:rsidRPr="00E31263" w:rsidRDefault="0019786D" w:rsidP="00217FC6">
            <w:pPr>
              <w:pStyle w:val="TableText0"/>
              <w:keepNext/>
              <w:keepLines/>
              <w:jc w:val="center"/>
              <w:rPr>
                <w:sz w:val="18"/>
                <w:szCs w:val="22"/>
              </w:rPr>
            </w:pPr>
            <w:r w:rsidRPr="00E31263">
              <w:t>-$</w:t>
            </w:r>
            <w:r w:rsidR="007F3646" w:rsidRPr="007F3646">
              <w:rPr>
                <w:color w:val="000000"/>
                <w:spacing w:val="53"/>
                <w:shd w:val="solid" w:color="000000" w:fill="000000"/>
                <w:fitText w:val="330" w:id="-663525366"/>
                <w14:textFill>
                  <w14:solidFill>
                    <w14:srgbClr w14:val="000000">
                      <w14:alpha w14:val="100000"/>
                    </w14:srgbClr>
                  </w14:solidFill>
                </w14:textFill>
              </w:rPr>
              <w:t>|||</w:t>
            </w:r>
            <w:r w:rsidR="007F3646" w:rsidRPr="007F3646">
              <w:rPr>
                <w:color w:val="000000"/>
                <w:spacing w:val="1"/>
                <w:shd w:val="solid" w:color="000000" w:fill="000000"/>
                <w:fitText w:val="330" w:id="-663525366"/>
                <w14:textFill>
                  <w14:solidFill>
                    <w14:srgbClr w14:val="000000">
                      <w14:alpha w14:val="100000"/>
                    </w14:srgbClr>
                  </w14:solidFill>
                </w14:textFill>
              </w:rPr>
              <w:t>|</w:t>
            </w:r>
            <w:r w:rsidR="0079001A">
              <w:t xml:space="preserve"> </w:t>
            </w:r>
            <w:r w:rsidR="0079001A">
              <w:rPr>
                <w:vertAlign w:val="superscript"/>
              </w:rPr>
              <w:t>5</w:t>
            </w:r>
          </w:p>
        </w:tc>
        <w:tc>
          <w:tcPr>
            <w:tcW w:w="623" w:type="pct"/>
          </w:tcPr>
          <w:p w14:paraId="2DC82450" w14:textId="07B80B96" w:rsidR="0019786D" w:rsidRPr="00E31263" w:rsidRDefault="0019786D" w:rsidP="00217FC6">
            <w:pPr>
              <w:pStyle w:val="TableText0"/>
              <w:keepNext/>
              <w:keepLines/>
              <w:jc w:val="center"/>
              <w:rPr>
                <w:sz w:val="18"/>
                <w:szCs w:val="22"/>
              </w:rPr>
            </w:pPr>
            <w:r w:rsidRPr="00E31263">
              <w:t>-$</w:t>
            </w:r>
            <w:r w:rsidR="007F3646" w:rsidRPr="007F3646">
              <w:rPr>
                <w:color w:val="000000"/>
                <w:spacing w:val="53"/>
                <w:shd w:val="solid" w:color="000000" w:fill="000000"/>
                <w:fitText w:val="330" w:id="-663525365"/>
                <w14:textFill>
                  <w14:solidFill>
                    <w14:srgbClr w14:val="000000">
                      <w14:alpha w14:val="100000"/>
                    </w14:srgbClr>
                  </w14:solidFill>
                </w14:textFill>
              </w:rPr>
              <w:t>|||</w:t>
            </w:r>
            <w:r w:rsidR="007F3646" w:rsidRPr="007F3646">
              <w:rPr>
                <w:color w:val="000000"/>
                <w:spacing w:val="1"/>
                <w:shd w:val="solid" w:color="000000" w:fill="000000"/>
                <w:fitText w:val="330" w:id="-663525365"/>
                <w14:textFill>
                  <w14:solidFill>
                    <w14:srgbClr w14:val="000000">
                      <w14:alpha w14:val="100000"/>
                    </w14:srgbClr>
                  </w14:solidFill>
                </w14:textFill>
              </w:rPr>
              <w:t>|</w:t>
            </w:r>
            <w:r w:rsidR="0079001A">
              <w:t xml:space="preserve"> </w:t>
            </w:r>
            <w:r w:rsidR="0079001A">
              <w:rPr>
                <w:vertAlign w:val="superscript"/>
              </w:rPr>
              <w:t>5</w:t>
            </w:r>
          </w:p>
        </w:tc>
        <w:tc>
          <w:tcPr>
            <w:tcW w:w="623" w:type="pct"/>
          </w:tcPr>
          <w:p w14:paraId="7225D937" w14:textId="409270D8" w:rsidR="0019786D" w:rsidRPr="00E31263" w:rsidRDefault="0019786D" w:rsidP="00217FC6">
            <w:pPr>
              <w:pStyle w:val="TableText0"/>
              <w:keepNext/>
              <w:keepLines/>
              <w:jc w:val="center"/>
              <w:rPr>
                <w:sz w:val="18"/>
                <w:szCs w:val="22"/>
              </w:rPr>
            </w:pPr>
            <w:r w:rsidRPr="00E31263">
              <w:t>-$</w:t>
            </w:r>
            <w:r w:rsidR="007F3646" w:rsidRPr="007F3646">
              <w:rPr>
                <w:color w:val="000000"/>
                <w:spacing w:val="53"/>
                <w:shd w:val="solid" w:color="000000" w:fill="000000"/>
                <w:fitText w:val="330" w:id="-663525364"/>
                <w14:textFill>
                  <w14:solidFill>
                    <w14:srgbClr w14:val="000000">
                      <w14:alpha w14:val="100000"/>
                    </w14:srgbClr>
                  </w14:solidFill>
                </w14:textFill>
              </w:rPr>
              <w:t>|||</w:t>
            </w:r>
            <w:r w:rsidR="007F3646" w:rsidRPr="007F3646">
              <w:rPr>
                <w:color w:val="000000"/>
                <w:spacing w:val="1"/>
                <w:shd w:val="solid" w:color="000000" w:fill="000000"/>
                <w:fitText w:val="330" w:id="-663525364"/>
                <w14:textFill>
                  <w14:solidFill>
                    <w14:srgbClr w14:val="000000">
                      <w14:alpha w14:val="100000"/>
                    </w14:srgbClr>
                  </w14:solidFill>
                </w14:textFill>
              </w:rPr>
              <w:t>|</w:t>
            </w:r>
            <w:r w:rsidR="0079001A">
              <w:t xml:space="preserve"> </w:t>
            </w:r>
            <w:r w:rsidR="0079001A">
              <w:rPr>
                <w:vertAlign w:val="superscript"/>
              </w:rPr>
              <w:t>5</w:t>
            </w:r>
          </w:p>
        </w:tc>
        <w:tc>
          <w:tcPr>
            <w:tcW w:w="673" w:type="pct"/>
          </w:tcPr>
          <w:p w14:paraId="310B101D" w14:textId="3BF79B95" w:rsidR="0019786D" w:rsidRPr="0046460D" w:rsidRDefault="0019786D" w:rsidP="00217FC6">
            <w:pPr>
              <w:pStyle w:val="TableText0"/>
              <w:keepNext/>
              <w:keepLines/>
              <w:jc w:val="center"/>
              <w:rPr>
                <w:sz w:val="18"/>
                <w:szCs w:val="22"/>
              </w:rPr>
            </w:pPr>
            <w:r w:rsidRPr="0046460D">
              <w:t>-$</w:t>
            </w:r>
            <w:r w:rsidR="007F3646" w:rsidRPr="007F3646">
              <w:rPr>
                <w:color w:val="000000"/>
                <w:spacing w:val="53"/>
                <w:shd w:val="solid" w:color="000000" w:fill="000000"/>
                <w:fitText w:val="330" w:id="-663525363"/>
                <w14:textFill>
                  <w14:solidFill>
                    <w14:srgbClr w14:val="000000">
                      <w14:alpha w14:val="100000"/>
                    </w14:srgbClr>
                  </w14:solidFill>
                </w14:textFill>
              </w:rPr>
              <w:t>|||</w:t>
            </w:r>
            <w:r w:rsidR="007F3646" w:rsidRPr="007F3646">
              <w:rPr>
                <w:color w:val="000000"/>
                <w:spacing w:val="1"/>
                <w:shd w:val="solid" w:color="000000" w:fill="000000"/>
                <w:fitText w:val="330" w:id="-663525363"/>
                <w14:textFill>
                  <w14:solidFill>
                    <w14:srgbClr w14:val="000000">
                      <w14:alpha w14:val="100000"/>
                    </w14:srgbClr>
                  </w14:solidFill>
                </w14:textFill>
              </w:rPr>
              <w:t>|</w:t>
            </w:r>
            <w:r w:rsidR="0079001A">
              <w:t xml:space="preserve"> </w:t>
            </w:r>
            <w:r w:rsidR="0079001A">
              <w:rPr>
                <w:vertAlign w:val="superscript"/>
              </w:rPr>
              <w:t>5</w:t>
            </w:r>
          </w:p>
        </w:tc>
        <w:tc>
          <w:tcPr>
            <w:tcW w:w="277" w:type="pct"/>
          </w:tcPr>
          <w:p w14:paraId="1075E934" w14:textId="77777777" w:rsidR="0019786D" w:rsidRPr="00433907" w:rsidRDefault="0019786D" w:rsidP="00217FC6">
            <w:pPr>
              <w:pStyle w:val="TableText0"/>
              <w:keepNext/>
              <w:keepLines/>
              <w:jc w:val="center"/>
            </w:pPr>
            <w:r>
              <w:t xml:space="preserve">Approx </w:t>
            </w:r>
            <w:r w:rsidRPr="0046460D">
              <w:t>-100%</w:t>
            </w:r>
          </w:p>
        </w:tc>
      </w:tr>
    </w:tbl>
    <w:p w14:paraId="24F478B2" w14:textId="77777777" w:rsidR="0079001A" w:rsidRDefault="002C1266" w:rsidP="0079001A">
      <w:pPr>
        <w:pStyle w:val="TableFigureFooter"/>
        <w:keepNext/>
        <w:jc w:val="both"/>
        <w:rPr>
          <w:rStyle w:val="TableFigureFooterChar"/>
          <w:i/>
        </w:rPr>
      </w:pPr>
      <w:r w:rsidRPr="001A02B4">
        <w:rPr>
          <w:rStyle w:val="TableFigureFooterChar"/>
        </w:rPr>
        <w:t xml:space="preserve">Source: </w:t>
      </w:r>
      <w:r>
        <w:rPr>
          <w:rStyle w:val="TableFigureFooterChar"/>
          <w:i/>
          <w:iCs/>
        </w:rPr>
        <w:t>Conducted</w:t>
      </w:r>
      <w:r w:rsidRPr="00064DD8">
        <w:rPr>
          <w:rStyle w:val="TableFigureFooterChar"/>
          <w:i/>
          <w:iCs/>
        </w:rPr>
        <w:t xml:space="preserve"> </w:t>
      </w:r>
      <w:r w:rsidRPr="00064DD8">
        <w:rPr>
          <w:rStyle w:val="TableFigureFooterChar"/>
          <w:i/>
        </w:rPr>
        <w:t>during the evaluation.</w:t>
      </w:r>
    </w:p>
    <w:p w14:paraId="2B881567" w14:textId="0CDBDFE4" w:rsidR="002C1266" w:rsidRDefault="002C1266" w:rsidP="0079001A">
      <w:pPr>
        <w:pStyle w:val="TableFigureFooter"/>
        <w:keepNext/>
        <w:jc w:val="both"/>
        <w:rPr>
          <w:rStyle w:val="TableFigureFooterChar"/>
        </w:rPr>
      </w:pPr>
      <w:r w:rsidRPr="000A302D">
        <w:rPr>
          <w:rStyle w:val="TableFigureFooterChar"/>
        </w:rPr>
        <w:t>BEC, blood eosinophilic count</w:t>
      </w:r>
      <w:r>
        <w:rPr>
          <w:rStyle w:val="TableFigureFooterChar"/>
        </w:rPr>
        <w:t>.</w:t>
      </w:r>
    </w:p>
    <w:p w14:paraId="1EA9E131" w14:textId="77777777" w:rsidR="002C1266" w:rsidRDefault="002C1266" w:rsidP="0079001A">
      <w:pPr>
        <w:pStyle w:val="TableFigureFooter"/>
        <w:keepNext/>
        <w:jc w:val="both"/>
        <w:rPr>
          <w:rStyle w:val="TableFigureFooterChar"/>
        </w:rPr>
      </w:pPr>
      <w:r w:rsidRPr="2BCE08C6">
        <w:rPr>
          <w:rStyle w:val="TableFigureFooterChar"/>
          <w:vertAlign w:val="superscript"/>
        </w:rPr>
        <w:t xml:space="preserve">a </w:t>
      </w:r>
      <w:r w:rsidRPr="2BCE08C6">
        <w:rPr>
          <w:rStyle w:val="TableFigureFooterChar"/>
        </w:rPr>
        <w:t>Submission estimated this based on 31.7% (BEC &lt;300 cells/µL from SYNAPSE trial) and 83% (IgE ≥30 IU/mL from POLYP trials)</w:t>
      </w:r>
    </w:p>
    <w:p w14:paraId="4E9382CF" w14:textId="77777777" w:rsidR="0079001A" w:rsidRDefault="002C1266" w:rsidP="0079001A">
      <w:pPr>
        <w:pStyle w:val="TableFigureFooter"/>
        <w:keepNext/>
        <w:jc w:val="both"/>
        <w:rPr>
          <w:rStyle w:val="TableFigureFooterChar"/>
        </w:rPr>
      </w:pPr>
      <w:r w:rsidRPr="2BCE08C6">
        <w:rPr>
          <w:rStyle w:val="TableFigureFooterChar"/>
          <w:vertAlign w:val="superscript"/>
        </w:rPr>
        <w:t xml:space="preserve">b </w:t>
      </w:r>
      <w:r w:rsidRPr="2BCE08C6">
        <w:rPr>
          <w:rStyle w:val="TableFigureFooterChar"/>
        </w:rPr>
        <w:t>Revised to match the BEC &lt;300 cells/µL to match the POLYP trials</w:t>
      </w:r>
    </w:p>
    <w:p w14:paraId="7630E74B" w14:textId="6A28D4A4" w:rsidR="002C1266" w:rsidRDefault="000E6A8E" w:rsidP="00000658">
      <w:pPr>
        <w:pStyle w:val="TableFigureFooter"/>
        <w:keepNext/>
        <w:spacing w:after="0"/>
        <w:jc w:val="both"/>
        <w:rPr>
          <w:rStyle w:val="TableFigureFooterChar"/>
        </w:rPr>
      </w:pPr>
      <w:r w:rsidRPr="2BCE08C6">
        <w:rPr>
          <w:rStyle w:val="TableFigureFooterChar"/>
          <w:vertAlign w:val="superscript"/>
        </w:rPr>
        <w:t xml:space="preserve">c </w:t>
      </w:r>
      <w:r w:rsidRPr="2BCE08C6">
        <w:rPr>
          <w:rStyle w:val="TableFigureFooterChar"/>
        </w:rPr>
        <w:t>A net cost below zero is due to the expected reduction in mepolizumab scripts as a result of the market share assumptions presented in the submission.</w:t>
      </w:r>
    </w:p>
    <w:p w14:paraId="49AC020A" w14:textId="77777777" w:rsidR="00000658" w:rsidRPr="009A6D58" w:rsidRDefault="00000658" w:rsidP="00000658">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6D71AD0" w14:textId="5E9C4C2B" w:rsidR="00000658" w:rsidRPr="009A6D58" w:rsidRDefault="00000658" w:rsidP="00000658">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2F5C7B" w:rsidRPr="002F5C7B">
        <w:rPr>
          <w:rFonts w:ascii="Arial Narrow" w:hAnsi="Arial Narrow"/>
          <w:i/>
          <w:sz w:val="18"/>
          <w:szCs w:val="18"/>
        </w:rPr>
        <w:t>$20 million to &lt; $30 million</w:t>
      </w:r>
    </w:p>
    <w:p w14:paraId="652C8DF4" w14:textId="1C1FA097" w:rsidR="00000658" w:rsidRPr="009A6D58" w:rsidRDefault="00000658" w:rsidP="00000658">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AD545F" w:rsidRPr="00AD545F">
        <w:rPr>
          <w:rFonts w:ascii="Arial Narrow" w:hAnsi="Arial Narrow"/>
          <w:i/>
          <w:sz w:val="18"/>
          <w:szCs w:val="18"/>
        </w:rPr>
        <w:t>$100 million to &lt; $200 million</w:t>
      </w:r>
    </w:p>
    <w:p w14:paraId="794EB529" w14:textId="180592B0" w:rsidR="00000658" w:rsidRDefault="00000658" w:rsidP="00000658">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F71030" w:rsidRPr="00F71030">
        <w:rPr>
          <w:rFonts w:ascii="Arial Narrow" w:hAnsi="Arial Narrow"/>
          <w:i/>
          <w:sz w:val="18"/>
          <w:szCs w:val="18"/>
        </w:rPr>
        <w:t>$30 million to &lt; $40 million</w:t>
      </w:r>
    </w:p>
    <w:p w14:paraId="5B88D8D5" w14:textId="746227A5" w:rsidR="00000658" w:rsidRDefault="00000658" w:rsidP="00000658">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906DE0" w:rsidRPr="00906DE0">
        <w:rPr>
          <w:rFonts w:ascii="Arial Narrow" w:hAnsi="Arial Narrow"/>
          <w:i/>
          <w:sz w:val="18"/>
          <w:szCs w:val="18"/>
        </w:rPr>
        <w:t>$200 million to &lt; $300 million</w:t>
      </w:r>
    </w:p>
    <w:p w14:paraId="7925FCE1" w14:textId="5467A0E2" w:rsidR="00000658" w:rsidRPr="00000658" w:rsidRDefault="00000658" w:rsidP="00000658">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net cost saving</w:t>
      </w:r>
    </w:p>
    <w:p w14:paraId="4D2627EC" w14:textId="77777777" w:rsidR="002C1266" w:rsidRPr="0098262F" w:rsidRDefault="002C1266" w:rsidP="002C1266">
      <w:pPr>
        <w:pStyle w:val="4-SubsectionHeading"/>
      </w:pPr>
      <w:bookmarkStart w:id="82" w:name="_Toc22897648"/>
      <w:bookmarkStart w:id="83" w:name="_Toc193290754"/>
      <w:r w:rsidRPr="0098262F">
        <w:t>Quality Use of Medicines</w:t>
      </w:r>
      <w:bookmarkEnd w:id="82"/>
      <w:bookmarkEnd w:id="83"/>
    </w:p>
    <w:p w14:paraId="4BD6765B" w14:textId="4022A2C3" w:rsidR="002C1266" w:rsidRPr="00613221" w:rsidRDefault="002C1266" w:rsidP="2BCE08C6">
      <w:pPr>
        <w:pStyle w:val="3-BodyText"/>
        <w:rPr>
          <w:color w:val="0066FF"/>
        </w:rPr>
      </w:pPr>
      <w:r w:rsidRPr="2BCE08C6">
        <w:t xml:space="preserve">The submission noted that omalizumab is approved for subcutaneous administration in this indication, </w:t>
      </w:r>
      <w:r w:rsidR="00EA1DFE">
        <w:t xml:space="preserve">and that </w:t>
      </w:r>
      <w:r w:rsidRPr="2BCE08C6">
        <w:t xml:space="preserve">patients with CRSwNP </w:t>
      </w:r>
      <w:r w:rsidR="00311E62" w:rsidRPr="2BCE08C6">
        <w:t>w</w:t>
      </w:r>
      <w:r w:rsidR="00311E62">
        <w:t>ould</w:t>
      </w:r>
      <w:r w:rsidR="00311E62" w:rsidRPr="2BCE08C6">
        <w:t xml:space="preserve"> </w:t>
      </w:r>
      <w:r w:rsidRPr="2BCE08C6">
        <w:t>self-administer omalizumab in the home</w:t>
      </w:r>
      <w:r w:rsidRPr="2BCE08C6" w:rsidDel="0008791B">
        <w:t>.</w:t>
      </w:r>
      <w:r w:rsidRPr="2BCE08C6">
        <w:t xml:space="preserve"> The cost minimisation approach </w:t>
      </w:r>
      <w:r w:rsidR="00A05E7C">
        <w:t>wa</w:t>
      </w:r>
      <w:r w:rsidRPr="2BCE08C6">
        <w:t xml:space="preserve">s, therefore, based on drug acquisition costs only. Administration costs </w:t>
      </w:r>
      <w:r w:rsidR="00F62648">
        <w:t>for</w:t>
      </w:r>
      <w:r w:rsidR="00E21D28">
        <w:t xml:space="preserve"> </w:t>
      </w:r>
      <w:r w:rsidR="00F62648">
        <w:t>init</w:t>
      </w:r>
      <w:r w:rsidR="00C210B1">
        <w:t>i</w:t>
      </w:r>
      <w:r w:rsidR="00F62648">
        <w:t>al administration and monitoring for anaphylaxis we</w:t>
      </w:r>
      <w:r w:rsidRPr="2BCE08C6">
        <w:t xml:space="preserve">re not considered relevant by the submission. </w:t>
      </w:r>
      <w:r w:rsidRPr="00613221">
        <w:t>Th</w:t>
      </w:r>
      <w:r w:rsidR="00861102">
        <w:t>e</w:t>
      </w:r>
      <w:r w:rsidRPr="00613221">
        <w:t xml:space="preserve"> </w:t>
      </w:r>
      <w:r w:rsidR="00861102">
        <w:t>ESC did</w:t>
      </w:r>
      <w:r w:rsidRPr="00613221">
        <w:t xml:space="preserve"> not </w:t>
      </w:r>
      <w:r w:rsidR="00861102">
        <w:t>consider this was</w:t>
      </w:r>
      <w:r w:rsidRPr="00613221">
        <w:t xml:space="preserve"> reasonable for reasons discussed in para </w:t>
      </w:r>
      <w:r w:rsidR="00E21D28">
        <w:fldChar w:fldCharType="begin"/>
      </w:r>
      <w:r w:rsidR="00E21D28">
        <w:instrText xml:space="preserve"> REF _Ref192843252 \r \h </w:instrText>
      </w:r>
      <w:r w:rsidR="00E21D28">
        <w:fldChar w:fldCharType="separate"/>
      </w:r>
      <w:r w:rsidR="00CE52BF">
        <w:t>6.72</w:t>
      </w:r>
      <w:r w:rsidR="00E21D28">
        <w:fldChar w:fldCharType="end"/>
      </w:r>
      <w:r w:rsidRPr="00613221">
        <w:t xml:space="preserve">. </w:t>
      </w:r>
    </w:p>
    <w:p w14:paraId="6679B0FC" w14:textId="4643A07A" w:rsidR="00822DCA" w:rsidRPr="00613221" w:rsidRDefault="00C90769" w:rsidP="2BCE08C6">
      <w:pPr>
        <w:pStyle w:val="3-BodyText"/>
        <w:rPr>
          <w:color w:val="0066FF"/>
        </w:rPr>
      </w:pPr>
      <w:r w:rsidRPr="00613221">
        <w:t xml:space="preserve">Although </w:t>
      </w:r>
      <w:r w:rsidR="00F8363E" w:rsidRPr="00613221">
        <w:t xml:space="preserve">treatment with </w:t>
      </w:r>
      <w:r w:rsidRPr="00613221">
        <w:t>omalizumab</w:t>
      </w:r>
      <w:r w:rsidR="00A575E1" w:rsidRPr="00613221">
        <w:t xml:space="preserve"> may be </w:t>
      </w:r>
      <w:r w:rsidR="004F6723" w:rsidRPr="00613221">
        <w:t xml:space="preserve">familiar to healthcare professionals as it </w:t>
      </w:r>
      <w:r w:rsidR="00E21D28">
        <w:t>wa</w:t>
      </w:r>
      <w:r w:rsidR="004F6723" w:rsidRPr="00613221">
        <w:t xml:space="preserve">s </w:t>
      </w:r>
      <w:r w:rsidRPr="00613221">
        <w:t xml:space="preserve">currently listed on the PBS for </w:t>
      </w:r>
      <w:r w:rsidR="004F6723" w:rsidRPr="00613221">
        <w:t>other indications (</w:t>
      </w:r>
      <w:r w:rsidRPr="00613221">
        <w:t>chronic spontaneous urticaria</w:t>
      </w:r>
      <w:r w:rsidR="004F6723" w:rsidRPr="00613221">
        <w:t xml:space="preserve"> and</w:t>
      </w:r>
      <w:r w:rsidRPr="00613221">
        <w:t xml:space="preserve"> allergic asthma</w:t>
      </w:r>
      <w:r w:rsidR="004F6723" w:rsidRPr="00613221">
        <w:t xml:space="preserve">), </w:t>
      </w:r>
      <w:r w:rsidR="0099168B" w:rsidRPr="00613221">
        <w:t>there may be a need for</w:t>
      </w:r>
      <w:r w:rsidR="004B5755" w:rsidRPr="00613221">
        <w:t xml:space="preserve"> training of clinical teams on the optimal </w:t>
      </w:r>
      <w:r w:rsidR="008931B7" w:rsidRPr="00613221">
        <w:t xml:space="preserve">choice of treatment and </w:t>
      </w:r>
      <w:r w:rsidR="004B5755" w:rsidRPr="00613221">
        <w:t xml:space="preserve">use of </w:t>
      </w:r>
      <w:r w:rsidR="00475859" w:rsidRPr="00613221">
        <w:t>omalizumab</w:t>
      </w:r>
      <w:r w:rsidR="00F8363E" w:rsidRPr="00613221">
        <w:t xml:space="preserve"> for CRSwNP</w:t>
      </w:r>
      <w:r w:rsidR="0031501B" w:rsidRPr="00613221">
        <w:t xml:space="preserve"> </w:t>
      </w:r>
      <w:r w:rsidR="008A3EB6" w:rsidRPr="00613221">
        <w:t xml:space="preserve">given the proposed </w:t>
      </w:r>
      <w:r w:rsidR="00F8363E" w:rsidRPr="00613221">
        <w:t xml:space="preserve">change in clinical criteria </w:t>
      </w:r>
      <w:r w:rsidR="00884A10" w:rsidRPr="00613221">
        <w:t xml:space="preserve">and </w:t>
      </w:r>
      <w:r w:rsidR="000507D0" w:rsidRPr="00613221">
        <w:t>the recent updates to</w:t>
      </w:r>
      <w:r w:rsidR="00884A10" w:rsidRPr="00613221">
        <w:t xml:space="preserve"> clinical</w:t>
      </w:r>
      <w:r w:rsidR="0011663A" w:rsidRPr="00613221">
        <w:t xml:space="preserve"> guidelines</w:t>
      </w:r>
      <w:r w:rsidR="000507D0" w:rsidRPr="00613221">
        <w:t xml:space="preserve">. </w:t>
      </w:r>
      <w:r w:rsidR="008871B3" w:rsidRPr="00613221">
        <w:t xml:space="preserve">It was noted that </w:t>
      </w:r>
      <w:r w:rsidR="007D2956" w:rsidRPr="00613221">
        <w:t xml:space="preserve">the sponsor of mepolizumab planned </w:t>
      </w:r>
      <w:r w:rsidR="002D4BE2" w:rsidRPr="00613221">
        <w:t xml:space="preserve">to offer an educational program </w:t>
      </w:r>
      <w:r w:rsidR="00143E91" w:rsidRPr="00613221">
        <w:t xml:space="preserve">(meetings, nurse support programs and patient resources) </w:t>
      </w:r>
      <w:r w:rsidR="002D4BE2" w:rsidRPr="00613221">
        <w:t xml:space="preserve">on CRSwNP </w:t>
      </w:r>
      <w:r w:rsidR="009B505F" w:rsidRPr="00613221">
        <w:t xml:space="preserve">on how to use </w:t>
      </w:r>
      <w:r w:rsidR="001B4269" w:rsidRPr="00613221">
        <w:t>the pre-filled pen and who is an appropriate candidate for treatment</w:t>
      </w:r>
      <w:r w:rsidR="00143E91" w:rsidRPr="00613221">
        <w:t xml:space="preserve"> (</w:t>
      </w:r>
      <w:r w:rsidR="00DC084F" w:rsidRPr="00613221">
        <w:t xml:space="preserve">para </w:t>
      </w:r>
      <w:r w:rsidR="00C46D78" w:rsidRPr="00613221">
        <w:t xml:space="preserve">6.64, mepolizumab, </w:t>
      </w:r>
      <w:r w:rsidR="005B6874" w:rsidRPr="00613221">
        <w:t xml:space="preserve">PSD, </w:t>
      </w:r>
      <w:r w:rsidR="00764BF3" w:rsidRPr="00613221">
        <w:t>November 2022</w:t>
      </w:r>
      <w:r w:rsidR="00295917" w:rsidRPr="00613221">
        <w:t xml:space="preserve"> PBAC meeting</w:t>
      </w:r>
      <w:r w:rsidR="00936AD8" w:rsidRPr="00613221">
        <w:t>)</w:t>
      </w:r>
      <w:r w:rsidR="00451778" w:rsidRPr="00613221">
        <w:t xml:space="preserve">. </w:t>
      </w:r>
    </w:p>
    <w:p w14:paraId="7D8750EE" w14:textId="77777777" w:rsidR="002C1266" w:rsidRPr="0098262F" w:rsidRDefault="002C1266" w:rsidP="002C1266">
      <w:pPr>
        <w:pStyle w:val="4-SubsectionHeading"/>
      </w:pPr>
      <w:bookmarkStart w:id="84" w:name="_Toc22897649"/>
      <w:bookmarkStart w:id="85" w:name="_Toc193290755"/>
      <w:r w:rsidRPr="0098262F">
        <w:t>Financial Management – Risk Sharing Arrangements</w:t>
      </w:r>
      <w:bookmarkEnd w:id="84"/>
      <w:bookmarkEnd w:id="85"/>
    </w:p>
    <w:p w14:paraId="5466B049" w14:textId="4E4FBBAC" w:rsidR="004806A8" w:rsidRDefault="002C1266" w:rsidP="002C1266">
      <w:pPr>
        <w:pStyle w:val="3-BodyText"/>
      </w:pPr>
      <w:bookmarkStart w:id="86" w:name="_Ref192772800"/>
      <w:r w:rsidRPr="2BCE08C6">
        <w:t xml:space="preserve">The PBAC’s recommendation for listing of mepolizumab was based on, among other matters, its assessment that the cost-effectiveness of mepolizumab would be acceptable at the price proposed in the pre-PBAC response, and with </w:t>
      </w:r>
      <w:proofErr w:type="gramStart"/>
      <w:r w:rsidRPr="2BCE08C6">
        <w:t>a</w:t>
      </w:r>
      <w:proofErr w:type="gramEnd"/>
      <w:r w:rsidRPr="2BCE08C6">
        <w:t xml:space="preserve"> RSA to address the uncertainty associated with including patients unsuitable for surgery in the proposed PBS population (para 7.2, mepolizumab, PSD, November 2022 PBAC </w:t>
      </w:r>
      <w:r w:rsidRPr="2BCE08C6">
        <w:lastRenderedPageBreak/>
        <w:t xml:space="preserve">meeting). The PBAC considered financial caps set at the level of the revised financial estimates and a </w:t>
      </w:r>
      <w:r w:rsidR="007F3646" w:rsidRPr="000704B3">
        <w:rPr>
          <w:color w:val="000000"/>
          <w:w w:val="60"/>
          <w:shd w:val="solid" w:color="000000" w:fill="000000"/>
          <w:fitText w:val="470" w:id="-663525362"/>
          <w14:textFill>
            <w14:solidFill>
              <w14:srgbClr w14:val="000000">
                <w14:alpha w14:val="100000"/>
              </w14:srgbClr>
            </w14:solidFill>
          </w14:textFill>
        </w:rPr>
        <w:t>|||  ||</w:t>
      </w:r>
      <w:r w:rsidR="007F3646" w:rsidRPr="000704B3">
        <w:rPr>
          <w:color w:val="000000"/>
          <w:spacing w:val="6"/>
          <w:w w:val="60"/>
          <w:shd w:val="solid" w:color="000000" w:fill="000000"/>
          <w:fitText w:val="470" w:id="-663525362"/>
          <w14:textFill>
            <w14:solidFill>
              <w14:srgbClr w14:val="000000">
                <w14:alpha w14:val="100000"/>
              </w14:srgbClr>
            </w14:solidFill>
          </w14:textFill>
        </w:rPr>
        <w:t>|</w:t>
      </w:r>
      <w:r w:rsidRPr="2BCE08C6">
        <w:t>% rebate for any use above the caps would be appropriate (para 7.10, mepolizumab, PSD, November 2022 PBAC meeting).</w:t>
      </w:r>
      <w:bookmarkEnd w:id="86"/>
      <w:r w:rsidRPr="2BCE08C6">
        <w:t xml:space="preserve"> </w:t>
      </w:r>
    </w:p>
    <w:p w14:paraId="4B38AC6D" w14:textId="3B7274DD" w:rsidR="002C1266" w:rsidRDefault="002C1266" w:rsidP="002C1266">
      <w:pPr>
        <w:pStyle w:val="3-BodyText"/>
      </w:pPr>
      <w:r w:rsidRPr="2BCE08C6">
        <w:t>The submission requested upward adjustments to the cap amounts if omalizumab were to enter the same RSA, to account for the expanded access for the BEC &lt;300</w:t>
      </w:r>
      <w:r w:rsidR="00906DE0">
        <w:t> </w:t>
      </w:r>
      <w:r w:rsidRPr="2BCE08C6">
        <w:t>cells/µL and IgE ≥30 IU/m</w:t>
      </w:r>
      <w:r w:rsidR="00E824DF" w:rsidRPr="2BCE08C6">
        <w:t>L</w:t>
      </w:r>
      <w:r w:rsidRPr="2BCE08C6">
        <w:t xml:space="preserve"> population. </w:t>
      </w:r>
    </w:p>
    <w:p w14:paraId="2B73EB4B" w14:textId="514EA5A6" w:rsidR="00192979" w:rsidRPr="004F25AD" w:rsidRDefault="00192979" w:rsidP="002C1266">
      <w:pPr>
        <w:pStyle w:val="3-BodyText"/>
      </w:pPr>
      <w:bookmarkStart w:id="87" w:name="_Ref198460266"/>
      <w:r>
        <w:t xml:space="preserve">The PBAC noted that the recommendation </w:t>
      </w:r>
      <w:r w:rsidR="00BF2373">
        <w:t xml:space="preserve">at the </w:t>
      </w:r>
      <w:r w:rsidR="00550F18">
        <w:t>M</w:t>
      </w:r>
      <w:r w:rsidR="00BF2373">
        <w:t xml:space="preserve">arch 2025 meeting </w:t>
      </w:r>
      <w:r w:rsidR="00C210B1">
        <w:t xml:space="preserve">to list </w:t>
      </w:r>
      <w:r w:rsidR="00A37FED">
        <w:t xml:space="preserve">a </w:t>
      </w:r>
      <w:r w:rsidR="00C210B1">
        <w:t xml:space="preserve">biosimilar </w:t>
      </w:r>
      <w:r w:rsidR="00A37FED">
        <w:t>brand of</w:t>
      </w:r>
      <w:r w:rsidR="00C210B1">
        <w:t xml:space="preserve"> omalizumab </w:t>
      </w:r>
      <w:r w:rsidR="00A37FED">
        <w:t xml:space="preserve">may </w:t>
      </w:r>
      <w:r>
        <w:t xml:space="preserve">result </w:t>
      </w:r>
      <w:r w:rsidR="00BF2373">
        <w:t>in</w:t>
      </w:r>
      <w:r>
        <w:t xml:space="preserve"> </w:t>
      </w:r>
      <w:r w:rsidR="00D278F9">
        <w:t xml:space="preserve">multiple </w:t>
      </w:r>
      <w:r w:rsidR="00295E18">
        <w:t>brands/</w:t>
      </w:r>
      <w:r w:rsidR="004505F2">
        <w:t>sponsors</w:t>
      </w:r>
      <w:r w:rsidR="00D278F9">
        <w:t xml:space="preserve"> f</w:t>
      </w:r>
      <w:r w:rsidR="004505F2">
        <w:t>or</w:t>
      </w:r>
      <w:r w:rsidR="00D278F9">
        <w:t xml:space="preserve"> the </w:t>
      </w:r>
      <w:r w:rsidR="004505F2">
        <w:t xml:space="preserve">same </w:t>
      </w:r>
      <w:r w:rsidR="00D278F9">
        <w:t>drug</w:t>
      </w:r>
      <w:r w:rsidR="004505F2">
        <w:t xml:space="preserve"> on the PBS</w:t>
      </w:r>
      <w:r w:rsidR="00D278F9">
        <w:t>, which</w:t>
      </w:r>
      <w:r w:rsidR="00BF2373">
        <w:t xml:space="preserve"> </w:t>
      </w:r>
      <w:r w:rsidR="00295E18">
        <w:t xml:space="preserve">could </w:t>
      </w:r>
      <w:r w:rsidR="00BF2373">
        <w:t>i</w:t>
      </w:r>
      <w:r>
        <w:t>mpact th</w:t>
      </w:r>
      <w:r w:rsidR="00D278F9">
        <w:t>e feasibility of</w:t>
      </w:r>
      <w:r w:rsidR="004505F2">
        <w:t xml:space="preserve"> omalizumab</w:t>
      </w:r>
      <w:r w:rsidR="00D278F9">
        <w:t xml:space="preserve"> joining the mepolizumab RSA.</w:t>
      </w:r>
      <w:bookmarkEnd w:id="87"/>
    </w:p>
    <w:p w14:paraId="6DDE9448" w14:textId="502BA707" w:rsidR="002C1266" w:rsidRDefault="00A86BDF" w:rsidP="00906DE0">
      <w:pPr>
        <w:pStyle w:val="3-BodyText"/>
        <w:numPr>
          <w:ilvl w:val="0"/>
          <w:numId w:val="0"/>
        </w:numPr>
        <w:ind w:left="720"/>
        <w:rPr>
          <w:i/>
        </w:rPr>
      </w:pPr>
      <w:r w:rsidRPr="00EB0109">
        <w:rPr>
          <w:i/>
          <w:iCs/>
        </w:rPr>
        <w:t>For more detail on PBAC’s view, see section 7 PBAC outcome.</w:t>
      </w:r>
    </w:p>
    <w:p w14:paraId="23F5B4F9" w14:textId="77777777" w:rsidR="00B23BDA" w:rsidRPr="0090150D" w:rsidRDefault="00B23BDA" w:rsidP="00D6799E">
      <w:pPr>
        <w:pStyle w:val="2-SectionHeading"/>
        <w:numPr>
          <w:ilvl w:val="0"/>
          <w:numId w:val="1"/>
        </w:numPr>
      </w:pPr>
      <w:bookmarkStart w:id="88" w:name="_Hlk76381249"/>
      <w:bookmarkStart w:id="89" w:name="_Hlk76377955"/>
      <w:r w:rsidRPr="0090150D">
        <w:t>PBAC Outcome</w:t>
      </w:r>
    </w:p>
    <w:p w14:paraId="2702FEB9" w14:textId="41898A38" w:rsidR="00F70B40" w:rsidRPr="00F70B40" w:rsidRDefault="00B23BDA" w:rsidP="002E3335">
      <w:pPr>
        <w:pStyle w:val="3-BodyText"/>
        <w:rPr>
          <w:lang w:eastAsia="en-US"/>
        </w:rPr>
      </w:pPr>
      <w:r w:rsidRPr="0026443B">
        <w:t xml:space="preserve">The PBAC recommended the </w:t>
      </w:r>
      <w:r w:rsidR="006B258C">
        <w:t xml:space="preserve">Authority Required </w:t>
      </w:r>
      <w:r w:rsidRPr="0026443B">
        <w:t xml:space="preserve">listing of </w:t>
      </w:r>
      <w:r w:rsidR="00B014C5" w:rsidRPr="00DA2C63">
        <w:t>omali</w:t>
      </w:r>
      <w:r w:rsidR="00014897" w:rsidRPr="00DA2C63">
        <w:t>z</w:t>
      </w:r>
      <w:r w:rsidR="00B014C5" w:rsidRPr="00DA2C63">
        <w:t>umab</w:t>
      </w:r>
      <w:r w:rsidR="00CC37A1" w:rsidRPr="00DA2C63">
        <w:t xml:space="preserve"> </w:t>
      </w:r>
      <w:r w:rsidR="00DA2C63" w:rsidRPr="00DA2C63">
        <w:t>for the treatment of chronic rhinosinusitis with nasal polyps (CRSwNP)</w:t>
      </w:r>
      <w:r w:rsidRPr="0026443B">
        <w:t>, on the basis that it should be available only under</w:t>
      </w:r>
      <w:r w:rsidRPr="00FD057D">
        <w:rPr>
          <w:snapToGrid w:val="0"/>
          <w:lang w:eastAsia="en-US"/>
        </w:rPr>
        <w:t xml:space="preserve"> special arrangements under Section 100</w:t>
      </w:r>
      <w:r w:rsidR="00F25A70">
        <w:rPr>
          <w:snapToGrid w:val="0"/>
          <w:lang w:eastAsia="en-US"/>
        </w:rPr>
        <w:t xml:space="preserve"> </w:t>
      </w:r>
      <w:r w:rsidR="004C3F9A">
        <w:rPr>
          <w:lang w:eastAsia="en-US"/>
        </w:rPr>
        <w:t>H</w:t>
      </w:r>
      <w:r w:rsidR="00F25A70">
        <w:rPr>
          <w:lang w:eastAsia="en-US"/>
        </w:rPr>
        <w:t xml:space="preserve">ighly </w:t>
      </w:r>
      <w:r w:rsidR="004C3F9A">
        <w:rPr>
          <w:lang w:eastAsia="en-US"/>
        </w:rPr>
        <w:t>S</w:t>
      </w:r>
      <w:r w:rsidR="00F25A70">
        <w:rPr>
          <w:lang w:eastAsia="en-US"/>
        </w:rPr>
        <w:t>pecialised Drug Program (HSD)</w:t>
      </w:r>
      <w:r w:rsidRPr="00FD057D">
        <w:rPr>
          <w:snapToGrid w:val="0"/>
          <w:lang w:eastAsia="en-US"/>
        </w:rPr>
        <w:t xml:space="preserve">. The PBAC </w:t>
      </w:r>
      <w:r w:rsidR="0029090B">
        <w:rPr>
          <w:snapToGrid w:val="0"/>
          <w:lang w:eastAsia="en-US"/>
        </w:rPr>
        <w:t xml:space="preserve">considered that </w:t>
      </w:r>
      <w:r w:rsidR="00B8689D">
        <w:rPr>
          <w:snapToGrid w:val="0"/>
          <w:lang w:eastAsia="en-US"/>
        </w:rPr>
        <w:t xml:space="preserve">access to </w:t>
      </w:r>
      <w:r w:rsidR="00F427B3">
        <w:rPr>
          <w:snapToGrid w:val="0"/>
          <w:lang w:eastAsia="en-US"/>
        </w:rPr>
        <w:t>omalizumab</w:t>
      </w:r>
      <w:r w:rsidR="00B8689D">
        <w:rPr>
          <w:snapToGrid w:val="0"/>
          <w:lang w:eastAsia="en-US"/>
        </w:rPr>
        <w:t xml:space="preserve"> should be broadly in line with mepolizumab</w:t>
      </w:r>
      <w:r w:rsidR="0029090B">
        <w:rPr>
          <w:snapToGrid w:val="0"/>
          <w:lang w:eastAsia="en-US"/>
        </w:rPr>
        <w:t xml:space="preserve"> </w:t>
      </w:r>
      <w:r w:rsidR="00B8689D" w:rsidRPr="2BCE08C6">
        <w:t xml:space="preserve">for the treatment of CRSwNP, except for the removal of the blood eosinophilic count (BEC) threshold and </w:t>
      </w:r>
      <w:r w:rsidR="002D64F1">
        <w:t xml:space="preserve">the </w:t>
      </w:r>
      <w:r w:rsidR="00B8689D" w:rsidRPr="2BCE08C6">
        <w:t xml:space="preserve">addition of </w:t>
      </w:r>
      <w:r w:rsidR="00F575D9">
        <w:t>immuno</w:t>
      </w:r>
      <w:r w:rsidR="00DD0742">
        <w:t>globulin E</w:t>
      </w:r>
      <w:r w:rsidR="00B8689D" w:rsidRPr="2BCE08C6">
        <w:t xml:space="preserve"> </w:t>
      </w:r>
      <w:r w:rsidR="00DD0742">
        <w:t>(</w:t>
      </w:r>
      <w:r w:rsidR="00B8689D" w:rsidRPr="2BCE08C6">
        <w:t>IgE</w:t>
      </w:r>
      <w:r w:rsidR="00DD0742">
        <w:t>)</w:t>
      </w:r>
      <w:r w:rsidR="00B8689D" w:rsidRPr="2BCE08C6">
        <w:t xml:space="preserve"> levels ≥30 IU/mL</w:t>
      </w:r>
      <w:r w:rsidR="00DD0742">
        <w:t>,</w:t>
      </w:r>
      <w:r w:rsidR="002E3335">
        <w:t xml:space="preserve"> to reflect </w:t>
      </w:r>
      <w:r w:rsidR="003A3C20">
        <w:t>omalizumab’s</w:t>
      </w:r>
      <w:r w:rsidR="002E3335">
        <w:t xml:space="preserve"> different mechanism of action. </w:t>
      </w:r>
      <w:r w:rsidR="00E750B2" w:rsidRPr="00B8689D">
        <w:rPr>
          <w:snapToGrid w:val="0"/>
          <w:lang w:eastAsia="en-US"/>
        </w:rPr>
        <w:t xml:space="preserve">The PBAC’s recommendation for listing was based on, among other matters, its assessment that the cost-effectiveness of omalizumab would be acceptable if it were cost minimised to mepolizumab. </w:t>
      </w:r>
    </w:p>
    <w:p w14:paraId="0A22755F" w14:textId="5C4F55C2" w:rsidR="00E91B0A" w:rsidRPr="00E91B0A" w:rsidRDefault="0019730A" w:rsidP="0019730A">
      <w:pPr>
        <w:pStyle w:val="3-BodyText"/>
        <w:rPr>
          <w:bCs/>
        </w:rPr>
      </w:pPr>
      <w:r w:rsidRPr="0019730A">
        <w:rPr>
          <w:bCs/>
          <w:lang w:val="en-GB"/>
        </w:rPr>
        <w:t>The PBAC considered the equi-effective doses were</w:t>
      </w:r>
      <w:r w:rsidR="00E91B0A">
        <w:rPr>
          <w:bCs/>
          <w:lang w:val="en-GB"/>
        </w:rPr>
        <w:t>:</w:t>
      </w:r>
    </w:p>
    <w:p w14:paraId="56A81E40" w14:textId="1DBC53BE" w:rsidR="0019730A" w:rsidRPr="00300860" w:rsidRDefault="0019730A" w:rsidP="00610572">
      <w:pPr>
        <w:pStyle w:val="Bulletpoints"/>
        <w:jc w:val="both"/>
        <w:rPr>
          <w:rFonts w:eastAsiaTheme="minorHAnsi"/>
        </w:rPr>
      </w:pPr>
      <w:r w:rsidRPr="00300860">
        <w:rPr>
          <w:rFonts w:eastAsiaTheme="minorHAnsi"/>
          <w:lang w:val="en-GB"/>
        </w:rPr>
        <w:t xml:space="preserve">omalizumab </w:t>
      </w:r>
      <w:r w:rsidR="00E72CDB" w:rsidRPr="00300860">
        <w:rPr>
          <w:rFonts w:eastAsiaTheme="minorHAnsi"/>
          <w:lang w:val="en-GB"/>
        </w:rPr>
        <w:t>346</w:t>
      </w:r>
      <w:r w:rsidR="00300860" w:rsidRPr="00300860">
        <w:rPr>
          <w:rFonts w:eastAsiaTheme="minorHAnsi"/>
          <w:lang w:val="en-GB"/>
        </w:rPr>
        <w:t>.67</w:t>
      </w:r>
      <w:r w:rsidRPr="00300860">
        <w:rPr>
          <w:rFonts w:eastAsiaTheme="minorHAnsi"/>
          <w:lang w:val="en-GB"/>
        </w:rPr>
        <w:t xml:space="preserve"> mg every 4 weeks</w:t>
      </w:r>
      <w:r w:rsidR="00E14C5D">
        <w:rPr>
          <w:rFonts w:eastAsiaTheme="minorHAnsi"/>
          <w:lang w:val="en-GB"/>
        </w:rPr>
        <w:t xml:space="preserve"> is equivalent to</w:t>
      </w:r>
      <w:r w:rsidR="0040048A" w:rsidRPr="00300860">
        <w:rPr>
          <w:rFonts w:eastAsiaTheme="minorHAnsi"/>
          <w:lang w:val="en-GB"/>
        </w:rPr>
        <w:t xml:space="preserve"> </w:t>
      </w:r>
      <w:r w:rsidRPr="00300860">
        <w:rPr>
          <w:rFonts w:eastAsiaTheme="minorHAnsi"/>
          <w:lang w:val="en-GB"/>
        </w:rPr>
        <w:t>mepolizumab 100 mg every 4 weeks</w:t>
      </w:r>
      <w:r w:rsidR="00E14C5D">
        <w:rPr>
          <w:rFonts w:eastAsiaTheme="minorHAnsi"/>
          <w:lang w:val="en-GB"/>
        </w:rPr>
        <w:t>.</w:t>
      </w:r>
    </w:p>
    <w:p w14:paraId="31D47A8F" w14:textId="66E6A7D8" w:rsidR="00B23BDA" w:rsidRPr="0032224C" w:rsidRDefault="0015509A" w:rsidP="00694B6F">
      <w:pPr>
        <w:pStyle w:val="3-BodyText"/>
        <w:rPr>
          <w:lang w:val="en-GB"/>
        </w:rPr>
      </w:pPr>
      <w:r>
        <w:rPr>
          <w:lang w:val="en-GB"/>
        </w:rPr>
        <w:t xml:space="preserve">The PBAC </w:t>
      </w:r>
      <w:r w:rsidR="006D2CE8">
        <w:rPr>
          <w:lang w:val="en-GB"/>
        </w:rPr>
        <w:t>noted</w:t>
      </w:r>
      <w:r w:rsidR="007C3BC3">
        <w:rPr>
          <w:lang w:val="en-GB"/>
        </w:rPr>
        <w:t xml:space="preserve"> </w:t>
      </w:r>
      <w:r w:rsidR="004307A6">
        <w:rPr>
          <w:lang w:val="en-GB"/>
        </w:rPr>
        <w:t>support</w:t>
      </w:r>
      <w:r w:rsidR="00F011C3" w:rsidRPr="00DC5F51" w:rsidDel="0064724D">
        <w:rPr>
          <w:lang w:val="en-GB"/>
        </w:rPr>
        <w:t xml:space="preserve"> </w:t>
      </w:r>
      <w:r w:rsidR="00F011C3" w:rsidRPr="00DC5F51">
        <w:rPr>
          <w:lang w:val="en-GB"/>
        </w:rPr>
        <w:t xml:space="preserve">from individuals, health professionals and organisations </w:t>
      </w:r>
      <w:r w:rsidR="004307A6">
        <w:rPr>
          <w:lang w:val="en-GB"/>
        </w:rPr>
        <w:t xml:space="preserve">for </w:t>
      </w:r>
      <w:r w:rsidR="00D93A3C">
        <w:rPr>
          <w:lang w:val="en-GB"/>
        </w:rPr>
        <w:t>additional treatment options</w:t>
      </w:r>
      <w:r w:rsidR="00A1308F">
        <w:rPr>
          <w:lang w:val="en-GB"/>
        </w:rPr>
        <w:t xml:space="preserve"> for CR</w:t>
      </w:r>
      <w:r w:rsidR="00343CCB">
        <w:rPr>
          <w:lang w:val="en-GB"/>
        </w:rPr>
        <w:t>SwNP</w:t>
      </w:r>
      <w:r w:rsidR="00D93A3C">
        <w:rPr>
          <w:lang w:val="en-GB"/>
        </w:rPr>
        <w:t xml:space="preserve">, </w:t>
      </w:r>
      <w:r w:rsidR="0064724D">
        <w:rPr>
          <w:lang w:val="en-GB"/>
        </w:rPr>
        <w:t xml:space="preserve">with </w:t>
      </w:r>
      <w:r w:rsidR="00561925">
        <w:rPr>
          <w:lang w:val="en-GB"/>
        </w:rPr>
        <w:t>descri</w:t>
      </w:r>
      <w:r w:rsidR="0064724D">
        <w:rPr>
          <w:lang w:val="en-GB"/>
        </w:rPr>
        <w:t>ptions</w:t>
      </w:r>
      <w:r w:rsidR="00561925">
        <w:rPr>
          <w:lang w:val="en-GB"/>
        </w:rPr>
        <w:t xml:space="preserve"> </w:t>
      </w:r>
      <w:r w:rsidR="00343CCB">
        <w:rPr>
          <w:lang w:val="en-GB"/>
        </w:rPr>
        <w:t xml:space="preserve">of </w:t>
      </w:r>
      <w:r w:rsidR="00561925">
        <w:rPr>
          <w:lang w:val="en-GB"/>
        </w:rPr>
        <w:t xml:space="preserve">how </w:t>
      </w:r>
      <w:r w:rsidR="0032224C">
        <w:rPr>
          <w:lang w:val="en-GB"/>
        </w:rPr>
        <w:t xml:space="preserve">patients </w:t>
      </w:r>
      <w:r w:rsidR="00343CCB">
        <w:rPr>
          <w:lang w:val="en-GB"/>
        </w:rPr>
        <w:t xml:space="preserve">with the condition </w:t>
      </w:r>
      <w:r w:rsidR="00EF5F5E">
        <w:rPr>
          <w:rFonts w:cs="Arial"/>
          <w:bCs/>
          <w:snapToGrid w:val="0"/>
        </w:rPr>
        <w:t>feel like they have a flu or acute upper respiratory tract infection every day, leading to</w:t>
      </w:r>
      <w:r w:rsidR="00EF5F5E" w:rsidRPr="00B11F22">
        <w:rPr>
          <w:rFonts w:cs="Arial"/>
          <w:bCs/>
          <w:snapToGrid w:val="0"/>
        </w:rPr>
        <w:t xml:space="preserve"> impaired sleep, poor concentration and fatigue</w:t>
      </w:r>
      <w:r w:rsidR="000B544B">
        <w:rPr>
          <w:rFonts w:cs="Arial"/>
          <w:bCs/>
          <w:snapToGrid w:val="0"/>
        </w:rPr>
        <w:t xml:space="preserve"> and </w:t>
      </w:r>
      <w:r w:rsidR="000B544B">
        <w:rPr>
          <w:lang w:val="en-GB"/>
        </w:rPr>
        <w:t>that after</w:t>
      </w:r>
      <w:r w:rsidR="007119BD" w:rsidRPr="007119BD">
        <w:rPr>
          <w:lang w:val="en-GB"/>
        </w:rPr>
        <w:t xml:space="preserve"> years of differen</w:t>
      </w:r>
      <w:r w:rsidR="0032224C">
        <w:rPr>
          <w:lang w:val="en-GB"/>
        </w:rPr>
        <w:t>t treatments</w:t>
      </w:r>
      <w:r w:rsidR="00251384">
        <w:rPr>
          <w:lang w:val="en-GB"/>
        </w:rPr>
        <w:t>,</w:t>
      </w:r>
      <w:r w:rsidR="0032224C">
        <w:rPr>
          <w:lang w:val="en-GB"/>
        </w:rPr>
        <w:t xml:space="preserve"> </w:t>
      </w:r>
      <w:r w:rsidR="00561925">
        <w:rPr>
          <w:lang w:val="en-GB"/>
        </w:rPr>
        <w:t>nasal</w:t>
      </w:r>
      <w:r w:rsidR="0032224C" w:rsidRPr="0032224C">
        <w:rPr>
          <w:lang w:val="en-GB"/>
        </w:rPr>
        <w:t xml:space="preserve"> polyps </w:t>
      </w:r>
      <w:r w:rsidR="000B544B">
        <w:rPr>
          <w:lang w:val="en-GB"/>
        </w:rPr>
        <w:t xml:space="preserve">can </w:t>
      </w:r>
      <w:r w:rsidR="003B501F" w:rsidRPr="0032224C">
        <w:rPr>
          <w:lang w:val="en-GB"/>
        </w:rPr>
        <w:t>regrow,</w:t>
      </w:r>
      <w:r w:rsidR="0032224C" w:rsidRPr="0032224C">
        <w:rPr>
          <w:lang w:val="en-GB"/>
        </w:rPr>
        <w:t xml:space="preserve"> and symptoms recur</w:t>
      </w:r>
      <w:r w:rsidR="00BE5EB0">
        <w:rPr>
          <w:lang w:val="en-GB"/>
        </w:rPr>
        <w:t xml:space="preserve">. </w:t>
      </w:r>
      <w:r w:rsidR="00E50033" w:rsidRPr="00FD3FB4">
        <w:rPr>
          <w:lang w:val="en-GB"/>
        </w:rPr>
        <w:t xml:space="preserve">The PBAC </w:t>
      </w:r>
      <w:r w:rsidR="00EF5F5E" w:rsidRPr="00FD3FB4">
        <w:rPr>
          <w:lang w:val="en-GB"/>
        </w:rPr>
        <w:t xml:space="preserve">noted </w:t>
      </w:r>
      <w:r w:rsidR="00EB5999" w:rsidRPr="00FD3FB4">
        <w:t>Allergy &amp; Anaphylaxis Australia and the National Allergy Council</w:t>
      </w:r>
      <w:r w:rsidR="00EB5999" w:rsidRPr="00FD3FB4">
        <w:rPr>
          <w:lang w:val="en-GB"/>
        </w:rPr>
        <w:t xml:space="preserve"> </w:t>
      </w:r>
      <w:r w:rsidR="00E52293" w:rsidRPr="00FD3FB4">
        <w:rPr>
          <w:lang w:val="en-GB"/>
        </w:rPr>
        <w:t xml:space="preserve">described how </w:t>
      </w:r>
      <w:r w:rsidR="00FE4739" w:rsidRPr="00FD3FB4">
        <w:rPr>
          <w:lang w:val="en-GB"/>
        </w:rPr>
        <w:t xml:space="preserve">CRSwNP was </w:t>
      </w:r>
      <w:r w:rsidR="002D3E47" w:rsidRPr="00FD3FB4">
        <w:rPr>
          <w:lang w:val="en-GB"/>
        </w:rPr>
        <w:t>associated with allergic conditions</w:t>
      </w:r>
      <w:r w:rsidR="000F6692" w:rsidRPr="00FD3FB4">
        <w:rPr>
          <w:lang w:val="en-GB"/>
        </w:rPr>
        <w:t xml:space="preserve"> </w:t>
      </w:r>
      <w:r w:rsidR="002D3E47" w:rsidRPr="00FD3FB4">
        <w:rPr>
          <w:lang w:val="en-GB"/>
        </w:rPr>
        <w:t xml:space="preserve">and </w:t>
      </w:r>
      <w:r w:rsidR="00D85800" w:rsidRPr="00FD3FB4">
        <w:rPr>
          <w:lang w:val="en-GB"/>
        </w:rPr>
        <w:t xml:space="preserve">patients </w:t>
      </w:r>
      <w:r w:rsidR="00FC3C9F" w:rsidRPr="00FD3FB4">
        <w:rPr>
          <w:lang w:val="en-GB"/>
        </w:rPr>
        <w:t xml:space="preserve">are </w:t>
      </w:r>
      <w:r w:rsidR="00D85800" w:rsidRPr="00FD3FB4">
        <w:rPr>
          <w:lang w:val="en-GB"/>
        </w:rPr>
        <w:t xml:space="preserve">being </w:t>
      </w:r>
      <w:r w:rsidR="00FC4D12" w:rsidRPr="00FD3FB4">
        <w:rPr>
          <w:lang w:val="en-GB"/>
        </w:rPr>
        <w:t xml:space="preserve">treated </w:t>
      </w:r>
      <w:r w:rsidR="00A153EA" w:rsidRPr="00FD3FB4">
        <w:rPr>
          <w:lang w:val="en-GB"/>
        </w:rPr>
        <w:t xml:space="preserve">by </w:t>
      </w:r>
      <w:r w:rsidR="002221CB" w:rsidRPr="00FD3FB4">
        <w:rPr>
          <w:lang w:val="en-GB"/>
        </w:rPr>
        <w:t>a</w:t>
      </w:r>
      <w:r w:rsidR="00D24C3C" w:rsidRPr="00FD3FB4">
        <w:rPr>
          <w:lang w:val="en-GB"/>
        </w:rPr>
        <w:t xml:space="preserve"> range of</w:t>
      </w:r>
      <w:r w:rsidR="007D3F37" w:rsidRPr="00FD3FB4">
        <w:rPr>
          <w:lang w:val="en-GB"/>
        </w:rPr>
        <w:t xml:space="preserve"> </w:t>
      </w:r>
      <w:r w:rsidR="00D34C8E" w:rsidRPr="00FD3FB4">
        <w:rPr>
          <w:lang w:val="en-GB"/>
        </w:rPr>
        <w:t>specialist physicians</w:t>
      </w:r>
      <w:r w:rsidR="00EB7BE0" w:rsidRPr="00FD3FB4">
        <w:rPr>
          <w:lang w:val="en-GB"/>
        </w:rPr>
        <w:t xml:space="preserve">, </w:t>
      </w:r>
      <w:r w:rsidR="00D24C3C" w:rsidRPr="00FD3FB4">
        <w:rPr>
          <w:lang w:val="en-GB"/>
        </w:rPr>
        <w:t>including</w:t>
      </w:r>
      <w:r w:rsidR="00EB7BE0" w:rsidRPr="00FD3FB4">
        <w:rPr>
          <w:lang w:val="en-GB"/>
        </w:rPr>
        <w:t xml:space="preserve"> Ear, Nose and Throat</w:t>
      </w:r>
      <w:r w:rsidR="00666251" w:rsidRPr="00FD3FB4">
        <w:rPr>
          <w:lang w:val="en-GB"/>
        </w:rPr>
        <w:t xml:space="preserve"> </w:t>
      </w:r>
      <w:r w:rsidR="00666251" w:rsidRPr="00FD3FB4">
        <w:t>surgeons</w:t>
      </w:r>
      <w:r w:rsidR="00D85800" w:rsidRPr="00FD3FB4">
        <w:t>;</w:t>
      </w:r>
      <w:r w:rsidR="00D34C8E" w:rsidRPr="00FD3FB4">
        <w:rPr>
          <w:lang w:val="en-GB"/>
        </w:rPr>
        <w:t xml:space="preserve"> </w:t>
      </w:r>
      <w:r w:rsidR="00F84C6D" w:rsidRPr="00FD3FB4">
        <w:rPr>
          <w:lang w:val="en-GB"/>
        </w:rPr>
        <w:t xml:space="preserve">access to omalizumab would provide patients </w:t>
      </w:r>
      <w:r w:rsidR="00D85800" w:rsidRPr="00FD3FB4">
        <w:rPr>
          <w:lang w:val="en-GB"/>
        </w:rPr>
        <w:t>and the</w:t>
      </w:r>
      <w:r w:rsidR="00FC3C9F" w:rsidRPr="00FD3FB4">
        <w:rPr>
          <w:lang w:val="en-GB"/>
        </w:rPr>
        <w:t>se</w:t>
      </w:r>
      <w:r w:rsidR="00D85800" w:rsidRPr="00FD3FB4">
        <w:rPr>
          <w:lang w:val="en-GB"/>
        </w:rPr>
        <w:t xml:space="preserve"> </w:t>
      </w:r>
      <w:r w:rsidR="009B6CA5" w:rsidRPr="00FD3FB4">
        <w:rPr>
          <w:lang w:val="en-GB"/>
        </w:rPr>
        <w:t xml:space="preserve">care </w:t>
      </w:r>
      <w:r w:rsidR="00D85800" w:rsidRPr="00FD3FB4">
        <w:rPr>
          <w:lang w:val="en-GB"/>
        </w:rPr>
        <w:t>providers</w:t>
      </w:r>
      <w:r w:rsidR="009B6CA5" w:rsidRPr="00FD3FB4">
        <w:rPr>
          <w:lang w:val="en-GB"/>
        </w:rPr>
        <w:t xml:space="preserve"> </w:t>
      </w:r>
      <w:r w:rsidR="00433AB0" w:rsidRPr="00FD3FB4">
        <w:rPr>
          <w:lang w:val="en-GB"/>
        </w:rPr>
        <w:t>wit</w:t>
      </w:r>
      <w:r w:rsidR="007D3F37" w:rsidRPr="00FD3FB4">
        <w:rPr>
          <w:lang w:val="en-GB"/>
        </w:rPr>
        <w:t xml:space="preserve">h </w:t>
      </w:r>
      <w:r w:rsidR="007C19BA" w:rsidRPr="00FD3FB4">
        <w:rPr>
          <w:snapToGrid w:val="0"/>
        </w:rPr>
        <w:t>more</w:t>
      </w:r>
      <w:r w:rsidR="00C323C4" w:rsidRPr="00FD3FB4">
        <w:rPr>
          <w:snapToGrid w:val="0"/>
        </w:rPr>
        <w:t xml:space="preserve"> </w:t>
      </w:r>
      <w:r w:rsidR="007C19BA" w:rsidRPr="00FD3FB4">
        <w:rPr>
          <w:snapToGrid w:val="0"/>
        </w:rPr>
        <w:t xml:space="preserve">opportunity to </w:t>
      </w:r>
      <w:r w:rsidR="00C323C4" w:rsidRPr="00FD3FB4">
        <w:rPr>
          <w:snapToGrid w:val="0"/>
        </w:rPr>
        <w:t>cho</w:t>
      </w:r>
      <w:r w:rsidR="007C19BA" w:rsidRPr="00FD3FB4">
        <w:rPr>
          <w:snapToGrid w:val="0"/>
        </w:rPr>
        <w:t>ose</w:t>
      </w:r>
      <w:r w:rsidR="00C323C4" w:rsidRPr="00FD3FB4">
        <w:rPr>
          <w:snapToGrid w:val="0"/>
        </w:rPr>
        <w:t xml:space="preserve"> </w:t>
      </w:r>
      <w:r w:rsidR="007C19BA" w:rsidRPr="00565648">
        <w:rPr>
          <w:snapToGrid w:val="0"/>
        </w:rPr>
        <w:t xml:space="preserve">the </w:t>
      </w:r>
      <w:r w:rsidR="00C323C4" w:rsidRPr="00565648">
        <w:rPr>
          <w:snapToGrid w:val="0"/>
        </w:rPr>
        <w:t>treatment that best suit</w:t>
      </w:r>
      <w:r w:rsidR="007C19BA" w:rsidRPr="00565648">
        <w:rPr>
          <w:snapToGrid w:val="0"/>
        </w:rPr>
        <w:t>s</w:t>
      </w:r>
      <w:r w:rsidR="00C323C4" w:rsidRPr="00565648">
        <w:rPr>
          <w:snapToGrid w:val="0"/>
        </w:rPr>
        <w:t xml:space="preserve"> the disease state and the</w:t>
      </w:r>
      <w:r w:rsidR="00282E97" w:rsidRPr="00565648">
        <w:rPr>
          <w:snapToGrid w:val="0"/>
        </w:rPr>
        <w:t xml:space="preserve"> clinical needs of the</w:t>
      </w:r>
      <w:r w:rsidR="00C323C4" w:rsidRPr="00565648">
        <w:rPr>
          <w:snapToGrid w:val="0"/>
        </w:rPr>
        <w:t xml:space="preserve"> </w:t>
      </w:r>
      <w:r w:rsidR="00282E97" w:rsidRPr="00565648">
        <w:rPr>
          <w:snapToGrid w:val="0"/>
        </w:rPr>
        <w:t>individual patient</w:t>
      </w:r>
      <w:r w:rsidR="00254405" w:rsidRPr="00565648">
        <w:rPr>
          <w:snapToGrid w:val="0"/>
        </w:rPr>
        <w:t>.</w:t>
      </w:r>
      <w:r w:rsidR="00A1308F" w:rsidRPr="00565648">
        <w:rPr>
          <w:snapToGrid w:val="0"/>
          <w:lang w:val="en-GB"/>
        </w:rPr>
        <w:t xml:space="preserve"> Th</w:t>
      </w:r>
      <w:r w:rsidR="00A1308F" w:rsidRPr="007507A0">
        <w:rPr>
          <w:snapToGrid w:val="0"/>
          <w:lang w:val="en-GB"/>
        </w:rPr>
        <w:t xml:space="preserve">e PBAC acknowledged </w:t>
      </w:r>
      <w:r w:rsidR="00A1308F">
        <w:rPr>
          <w:snapToGrid w:val="0"/>
          <w:lang w:val="en-GB"/>
        </w:rPr>
        <w:t>that CRSwNP</w:t>
      </w:r>
      <w:r w:rsidR="00A1308F" w:rsidRPr="007507A0">
        <w:rPr>
          <w:snapToGrid w:val="0"/>
          <w:lang w:val="en-GB"/>
        </w:rPr>
        <w:t xml:space="preserve"> has a significant impact on quality of life and considered there remained a clinical need for additional effective therapies</w:t>
      </w:r>
      <w:r w:rsidR="00A1308F">
        <w:rPr>
          <w:snapToGrid w:val="0"/>
          <w:lang w:val="en-GB"/>
        </w:rPr>
        <w:t>.</w:t>
      </w:r>
      <w:r w:rsidR="005871D5">
        <w:rPr>
          <w:snapToGrid w:val="0"/>
          <w:lang w:val="en-GB"/>
        </w:rPr>
        <w:t xml:space="preserve"> </w:t>
      </w:r>
      <w:r w:rsidR="00803765">
        <w:rPr>
          <w:snapToGrid w:val="0"/>
          <w:lang w:val="en-GB"/>
        </w:rPr>
        <w:t xml:space="preserve">The </w:t>
      </w:r>
      <w:r w:rsidR="005871D5">
        <w:t xml:space="preserve">PBAC considered that omalizumab </w:t>
      </w:r>
      <w:r w:rsidR="005871D5">
        <w:rPr>
          <w:color w:val="000000"/>
          <w:lang w:val="en-GB"/>
        </w:rPr>
        <w:t xml:space="preserve">may provide a more suitable </w:t>
      </w:r>
      <w:r w:rsidR="005871D5">
        <w:rPr>
          <w:color w:val="000000"/>
          <w:lang w:val="en-GB"/>
        </w:rPr>
        <w:lastRenderedPageBreak/>
        <w:t>treatment for CRSwNP patients who present with high serum IgE and less eosinophilic disease.</w:t>
      </w:r>
    </w:p>
    <w:p w14:paraId="4C969948" w14:textId="105465D1" w:rsidR="00B632E0" w:rsidRPr="00D043D9" w:rsidRDefault="00DF2BEC" w:rsidP="00BF0111">
      <w:pPr>
        <w:pStyle w:val="3-BodyText"/>
        <w:rPr>
          <w:snapToGrid w:val="0"/>
          <w:lang w:val="en-GB"/>
        </w:rPr>
      </w:pPr>
      <w:proofErr w:type="gramStart"/>
      <w:r w:rsidRPr="00D043D9">
        <w:rPr>
          <w:snapToGrid w:val="0"/>
          <w:lang w:val="en-GB"/>
        </w:rPr>
        <w:t>With regard to</w:t>
      </w:r>
      <w:proofErr w:type="gramEnd"/>
      <w:r w:rsidRPr="00D043D9">
        <w:rPr>
          <w:snapToGrid w:val="0"/>
          <w:lang w:val="en-GB"/>
        </w:rPr>
        <w:t xml:space="preserve"> the </w:t>
      </w:r>
      <w:r w:rsidR="00B403C6" w:rsidRPr="00D043D9">
        <w:rPr>
          <w:snapToGrid w:val="0"/>
          <w:lang w:val="en-GB"/>
        </w:rPr>
        <w:t>r</w:t>
      </w:r>
      <w:r w:rsidR="00B632E0" w:rsidRPr="00D043D9">
        <w:rPr>
          <w:snapToGrid w:val="0"/>
          <w:lang w:val="en-GB"/>
        </w:rPr>
        <w:t xml:space="preserve">equested listing and restriction </w:t>
      </w:r>
      <w:r w:rsidR="00B403C6" w:rsidRPr="00D043D9">
        <w:rPr>
          <w:snapToGrid w:val="0"/>
          <w:lang w:val="en-GB"/>
        </w:rPr>
        <w:t xml:space="preserve">the </w:t>
      </w:r>
      <w:r w:rsidR="00B632E0" w:rsidRPr="00D043D9">
        <w:rPr>
          <w:snapToGrid w:val="0"/>
          <w:lang w:val="en-GB"/>
        </w:rPr>
        <w:t xml:space="preserve">PBAC </w:t>
      </w:r>
      <w:r w:rsidR="00B403C6" w:rsidRPr="00D043D9">
        <w:rPr>
          <w:snapToGrid w:val="0"/>
          <w:lang w:val="en-GB"/>
        </w:rPr>
        <w:t xml:space="preserve">advised that: </w:t>
      </w:r>
    </w:p>
    <w:p w14:paraId="73DF2E19" w14:textId="7D6E9F03" w:rsidR="00430218" w:rsidRPr="00D70A8A" w:rsidRDefault="006800C1" w:rsidP="00610572">
      <w:pPr>
        <w:pStyle w:val="Bulletpoints"/>
        <w:ind w:left="1077" w:hanging="357"/>
        <w:contextualSpacing w:val="0"/>
        <w:jc w:val="both"/>
        <w:rPr>
          <w:rFonts w:eastAsiaTheme="minorHAnsi"/>
          <w:lang w:val="en-GB"/>
        </w:rPr>
      </w:pPr>
      <w:r>
        <w:rPr>
          <w:rFonts w:eastAsiaTheme="minorHAnsi"/>
          <w:lang w:val="en-GB"/>
        </w:rPr>
        <w:t>a</w:t>
      </w:r>
      <w:r w:rsidR="00430218" w:rsidRPr="00D70A8A">
        <w:rPr>
          <w:rFonts w:eastAsiaTheme="minorHAnsi"/>
          <w:lang w:val="en-GB"/>
        </w:rPr>
        <w:t xml:space="preserve"> Section 100 Highly Specialised Drugs Program listing is appropriate and consistent with the current restriction for mepolizumab for CRSwNP.</w:t>
      </w:r>
    </w:p>
    <w:p w14:paraId="56E17FF9" w14:textId="00B50708" w:rsidR="005F290A" w:rsidRPr="00D36FD2" w:rsidRDefault="00430218" w:rsidP="00610572">
      <w:pPr>
        <w:pStyle w:val="Bulletpoints"/>
        <w:ind w:left="1077" w:hanging="357"/>
        <w:contextualSpacing w:val="0"/>
        <w:jc w:val="both"/>
        <w:rPr>
          <w:lang w:val="en-GB"/>
        </w:rPr>
      </w:pPr>
      <w:r w:rsidRPr="00976162" w:rsidDel="00FC3093">
        <w:rPr>
          <w:rFonts w:eastAsiaTheme="minorHAnsi"/>
          <w:lang w:val="en-GB"/>
        </w:rPr>
        <w:t>t</w:t>
      </w:r>
      <w:r w:rsidR="008D3C4D" w:rsidRPr="00976162" w:rsidDel="00FC3093">
        <w:rPr>
          <w:rFonts w:eastAsiaTheme="minorHAnsi"/>
        </w:rPr>
        <w:t xml:space="preserve">he </w:t>
      </w:r>
      <w:r w:rsidR="005F290A" w:rsidRPr="00976162">
        <w:t>proposed IgE</w:t>
      </w:r>
      <w:r w:rsidR="008D3C4D" w:rsidRPr="00976162" w:rsidDel="00FC3093">
        <w:rPr>
          <w:rFonts w:eastAsiaTheme="minorHAnsi"/>
        </w:rPr>
        <w:t xml:space="preserve"> threshold </w:t>
      </w:r>
      <w:r w:rsidR="005F290A" w:rsidRPr="00976162">
        <w:t>of ≥</w:t>
      </w:r>
      <w:r w:rsidR="00D36FD2" w:rsidRPr="00976162" w:rsidDel="00FC3093">
        <w:rPr>
          <w:rFonts w:eastAsiaTheme="minorHAnsi"/>
        </w:rPr>
        <w:t xml:space="preserve">30 IU/mL </w:t>
      </w:r>
      <w:r w:rsidR="00AD26E8">
        <w:t>and the removal of the BEC</w:t>
      </w:r>
      <w:r w:rsidR="00F67686" w:rsidDel="00505D10">
        <w:rPr>
          <w:rFonts w:eastAsiaTheme="minorHAnsi"/>
        </w:rPr>
        <w:t xml:space="preserve"> threshold </w:t>
      </w:r>
      <w:r w:rsidR="005F290A" w:rsidRPr="00976162">
        <w:t xml:space="preserve">was reasonable given </w:t>
      </w:r>
      <w:r w:rsidR="00021186">
        <w:t>this was</w:t>
      </w:r>
      <w:r w:rsidR="005F290A" w:rsidRPr="00976162">
        <w:t xml:space="preserve"> consistent with the current PBS restriction of omalizumab for </w:t>
      </w:r>
      <w:r w:rsidR="00887CC6">
        <w:t>uncontrolled</w:t>
      </w:r>
      <w:r w:rsidR="00733047">
        <w:t xml:space="preserve"> severe</w:t>
      </w:r>
      <w:r w:rsidR="009374D0">
        <w:t xml:space="preserve"> </w:t>
      </w:r>
      <w:r w:rsidR="005F290A" w:rsidRPr="00976162">
        <w:t>asthma</w:t>
      </w:r>
      <w:r w:rsidR="00650F18">
        <w:t xml:space="preserve"> and uncontrolled severe allergic asthma</w:t>
      </w:r>
      <w:r w:rsidR="00E76492" w:rsidRPr="00976162">
        <w:t xml:space="preserve"> and the high degree of overlap between </w:t>
      </w:r>
      <w:r w:rsidR="00AA119C" w:rsidRPr="00976162">
        <w:t xml:space="preserve">presence of </w:t>
      </w:r>
      <w:r w:rsidR="00E76492" w:rsidRPr="00976162">
        <w:t>CRSwNP and asthma</w:t>
      </w:r>
      <w:r w:rsidR="00AA119C" w:rsidRPr="00976162">
        <w:t>.</w:t>
      </w:r>
    </w:p>
    <w:p w14:paraId="466E8257" w14:textId="736FAF4E" w:rsidR="007123D2" w:rsidRDefault="001E46B6" w:rsidP="00610572">
      <w:pPr>
        <w:pStyle w:val="Bulletpoints"/>
        <w:ind w:left="1077" w:hanging="357"/>
        <w:contextualSpacing w:val="0"/>
        <w:jc w:val="both"/>
        <w:rPr>
          <w:rFonts w:eastAsiaTheme="minorHAnsi"/>
          <w:lang w:val="en-GB"/>
        </w:rPr>
      </w:pPr>
      <w:r>
        <w:rPr>
          <w:rFonts w:eastAsiaTheme="minorHAnsi"/>
          <w:lang w:val="en-GB"/>
        </w:rPr>
        <w:t xml:space="preserve">the number of repeats should align with </w:t>
      </w:r>
      <w:r w:rsidR="009D0B72">
        <w:rPr>
          <w:rFonts w:eastAsiaTheme="minorHAnsi"/>
          <w:lang w:val="en-GB"/>
        </w:rPr>
        <w:t xml:space="preserve">the </w:t>
      </w:r>
      <w:r>
        <w:rPr>
          <w:rFonts w:eastAsiaTheme="minorHAnsi"/>
          <w:lang w:val="en-GB"/>
        </w:rPr>
        <w:t>allergic asthma listing for omalizumab given it has the same dosing schedule as CRSwNP</w:t>
      </w:r>
      <w:r w:rsidR="002356DF">
        <w:rPr>
          <w:rFonts w:eastAsiaTheme="minorHAnsi"/>
          <w:lang w:val="en-GB"/>
        </w:rPr>
        <w:t>.</w:t>
      </w:r>
      <w:r w:rsidR="00E00AC6">
        <w:rPr>
          <w:rFonts w:eastAsiaTheme="minorHAnsi"/>
          <w:lang w:val="en-GB"/>
        </w:rPr>
        <w:t xml:space="preserve"> </w:t>
      </w:r>
    </w:p>
    <w:p w14:paraId="4C365775" w14:textId="19B950A6" w:rsidR="00344FD1" w:rsidRDefault="00CA419B" w:rsidP="00610572">
      <w:pPr>
        <w:pStyle w:val="Bulletpoints"/>
        <w:ind w:left="1077" w:hanging="357"/>
        <w:contextualSpacing w:val="0"/>
        <w:jc w:val="both"/>
        <w:rPr>
          <w:rFonts w:eastAsiaTheme="minorHAnsi"/>
          <w:lang w:val="en-GB"/>
        </w:rPr>
      </w:pPr>
      <w:r>
        <w:rPr>
          <w:rFonts w:eastAsiaTheme="minorHAnsi"/>
          <w:lang w:val="en-GB"/>
        </w:rPr>
        <w:t xml:space="preserve">no </w:t>
      </w:r>
      <w:r w:rsidR="003805BE">
        <w:rPr>
          <w:rFonts w:eastAsiaTheme="minorHAnsi"/>
          <w:lang w:val="en-GB"/>
        </w:rPr>
        <w:t xml:space="preserve">additional limits on maximum quantity or repeats </w:t>
      </w:r>
      <w:r w:rsidR="00B623CD">
        <w:rPr>
          <w:rFonts w:eastAsiaTheme="minorHAnsi"/>
          <w:lang w:val="en-GB"/>
        </w:rPr>
        <w:t>were</w:t>
      </w:r>
      <w:r w:rsidR="003805BE">
        <w:rPr>
          <w:rFonts w:eastAsiaTheme="minorHAnsi"/>
          <w:lang w:val="en-GB"/>
        </w:rPr>
        <w:t xml:space="preserve"> required, to align with asthma indications</w:t>
      </w:r>
      <w:r w:rsidR="00456096">
        <w:rPr>
          <w:rFonts w:eastAsiaTheme="minorHAnsi"/>
          <w:lang w:val="en-GB"/>
        </w:rPr>
        <w:t>.</w:t>
      </w:r>
      <w:r w:rsidR="00901D53">
        <w:rPr>
          <w:rFonts w:eastAsiaTheme="minorHAnsi"/>
          <w:lang w:val="en-GB"/>
        </w:rPr>
        <w:t xml:space="preserve"> </w:t>
      </w:r>
    </w:p>
    <w:p w14:paraId="5388670B" w14:textId="35B38ED6" w:rsidR="00380BE2" w:rsidRPr="00AE5AAE" w:rsidRDefault="00431F22" w:rsidP="00610572">
      <w:pPr>
        <w:pStyle w:val="Bulletpoints"/>
        <w:ind w:left="1077" w:hanging="357"/>
        <w:contextualSpacing w:val="0"/>
        <w:jc w:val="both"/>
        <w:rPr>
          <w:rFonts w:eastAsiaTheme="minorHAnsi"/>
          <w:lang w:val="en-GB"/>
        </w:rPr>
      </w:pPr>
      <w:r>
        <w:t>the n</w:t>
      </w:r>
      <w:r w:rsidRPr="00074981">
        <w:t>ew pre-filled syringe (PFS) and pre-filled pen (PFP) forms and a new 300</w:t>
      </w:r>
      <w:r w:rsidR="001B144E">
        <w:t> </w:t>
      </w:r>
      <w:r w:rsidRPr="00074981">
        <w:t>mg/2</w:t>
      </w:r>
      <w:r w:rsidR="00D14791">
        <w:t> </w:t>
      </w:r>
      <w:r w:rsidRPr="00074981">
        <w:t>mL presentation of omalizumab recommended at the March 2025 PBAC meeting</w:t>
      </w:r>
      <w:r>
        <w:t xml:space="preserve"> </w:t>
      </w:r>
      <w:r w:rsidR="00BA4A98" w:rsidRPr="00074981">
        <w:t>be made available for the CRSwNP indication</w:t>
      </w:r>
      <w:r w:rsidR="004E28BA" w:rsidRPr="00AE5AAE">
        <w:rPr>
          <w:rFonts w:eastAsiaTheme="minorHAnsi"/>
          <w:lang w:val="en-GB"/>
        </w:rPr>
        <w:t>.</w:t>
      </w:r>
    </w:p>
    <w:p w14:paraId="0FE69961" w14:textId="4C4D6057" w:rsidR="00B23BDA" w:rsidRPr="00B43D9D" w:rsidRDefault="00507312" w:rsidP="00610572">
      <w:pPr>
        <w:pStyle w:val="Bulletpoints"/>
        <w:ind w:left="1077" w:hanging="357"/>
        <w:contextualSpacing w:val="0"/>
        <w:jc w:val="both"/>
        <w:rPr>
          <w:lang w:val="en-GB"/>
        </w:rPr>
      </w:pPr>
      <w:r w:rsidRPr="009B44CA">
        <w:rPr>
          <w:rFonts w:eastAsiaTheme="minorHAnsi"/>
          <w:lang w:val="en-GB"/>
        </w:rPr>
        <w:t xml:space="preserve">the </w:t>
      </w:r>
      <w:r w:rsidR="00B23BDA" w:rsidRPr="009B44CA">
        <w:rPr>
          <w:rFonts w:eastAsiaTheme="minorHAnsi"/>
          <w:lang w:val="en-GB"/>
        </w:rPr>
        <w:t xml:space="preserve">grandfather restriction </w:t>
      </w:r>
      <w:r w:rsidR="001D360A">
        <w:rPr>
          <w:rFonts w:eastAsiaTheme="minorHAnsi"/>
          <w:lang w:val="en-GB"/>
        </w:rPr>
        <w:t xml:space="preserve">was </w:t>
      </w:r>
      <w:r w:rsidR="00910402">
        <w:rPr>
          <w:rFonts w:eastAsiaTheme="minorHAnsi"/>
          <w:lang w:val="en-GB"/>
        </w:rPr>
        <w:t>appropriate</w:t>
      </w:r>
      <w:r w:rsidR="00B23BDA" w:rsidRPr="009B44CA" w:rsidDel="00996AF4">
        <w:rPr>
          <w:rFonts w:eastAsiaTheme="minorHAnsi"/>
          <w:lang w:val="en-GB"/>
        </w:rPr>
        <w:t xml:space="preserve"> </w:t>
      </w:r>
      <w:r w:rsidR="00996AF4" w:rsidRPr="009B44CA">
        <w:rPr>
          <w:rFonts w:eastAsiaTheme="minorHAnsi"/>
          <w:lang w:val="en-GB"/>
        </w:rPr>
        <w:t>noting</w:t>
      </w:r>
      <w:r w:rsidR="00C46138" w:rsidRPr="009B44CA">
        <w:rPr>
          <w:rFonts w:eastAsiaTheme="minorHAnsi"/>
          <w:lang w:val="en-GB"/>
        </w:rPr>
        <w:t xml:space="preserve"> that the p</w:t>
      </w:r>
      <w:r w:rsidR="00B7664A" w:rsidRPr="009B44CA">
        <w:rPr>
          <w:rFonts w:eastAsiaTheme="minorHAnsi"/>
          <w:lang w:val="en-GB"/>
        </w:rPr>
        <w:t xml:space="preserve">atient </w:t>
      </w:r>
      <w:r w:rsidR="00996AF4" w:rsidRPr="009B44CA">
        <w:rPr>
          <w:rFonts w:eastAsiaTheme="minorHAnsi"/>
          <w:lang w:val="en-GB"/>
        </w:rPr>
        <w:t xml:space="preserve">must </w:t>
      </w:r>
      <w:r w:rsidR="00B7664A" w:rsidRPr="009B44CA">
        <w:rPr>
          <w:rFonts w:eastAsiaTheme="minorHAnsi"/>
          <w:lang w:val="en-GB"/>
        </w:rPr>
        <w:t>ha</w:t>
      </w:r>
      <w:r w:rsidR="00996AF4" w:rsidRPr="009B44CA">
        <w:rPr>
          <w:rFonts w:eastAsiaTheme="minorHAnsi"/>
          <w:lang w:val="en-GB"/>
        </w:rPr>
        <w:t>ve</w:t>
      </w:r>
      <w:r w:rsidR="00B7664A" w:rsidRPr="009B44CA">
        <w:rPr>
          <w:rFonts w:eastAsiaTheme="minorHAnsi"/>
          <w:lang w:val="en-GB"/>
        </w:rPr>
        <w:t xml:space="preserve"> received</w:t>
      </w:r>
      <w:r w:rsidR="00B7664A" w:rsidRPr="2BCE08C6">
        <w:t xml:space="preserve"> omalizumab treatment prior to PBS listing date and must have achieved and maintained an adequate response (defined above) </w:t>
      </w:r>
      <w:proofErr w:type="gramStart"/>
      <w:r w:rsidR="00B7664A" w:rsidRPr="2BCE08C6">
        <w:t>in order to</w:t>
      </w:r>
      <w:proofErr w:type="gramEnd"/>
      <w:r w:rsidR="00B7664A" w:rsidRPr="2BCE08C6">
        <w:t xml:space="preserve"> be eligible for subsequent </w:t>
      </w:r>
      <w:r>
        <w:t xml:space="preserve">and </w:t>
      </w:r>
      <w:r w:rsidR="00B7664A" w:rsidRPr="2BCE08C6">
        <w:t>continuing PBS-subsidised treatment</w:t>
      </w:r>
      <w:r w:rsidR="0068123B">
        <w:t xml:space="preserve">. </w:t>
      </w:r>
    </w:p>
    <w:p w14:paraId="132CDD11" w14:textId="20F6E2A9" w:rsidR="00B23BDA" w:rsidRPr="008C16A8" w:rsidRDefault="007A2168" w:rsidP="00001A1A">
      <w:pPr>
        <w:pStyle w:val="3-BodyText"/>
        <w:rPr>
          <w:snapToGrid w:val="0"/>
          <w:lang w:val="en-GB"/>
        </w:rPr>
      </w:pPr>
      <w:r>
        <w:rPr>
          <w:snapToGrid w:val="0"/>
          <w:lang w:val="en-GB"/>
        </w:rPr>
        <w:t xml:space="preserve">The PBAC </w:t>
      </w:r>
      <w:r w:rsidR="000447C7">
        <w:rPr>
          <w:snapToGrid w:val="0"/>
          <w:lang w:val="en-GB"/>
        </w:rPr>
        <w:t>accepted</w:t>
      </w:r>
      <w:r>
        <w:rPr>
          <w:snapToGrid w:val="0"/>
          <w:lang w:val="en-GB"/>
        </w:rPr>
        <w:t xml:space="preserve"> that </w:t>
      </w:r>
      <w:r w:rsidR="003F6242">
        <w:rPr>
          <w:snapToGrid w:val="0"/>
          <w:lang w:val="en-GB"/>
        </w:rPr>
        <w:t xml:space="preserve">mepolizumab was </w:t>
      </w:r>
      <w:r>
        <w:rPr>
          <w:snapToGrid w:val="0"/>
          <w:lang w:val="en-GB"/>
        </w:rPr>
        <w:t xml:space="preserve">the </w:t>
      </w:r>
      <w:r w:rsidR="003F6242">
        <w:rPr>
          <w:snapToGrid w:val="0"/>
          <w:lang w:val="en-GB"/>
        </w:rPr>
        <w:t>appropriate</w:t>
      </w:r>
      <w:r w:rsidR="003F6242" w:rsidRPr="00CE42B4">
        <w:rPr>
          <w:snapToGrid w:val="0"/>
          <w:lang w:val="en-GB"/>
        </w:rPr>
        <w:t xml:space="preserve"> </w:t>
      </w:r>
      <w:r w:rsidR="00957B86">
        <w:rPr>
          <w:snapToGrid w:val="0"/>
          <w:lang w:val="en-GB"/>
        </w:rPr>
        <w:t>c</w:t>
      </w:r>
      <w:r w:rsidR="00B23BDA" w:rsidRPr="00CE42B4">
        <w:rPr>
          <w:snapToGrid w:val="0"/>
          <w:lang w:val="en-GB"/>
        </w:rPr>
        <w:t>omparator</w:t>
      </w:r>
      <w:r w:rsidR="007D33EB">
        <w:rPr>
          <w:snapToGrid w:val="0"/>
          <w:lang w:val="en-GB"/>
        </w:rPr>
        <w:t xml:space="preserve"> for the </w:t>
      </w:r>
      <w:r w:rsidR="00B42181">
        <w:rPr>
          <w:snapToGrid w:val="0"/>
          <w:lang w:val="en-GB"/>
        </w:rPr>
        <w:t>patient</w:t>
      </w:r>
      <w:r w:rsidR="007D33EB">
        <w:rPr>
          <w:snapToGrid w:val="0"/>
          <w:lang w:val="en-GB"/>
        </w:rPr>
        <w:t xml:space="preserve"> population which overlaps with the mepolizumab PBS </w:t>
      </w:r>
      <w:r w:rsidR="00B42181">
        <w:rPr>
          <w:snapToGrid w:val="0"/>
          <w:lang w:val="en-GB"/>
        </w:rPr>
        <w:t>listing</w:t>
      </w:r>
      <w:r w:rsidR="008D3C4D">
        <w:rPr>
          <w:snapToGrid w:val="0"/>
          <w:lang w:val="en-GB"/>
        </w:rPr>
        <w:t>.</w:t>
      </w:r>
      <w:r w:rsidR="00B23BDA" w:rsidRPr="00CE42B4">
        <w:rPr>
          <w:snapToGrid w:val="0"/>
          <w:lang w:val="en-GB"/>
        </w:rPr>
        <w:t xml:space="preserve"> </w:t>
      </w:r>
      <w:r w:rsidR="00A47ED2">
        <w:rPr>
          <w:snapToGrid w:val="0"/>
          <w:lang w:val="en-GB"/>
        </w:rPr>
        <w:t>The</w:t>
      </w:r>
      <w:r w:rsidR="00C8236A">
        <w:rPr>
          <w:snapToGrid w:val="0"/>
          <w:lang w:val="en-GB"/>
        </w:rPr>
        <w:t xml:space="preserve"> </w:t>
      </w:r>
      <w:r w:rsidR="00D60ABE">
        <w:rPr>
          <w:snapToGrid w:val="0"/>
          <w:lang w:val="en-GB"/>
        </w:rPr>
        <w:t xml:space="preserve">PBAC </w:t>
      </w:r>
      <w:r w:rsidR="002139E6">
        <w:rPr>
          <w:snapToGrid w:val="0"/>
          <w:lang w:val="en-GB"/>
        </w:rPr>
        <w:t xml:space="preserve">accepted standard of care as the </w:t>
      </w:r>
      <w:r w:rsidR="00A057AD">
        <w:rPr>
          <w:snapToGrid w:val="0"/>
          <w:lang w:val="en-GB"/>
        </w:rPr>
        <w:t xml:space="preserve">appropriate </w:t>
      </w:r>
      <w:r w:rsidR="008329EB">
        <w:rPr>
          <w:snapToGrid w:val="0"/>
          <w:lang w:val="en-GB"/>
        </w:rPr>
        <w:t xml:space="preserve">comparator for the </w:t>
      </w:r>
      <w:r w:rsidR="00C94031" w:rsidRPr="00826983">
        <w:t>for the expanded population not eligible for mepolizumab</w:t>
      </w:r>
      <w:r w:rsidR="00C94031" w:rsidRPr="00CE42B4">
        <w:rPr>
          <w:snapToGrid w:val="0"/>
          <w:lang w:val="en-GB"/>
        </w:rPr>
        <w:t xml:space="preserve"> </w:t>
      </w:r>
      <w:r w:rsidR="002038C2" w:rsidRPr="00826983">
        <w:t>which included background INCS therapy with intermittent usage of OCS and saline spray or rinses</w:t>
      </w:r>
      <w:r w:rsidR="00924C1B">
        <w:t xml:space="preserve"> aligning </w:t>
      </w:r>
      <w:r w:rsidR="00E61FF4">
        <w:t>with</w:t>
      </w:r>
      <w:r w:rsidR="002038C2" w:rsidRPr="00CE42B4">
        <w:rPr>
          <w:snapToGrid w:val="0"/>
          <w:lang w:val="en-GB"/>
        </w:rPr>
        <w:t xml:space="preserve"> </w:t>
      </w:r>
      <w:r w:rsidR="00924C1B">
        <w:rPr>
          <w:snapToGrid w:val="0"/>
          <w:lang w:val="en-GB"/>
        </w:rPr>
        <w:t xml:space="preserve">the </w:t>
      </w:r>
      <w:r w:rsidR="00551CB6">
        <w:rPr>
          <w:snapToGrid w:val="0"/>
          <w:lang w:val="en-GB"/>
        </w:rPr>
        <w:t xml:space="preserve">PBAC </w:t>
      </w:r>
      <w:r w:rsidR="00E61FF4">
        <w:rPr>
          <w:snapToGrid w:val="0"/>
          <w:lang w:val="en-GB"/>
        </w:rPr>
        <w:t xml:space="preserve">acceptance of </w:t>
      </w:r>
      <w:r w:rsidR="00B51BD0">
        <w:rPr>
          <w:snapToGrid w:val="0"/>
          <w:lang w:val="en-GB"/>
        </w:rPr>
        <w:t xml:space="preserve">standard of care as the appropriate comparator in the </w:t>
      </w:r>
      <w:r w:rsidR="00CB3FED" w:rsidRPr="00826983">
        <w:t>mepolizumab resubmission</w:t>
      </w:r>
      <w:r w:rsidR="00CB3FED">
        <w:rPr>
          <w:snapToGrid w:val="0"/>
          <w:lang w:val="en-GB"/>
        </w:rPr>
        <w:t xml:space="preserve"> </w:t>
      </w:r>
      <w:r w:rsidR="003A1DF9" w:rsidRPr="00826983">
        <w:t>(para 5.1 and 7.5, mepolizumab, PSD, November 2022 PBAC meeting).</w:t>
      </w:r>
    </w:p>
    <w:p w14:paraId="4637EF48" w14:textId="4EEAFC89" w:rsidR="005D04BC" w:rsidRPr="005D04BC" w:rsidRDefault="001C61CB">
      <w:pPr>
        <w:pStyle w:val="3-BodyText"/>
      </w:pPr>
      <w:r w:rsidRPr="005D04BC">
        <w:rPr>
          <w:snapToGrid w:val="0"/>
          <w:lang w:val="en-GB"/>
        </w:rPr>
        <w:t xml:space="preserve">The PBAC </w:t>
      </w:r>
      <w:r w:rsidR="00CA53BA" w:rsidRPr="005D04BC">
        <w:rPr>
          <w:snapToGrid w:val="0"/>
          <w:lang w:val="en-GB"/>
        </w:rPr>
        <w:t xml:space="preserve">noted </w:t>
      </w:r>
      <w:r w:rsidR="0073782F" w:rsidRPr="005D04BC">
        <w:rPr>
          <w:snapToGrid w:val="0"/>
          <w:lang w:val="en-GB"/>
        </w:rPr>
        <w:t>that there were no head-to-head randomised c</w:t>
      </w:r>
      <w:r w:rsidR="00B23BDA" w:rsidRPr="005D04BC">
        <w:rPr>
          <w:snapToGrid w:val="0"/>
          <w:lang w:val="en-GB"/>
        </w:rPr>
        <w:t xml:space="preserve">linical trials </w:t>
      </w:r>
      <w:r w:rsidR="00D1726A" w:rsidRPr="005D04BC">
        <w:rPr>
          <w:snapToGrid w:val="0"/>
          <w:lang w:val="en-GB"/>
        </w:rPr>
        <w:t>of omalizumab compare</w:t>
      </w:r>
      <w:r w:rsidR="001E36D5" w:rsidRPr="005D04BC">
        <w:rPr>
          <w:snapToGrid w:val="0"/>
          <w:lang w:val="en-GB"/>
        </w:rPr>
        <w:t>d</w:t>
      </w:r>
      <w:r w:rsidR="00D1726A" w:rsidRPr="005D04BC">
        <w:rPr>
          <w:snapToGrid w:val="0"/>
          <w:lang w:val="en-GB"/>
        </w:rPr>
        <w:t xml:space="preserve"> to mepolizumab</w:t>
      </w:r>
      <w:r w:rsidR="00C82DA4" w:rsidRPr="005D04BC">
        <w:rPr>
          <w:snapToGrid w:val="0"/>
          <w:lang w:val="en-GB"/>
        </w:rPr>
        <w:t xml:space="preserve"> and </w:t>
      </w:r>
      <w:r w:rsidR="002B786B" w:rsidRPr="005D04BC">
        <w:rPr>
          <w:snapToGrid w:val="0"/>
          <w:lang w:val="en-GB"/>
        </w:rPr>
        <w:t xml:space="preserve">the submission was </w:t>
      </w:r>
      <w:r w:rsidR="00C82DA4" w:rsidRPr="005D04BC">
        <w:rPr>
          <w:snapToGrid w:val="0"/>
          <w:lang w:val="en-GB"/>
        </w:rPr>
        <w:t>bas</w:t>
      </w:r>
      <w:r w:rsidR="002B786B" w:rsidRPr="005D04BC">
        <w:rPr>
          <w:snapToGrid w:val="0"/>
          <w:lang w:val="en-GB"/>
        </w:rPr>
        <w:t>ed on</w:t>
      </w:r>
      <w:r w:rsidR="005D04BC" w:rsidRPr="005D04BC">
        <w:rPr>
          <w:snapToGrid w:val="0"/>
          <w:lang w:val="en-GB"/>
        </w:rPr>
        <w:t xml:space="preserve"> </w:t>
      </w:r>
      <w:r w:rsidR="005D04BC">
        <w:t>two</w:t>
      </w:r>
      <w:r w:rsidR="005D04BC" w:rsidRPr="003807B9">
        <w:t xml:space="preserve"> RCT</w:t>
      </w:r>
      <w:r w:rsidR="005D04BC">
        <w:t xml:space="preserve">s </w:t>
      </w:r>
      <w:r w:rsidR="005D04BC" w:rsidRPr="003807B9">
        <w:t xml:space="preserve">which compared </w:t>
      </w:r>
      <w:r w:rsidR="005D04BC">
        <w:t>omalizumab</w:t>
      </w:r>
      <w:r w:rsidR="005D04BC" w:rsidRPr="003807B9">
        <w:t xml:space="preserve"> to </w:t>
      </w:r>
      <w:r w:rsidR="005D04BC" w:rsidRPr="2BCE08C6">
        <w:t xml:space="preserve">standard of care (SoC; placebo) </w:t>
      </w:r>
      <w:r w:rsidR="005D04BC" w:rsidRPr="003807B9">
        <w:t>(P</w:t>
      </w:r>
      <w:r w:rsidR="005D04BC">
        <w:t>OLYP 1 and POLYP</w:t>
      </w:r>
      <w:r w:rsidR="00D14791">
        <w:t> </w:t>
      </w:r>
      <w:r w:rsidR="005D04BC">
        <w:t>2)</w:t>
      </w:r>
      <w:r w:rsidR="005D04BC" w:rsidRPr="003807B9">
        <w:t xml:space="preserve">, and one RCT comparing </w:t>
      </w:r>
      <w:r w:rsidR="005D04BC">
        <w:t>mepolizumab</w:t>
      </w:r>
      <w:r w:rsidR="005D04BC" w:rsidRPr="003807B9">
        <w:t xml:space="preserve"> to </w:t>
      </w:r>
      <w:r w:rsidR="005D04BC">
        <w:t>placebo</w:t>
      </w:r>
      <w:r w:rsidR="005D04BC" w:rsidRPr="003807B9">
        <w:t xml:space="preserve"> (</w:t>
      </w:r>
      <w:r w:rsidR="005D04BC">
        <w:t>SYNAPSE</w:t>
      </w:r>
      <w:r w:rsidR="005D04BC" w:rsidRPr="003807B9">
        <w:t xml:space="preserve">), to inform </w:t>
      </w:r>
      <w:r w:rsidR="005D04BC">
        <w:t>an anchored</w:t>
      </w:r>
      <w:r w:rsidR="005D04BC" w:rsidRPr="003807B9">
        <w:t xml:space="preserve"> indirect treatment comparison (ITC) between </w:t>
      </w:r>
      <w:r w:rsidR="005D04BC">
        <w:t>omalizumab</w:t>
      </w:r>
      <w:r w:rsidR="005D04BC" w:rsidRPr="003807B9">
        <w:t xml:space="preserve"> and </w:t>
      </w:r>
      <w:r w:rsidR="005D04BC">
        <w:t>mepolizumab</w:t>
      </w:r>
      <w:r w:rsidR="005D04BC" w:rsidRPr="003807B9">
        <w:t xml:space="preserve">. </w:t>
      </w:r>
      <w:r w:rsidR="005D04BC">
        <w:t xml:space="preserve">An additional mepolizumab trial, MERIT, </w:t>
      </w:r>
      <w:r w:rsidR="005D04BC" w:rsidRPr="00493428">
        <w:t>was not included in the submission’s main ITC but was included in sensitivity analyses</w:t>
      </w:r>
      <w:r w:rsidR="00DD331C" w:rsidRPr="005D04BC">
        <w:rPr>
          <w:snapToGrid w:val="0"/>
          <w:lang w:val="en-GB"/>
        </w:rPr>
        <w:t xml:space="preserve">. The main ITC was based </w:t>
      </w:r>
      <w:r w:rsidR="00D04468" w:rsidRPr="005D04BC">
        <w:rPr>
          <w:snapToGrid w:val="0"/>
          <w:lang w:val="en-GB"/>
        </w:rPr>
        <w:t>on the currently PBS-eligible population for mepolizumab</w:t>
      </w:r>
      <w:r w:rsidR="005A705A" w:rsidRPr="005D04BC">
        <w:rPr>
          <w:snapToGrid w:val="0"/>
          <w:lang w:val="en-GB"/>
        </w:rPr>
        <w:t xml:space="preserve"> (post-surgical with BEC </w:t>
      </w:r>
      <w:r w:rsidR="005A705A" w:rsidRPr="005D04BC">
        <w:rPr>
          <w:rFonts w:eastAsia="Times New Roman"/>
          <w:lang w:val="en-GB"/>
        </w:rPr>
        <w:t>≥300</w:t>
      </w:r>
      <w:r w:rsidR="00D14791">
        <w:rPr>
          <w:rFonts w:eastAsia="Times New Roman"/>
          <w:lang w:val="en-GB"/>
        </w:rPr>
        <w:t> </w:t>
      </w:r>
      <w:r w:rsidR="005A705A" w:rsidRPr="005D04BC">
        <w:rPr>
          <w:rFonts w:eastAsia="Times New Roman"/>
          <w:lang w:val="en-GB"/>
        </w:rPr>
        <w:t>cells/µL) and the proposed PBS population for omalizumab (post-surgical with IgE ≥30 IU/mL)</w:t>
      </w:r>
      <w:r w:rsidR="005A705A" w:rsidRPr="005D04BC">
        <w:rPr>
          <w:lang w:val="en-GB"/>
        </w:rPr>
        <w:t>.</w:t>
      </w:r>
      <w:r w:rsidR="005A705A" w:rsidRPr="005D04BC">
        <w:rPr>
          <w:rFonts w:eastAsia="Times New Roman"/>
          <w:lang w:val="en-GB"/>
        </w:rPr>
        <w:t xml:space="preserve"> </w:t>
      </w:r>
    </w:p>
    <w:p w14:paraId="1FE661FE" w14:textId="6EBB5E3F" w:rsidR="008E5740" w:rsidRDefault="008E5740" w:rsidP="008E5740">
      <w:pPr>
        <w:pStyle w:val="3-BodyText"/>
      </w:pPr>
      <w:r>
        <w:t xml:space="preserve">The PBAC noted </w:t>
      </w:r>
      <w:r w:rsidR="00BE1AD4">
        <w:t>t</w:t>
      </w:r>
      <w:r w:rsidRPr="00E04615">
        <w:t xml:space="preserve">he </w:t>
      </w:r>
      <w:r>
        <w:t>ITC</w:t>
      </w:r>
      <w:r w:rsidRPr="00E04615">
        <w:t xml:space="preserve"> of median change from baseline in NPS for POLYP 1/2 and SYNAPSE showed no statistically significant difference between omalizumab and </w:t>
      </w:r>
      <w:r w:rsidRPr="00E04615">
        <w:lastRenderedPageBreak/>
        <w:t xml:space="preserve">mepolizumab </w:t>
      </w:r>
      <w:r>
        <w:t xml:space="preserve">for the ITT population nor for any of the subgroups: </w:t>
      </w:r>
      <w:r w:rsidRPr="00E04615">
        <w:t>(MD=-0.27 [95% CI: -0.92, 0.38]; p=0.4171), post-surgical subgroup (MD=-0.27 [95% CI: -1.12, 0.58]; p=0.5313), post-surgical + BEC ≥300 cells/µL subgroup (MD=-0.33 [95% CI: -1.69, 1.03]; p=0.6329) and restriction based subgroup (MD=0 [95% CI: [-0.904, 0.904]; p=1.0).</w:t>
      </w:r>
      <w:r w:rsidR="00BE1AD4">
        <w:t xml:space="preserve"> </w:t>
      </w:r>
    </w:p>
    <w:p w14:paraId="1CF5C393" w14:textId="4F75B6EE" w:rsidR="005A705A" w:rsidRPr="005A705A" w:rsidRDefault="00DA700C" w:rsidP="009433B8">
      <w:pPr>
        <w:pStyle w:val="3-BodyText"/>
      </w:pPr>
      <w:r w:rsidRPr="00D07614">
        <w:rPr>
          <w:lang w:val="en-GB"/>
        </w:rPr>
        <w:t xml:space="preserve">The PBAC </w:t>
      </w:r>
      <w:r w:rsidR="00362BB1" w:rsidRPr="00D07614">
        <w:rPr>
          <w:lang w:val="en-GB"/>
        </w:rPr>
        <w:t>noted</w:t>
      </w:r>
      <w:r w:rsidR="009E470F" w:rsidRPr="00D07614">
        <w:rPr>
          <w:lang w:val="en-GB"/>
        </w:rPr>
        <w:t xml:space="preserve"> the </w:t>
      </w:r>
      <w:r w:rsidR="0042498A" w:rsidRPr="00D07614">
        <w:rPr>
          <w:lang w:val="en-GB"/>
        </w:rPr>
        <w:t xml:space="preserve">evaluator and </w:t>
      </w:r>
      <w:r w:rsidR="009E470F" w:rsidRPr="00D07614">
        <w:rPr>
          <w:lang w:val="en-GB"/>
        </w:rPr>
        <w:t>ESC</w:t>
      </w:r>
      <w:r w:rsidR="00362BB1" w:rsidRPr="00D07614">
        <w:rPr>
          <w:lang w:val="en-GB"/>
        </w:rPr>
        <w:t>’s</w:t>
      </w:r>
      <w:r w:rsidR="009E470F" w:rsidRPr="00D07614">
        <w:rPr>
          <w:lang w:val="en-GB"/>
        </w:rPr>
        <w:t xml:space="preserve"> </w:t>
      </w:r>
      <w:r w:rsidR="00362BB1" w:rsidRPr="00D07614">
        <w:rPr>
          <w:lang w:val="en-GB"/>
        </w:rPr>
        <w:t xml:space="preserve">concerns </w:t>
      </w:r>
      <w:r w:rsidR="009E470F" w:rsidRPr="00D07614">
        <w:rPr>
          <w:lang w:val="en-GB"/>
        </w:rPr>
        <w:t>that there were</w:t>
      </w:r>
      <w:r w:rsidR="009674BC" w:rsidRPr="00D07614">
        <w:rPr>
          <w:lang w:val="en-GB"/>
        </w:rPr>
        <w:t xml:space="preserve"> </w:t>
      </w:r>
      <w:r w:rsidR="007C1953" w:rsidRPr="00D07614">
        <w:rPr>
          <w:lang w:val="en-GB"/>
        </w:rPr>
        <w:t>limitation</w:t>
      </w:r>
      <w:r w:rsidR="003B15ED" w:rsidRPr="00D07614">
        <w:rPr>
          <w:lang w:val="en-GB"/>
        </w:rPr>
        <w:t xml:space="preserve">s in the </w:t>
      </w:r>
      <w:r w:rsidR="00257158" w:rsidRPr="00D07614">
        <w:rPr>
          <w:lang w:val="en-GB"/>
        </w:rPr>
        <w:t>methodology of the ITC</w:t>
      </w:r>
      <w:r w:rsidR="007C1953" w:rsidRPr="00D07614">
        <w:rPr>
          <w:lang w:val="en-GB"/>
        </w:rPr>
        <w:t xml:space="preserve"> </w:t>
      </w:r>
      <w:r w:rsidR="00AA6110" w:rsidRPr="00D07614">
        <w:rPr>
          <w:lang w:val="en-GB"/>
        </w:rPr>
        <w:t xml:space="preserve">related to </w:t>
      </w:r>
      <w:r w:rsidR="005820B5" w:rsidRPr="00D07614">
        <w:rPr>
          <w:lang w:val="en-GB"/>
        </w:rPr>
        <w:t xml:space="preserve">transitivity assumptions due to </w:t>
      </w:r>
      <w:r w:rsidR="00B953A5" w:rsidRPr="00D07614">
        <w:rPr>
          <w:lang w:val="en-GB"/>
        </w:rPr>
        <w:t xml:space="preserve">differences </w:t>
      </w:r>
      <w:r w:rsidR="005820B5" w:rsidRPr="00D07614">
        <w:rPr>
          <w:rFonts w:eastAsia="Calibri"/>
        </w:rPr>
        <w:t>in the eligibility criteria, study design, baseline characteristics and duration of treatment between the ITT populations</w:t>
      </w:r>
      <w:r w:rsidR="00B953A5" w:rsidRPr="00D07614">
        <w:rPr>
          <w:lang w:val="en-GB"/>
        </w:rPr>
        <w:t xml:space="preserve"> </w:t>
      </w:r>
      <w:r w:rsidR="009E470F" w:rsidRPr="00D07614">
        <w:rPr>
          <w:lang w:val="en-GB"/>
        </w:rPr>
        <w:t xml:space="preserve">and </w:t>
      </w:r>
      <w:r w:rsidR="0042498A" w:rsidRPr="00D07614">
        <w:rPr>
          <w:lang w:val="en-GB"/>
        </w:rPr>
        <w:t xml:space="preserve">the risk of bias with the </w:t>
      </w:r>
      <w:r w:rsidR="009E470F" w:rsidRPr="00D07614">
        <w:rPr>
          <w:lang w:val="en-GB"/>
        </w:rPr>
        <w:t>post</w:t>
      </w:r>
      <w:r w:rsidR="007815DC">
        <w:rPr>
          <w:lang w:val="en-GB"/>
        </w:rPr>
        <w:t xml:space="preserve"> </w:t>
      </w:r>
      <w:r w:rsidR="009E470F" w:rsidRPr="00D07614">
        <w:rPr>
          <w:lang w:val="en-GB"/>
        </w:rPr>
        <w:t>hoc subgroup analyses.</w:t>
      </w:r>
      <w:r w:rsidR="004537B6" w:rsidRPr="00D07614">
        <w:rPr>
          <w:lang w:val="en-GB"/>
        </w:rPr>
        <w:t xml:space="preserve"> However, </w:t>
      </w:r>
      <w:r w:rsidR="00362BB1" w:rsidRPr="00D07614">
        <w:rPr>
          <w:lang w:val="en-GB"/>
        </w:rPr>
        <w:t>overall,</w:t>
      </w:r>
      <w:r w:rsidR="004537B6" w:rsidRPr="00D07614">
        <w:rPr>
          <w:lang w:val="en-GB"/>
        </w:rPr>
        <w:t xml:space="preserve"> the PBAC </w:t>
      </w:r>
      <w:r w:rsidR="00CC539A" w:rsidRPr="00D07614">
        <w:rPr>
          <w:lang w:val="en-GB"/>
        </w:rPr>
        <w:t xml:space="preserve">agreed with the ESC that </w:t>
      </w:r>
      <w:r w:rsidR="00CC539A" w:rsidRPr="00D07614">
        <w:rPr>
          <w:rFonts w:eastAsia="Calibri"/>
        </w:rPr>
        <w:t xml:space="preserve">despite the identified limitations with the ITCs, there were no significant differences between omalizumab and mepolizumab </w:t>
      </w:r>
      <w:r w:rsidR="006A13C2">
        <w:rPr>
          <w:rFonts w:eastAsia="Calibri"/>
        </w:rPr>
        <w:t xml:space="preserve">and </w:t>
      </w:r>
      <w:r w:rsidR="00CC539A" w:rsidRPr="00D07614">
        <w:rPr>
          <w:rFonts w:eastAsia="Calibri"/>
        </w:rPr>
        <w:t>the conclusion of non-inferior comparative eff</w:t>
      </w:r>
      <w:r w:rsidR="00D07614" w:rsidRPr="00D07614">
        <w:rPr>
          <w:rFonts w:eastAsia="Calibri"/>
        </w:rPr>
        <w:t>ectiveness</w:t>
      </w:r>
      <w:r w:rsidR="00CC539A" w:rsidRPr="00D07614">
        <w:rPr>
          <w:rFonts w:eastAsia="Calibri"/>
        </w:rPr>
        <w:t xml:space="preserve"> was reasonable</w:t>
      </w:r>
      <w:r w:rsidR="00D07614" w:rsidRPr="00D07614">
        <w:rPr>
          <w:rFonts w:eastAsia="Calibri"/>
        </w:rPr>
        <w:t>.</w:t>
      </w:r>
    </w:p>
    <w:p w14:paraId="2EBAEB20" w14:textId="7255453D" w:rsidR="00B23BDA" w:rsidRPr="00CE42B4" w:rsidRDefault="00001A1A" w:rsidP="009433B8">
      <w:pPr>
        <w:pStyle w:val="3-BodyText"/>
        <w:rPr>
          <w:snapToGrid w:val="0"/>
          <w:lang w:val="en-GB"/>
        </w:rPr>
      </w:pPr>
      <w:r>
        <w:rPr>
          <w:snapToGrid w:val="0"/>
          <w:lang w:val="en-GB"/>
        </w:rPr>
        <w:t xml:space="preserve">In regard to </w:t>
      </w:r>
      <w:r w:rsidR="00724AD2">
        <w:rPr>
          <w:snapToGrid w:val="0"/>
          <w:lang w:val="en-GB"/>
        </w:rPr>
        <w:t xml:space="preserve">comparative </w:t>
      </w:r>
      <w:r>
        <w:rPr>
          <w:snapToGrid w:val="0"/>
          <w:lang w:val="en-GB"/>
        </w:rPr>
        <w:t>safety, t</w:t>
      </w:r>
      <w:r w:rsidR="009F3F8F">
        <w:rPr>
          <w:snapToGrid w:val="0"/>
          <w:lang w:val="en-GB"/>
        </w:rPr>
        <w:t xml:space="preserve">he PBAC </w:t>
      </w:r>
      <w:r w:rsidR="006F1CEB">
        <w:rPr>
          <w:snapToGrid w:val="0"/>
          <w:lang w:val="en-GB"/>
        </w:rPr>
        <w:t>considered</w:t>
      </w:r>
      <w:r w:rsidR="005953E7">
        <w:rPr>
          <w:snapToGrid w:val="0"/>
          <w:lang w:val="en-GB"/>
        </w:rPr>
        <w:t xml:space="preserve"> that the meta-analysis of the POLYP trials showed no difference</w:t>
      </w:r>
      <w:r w:rsidR="004D3164">
        <w:rPr>
          <w:snapToGrid w:val="0"/>
          <w:lang w:val="en-GB"/>
        </w:rPr>
        <w:t xml:space="preserve"> </w:t>
      </w:r>
      <w:r w:rsidR="00CF446C">
        <w:rPr>
          <w:snapToGrid w:val="0"/>
          <w:lang w:val="en-GB"/>
        </w:rPr>
        <w:t>b</w:t>
      </w:r>
      <w:r w:rsidR="004D3164">
        <w:rPr>
          <w:snapToGrid w:val="0"/>
          <w:lang w:val="en-GB"/>
        </w:rPr>
        <w:t xml:space="preserve">etween treatment with omalizumab and </w:t>
      </w:r>
      <w:r w:rsidR="004B4C19">
        <w:rPr>
          <w:snapToGrid w:val="0"/>
          <w:lang w:val="en-GB"/>
        </w:rPr>
        <w:t>SOC</w:t>
      </w:r>
      <w:r w:rsidR="005953E7">
        <w:rPr>
          <w:snapToGrid w:val="0"/>
          <w:lang w:val="en-GB"/>
        </w:rPr>
        <w:t xml:space="preserve"> </w:t>
      </w:r>
      <w:r w:rsidR="00422600">
        <w:rPr>
          <w:snapToGrid w:val="0"/>
          <w:lang w:val="en-GB"/>
        </w:rPr>
        <w:t>in treatment emergen</w:t>
      </w:r>
      <w:r w:rsidR="005A42D2">
        <w:rPr>
          <w:snapToGrid w:val="0"/>
          <w:lang w:val="en-GB"/>
        </w:rPr>
        <w:t>t</w:t>
      </w:r>
      <w:r w:rsidR="00422600">
        <w:rPr>
          <w:snapToGrid w:val="0"/>
          <w:lang w:val="en-GB"/>
        </w:rPr>
        <w:t xml:space="preserve"> adverse events; </w:t>
      </w:r>
      <w:r w:rsidR="004D3164">
        <w:rPr>
          <w:snapToGrid w:val="0"/>
          <w:lang w:val="en-GB"/>
        </w:rPr>
        <w:t>serious adverse events</w:t>
      </w:r>
      <w:r w:rsidR="004B4C19">
        <w:rPr>
          <w:snapToGrid w:val="0"/>
          <w:lang w:val="en-GB"/>
        </w:rPr>
        <w:t xml:space="preserve">, treatment related adverse events </w:t>
      </w:r>
      <w:r w:rsidR="00A278D5">
        <w:rPr>
          <w:snapToGrid w:val="0"/>
          <w:lang w:val="en-GB"/>
        </w:rPr>
        <w:t>or adverse events leading to treatment discontinuation</w:t>
      </w:r>
      <w:r w:rsidR="00DA51AC">
        <w:rPr>
          <w:snapToGrid w:val="0"/>
          <w:lang w:val="en-GB"/>
        </w:rPr>
        <w:t xml:space="preserve"> (see </w:t>
      </w:r>
      <w:r w:rsidR="00B83E04">
        <w:rPr>
          <w:snapToGrid w:val="0"/>
          <w:lang w:val="en-GB"/>
        </w:rPr>
        <w:fldChar w:fldCharType="begin"/>
      </w:r>
      <w:r w:rsidR="00B83E04">
        <w:rPr>
          <w:snapToGrid w:val="0"/>
          <w:lang w:val="en-GB"/>
        </w:rPr>
        <w:instrText xml:space="preserve"> REF _Ref190211396 \h </w:instrText>
      </w:r>
      <w:r w:rsidR="00B83E04">
        <w:rPr>
          <w:snapToGrid w:val="0"/>
          <w:lang w:val="en-GB"/>
        </w:rPr>
      </w:r>
      <w:r w:rsidR="00B83E04">
        <w:rPr>
          <w:snapToGrid w:val="0"/>
          <w:lang w:val="en-GB"/>
        </w:rPr>
        <w:fldChar w:fldCharType="separate"/>
      </w:r>
      <w:r w:rsidR="00CE52BF">
        <w:t xml:space="preserve">Table </w:t>
      </w:r>
      <w:r w:rsidR="00CE52BF">
        <w:rPr>
          <w:noProof/>
        </w:rPr>
        <w:t>9</w:t>
      </w:r>
      <w:r w:rsidR="00B83E04">
        <w:rPr>
          <w:snapToGrid w:val="0"/>
          <w:lang w:val="en-GB"/>
        </w:rPr>
        <w:fldChar w:fldCharType="end"/>
      </w:r>
      <w:r w:rsidR="00B83E04">
        <w:rPr>
          <w:snapToGrid w:val="0"/>
          <w:lang w:val="en-GB"/>
        </w:rPr>
        <w:t>).</w:t>
      </w:r>
      <w:r w:rsidR="00A278D5">
        <w:rPr>
          <w:snapToGrid w:val="0"/>
          <w:lang w:val="en-GB"/>
        </w:rPr>
        <w:t xml:space="preserve"> </w:t>
      </w:r>
      <w:r w:rsidR="00CF446C">
        <w:rPr>
          <w:snapToGrid w:val="0"/>
          <w:lang w:val="en-GB"/>
        </w:rPr>
        <w:t>Further, no differences between omalizumab</w:t>
      </w:r>
      <w:r w:rsidR="00A462BD">
        <w:rPr>
          <w:snapToGrid w:val="0"/>
          <w:lang w:val="en-GB"/>
        </w:rPr>
        <w:t xml:space="preserve"> and mepolizumab were observed </w:t>
      </w:r>
      <w:r w:rsidR="00F03A6F">
        <w:rPr>
          <w:snapToGrid w:val="0"/>
          <w:lang w:val="en-GB"/>
        </w:rPr>
        <w:t>in the ITC between POLYP</w:t>
      </w:r>
      <w:r w:rsidR="00990AB2">
        <w:rPr>
          <w:snapToGrid w:val="0"/>
          <w:lang w:val="en-GB"/>
        </w:rPr>
        <w:t>1/1 and SYNAPSE/MERIT</w:t>
      </w:r>
      <w:r w:rsidR="00B83E04">
        <w:rPr>
          <w:snapToGrid w:val="0"/>
          <w:lang w:val="en-GB"/>
        </w:rPr>
        <w:t xml:space="preserve"> (see </w:t>
      </w:r>
      <w:r w:rsidR="00B83E04">
        <w:rPr>
          <w:snapToGrid w:val="0"/>
          <w:lang w:val="en-GB"/>
        </w:rPr>
        <w:fldChar w:fldCharType="begin"/>
      </w:r>
      <w:r w:rsidR="00B83E04">
        <w:rPr>
          <w:snapToGrid w:val="0"/>
          <w:lang w:val="en-GB"/>
        </w:rPr>
        <w:instrText xml:space="preserve"> REF _Ref190436135 \h </w:instrText>
      </w:r>
      <w:r w:rsidR="00B83E04">
        <w:rPr>
          <w:snapToGrid w:val="0"/>
          <w:lang w:val="en-GB"/>
        </w:rPr>
      </w:r>
      <w:r w:rsidR="00B83E04">
        <w:rPr>
          <w:snapToGrid w:val="0"/>
          <w:lang w:val="en-GB"/>
        </w:rPr>
        <w:fldChar w:fldCharType="separate"/>
      </w:r>
      <w:r w:rsidR="00CE52BF">
        <w:t xml:space="preserve">Table </w:t>
      </w:r>
      <w:r w:rsidR="00CE52BF">
        <w:rPr>
          <w:noProof/>
        </w:rPr>
        <w:t>10</w:t>
      </w:r>
      <w:r w:rsidR="00B83E04">
        <w:rPr>
          <w:snapToGrid w:val="0"/>
          <w:lang w:val="en-GB"/>
        </w:rPr>
        <w:fldChar w:fldCharType="end"/>
      </w:r>
      <w:r w:rsidR="00B83E04">
        <w:rPr>
          <w:snapToGrid w:val="0"/>
          <w:lang w:val="en-GB"/>
        </w:rPr>
        <w:t>)</w:t>
      </w:r>
      <w:r w:rsidR="00990AB2">
        <w:rPr>
          <w:snapToGrid w:val="0"/>
          <w:lang w:val="en-GB"/>
        </w:rPr>
        <w:t>.</w:t>
      </w:r>
      <w:r w:rsidR="00CF446C">
        <w:rPr>
          <w:snapToGrid w:val="0"/>
          <w:lang w:val="en-GB"/>
        </w:rPr>
        <w:t xml:space="preserve"> </w:t>
      </w:r>
      <w:r w:rsidR="00C91838">
        <w:rPr>
          <w:snapToGrid w:val="0"/>
          <w:lang w:val="en-GB"/>
        </w:rPr>
        <w:t>Overall</w:t>
      </w:r>
      <w:r w:rsidR="00990AB2">
        <w:rPr>
          <w:snapToGrid w:val="0"/>
          <w:lang w:val="en-GB"/>
        </w:rPr>
        <w:t>, t</w:t>
      </w:r>
      <w:r w:rsidR="00122B8B">
        <w:rPr>
          <w:snapToGrid w:val="0"/>
          <w:lang w:val="en-GB"/>
        </w:rPr>
        <w:t xml:space="preserve">he PBAC </w:t>
      </w:r>
      <w:r w:rsidR="00C91838">
        <w:rPr>
          <w:snapToGrid w:val="0"/>
          <w:lang w:val="en-GB"/>
        </w:rPr>
        <w:t xml:space="preserve">was satisfied </w:t>
      </w:r>
      <w:r w:rsidR="006420C1">
        <w:rPr>
          <w:snapToGrid w:val="0"/>
          <w:lang w:val="en-GB"/>
        </w:rPr>
        <w:t xml:space="preserve">that the clam of non-inferior comparative safety was </w:t>
      </w:r>
      <w:r w:rsidR="00F50DF6">
        <w:rPr>
          <w:snapToGrid w:val="0"/>
          <w:lang w:val="en-GB"/>
        </w:rPr>
        <w:t>reasonable</w:t>
      </w:r>
      <w:r w:rsidR="00B23BDA" w:rsidRPr="00CE42B4">
        <w:rPr>
          <w:snapToGrid w:val="0"/>
          <w:lang w:val="en-GB"/>
        </w:rPr>
        <w:t>.</w:t>
      </w:r>
    </w:p>
    <w:p w14:paraId="53DAED76" w14:textId="2677725F" w:rsidR="00B23BDA" w:rsidRPr="00186FBC" w:rsidRDefault="00BE1B9E" w:rsidP="00186FBC">
      <w:pPr>
        <w:pStyle w:val="3-BodyText"/>
        <w:rPr>
          <w:snapToGrid w:val="0"/>
        </w:rPr>
      </w:pPr>
      <w:r>
        <w:rPr>
          <w:snapToGrid w:val="0"/>
          <w:lang w:val="en-GB"/>
        </w:rPr>
        <w:t xml:space="preserve">The PBAC considered </w:t>
      </w:r>
      <w:r w:rsidR="00537660">
        <w:rPr>
          <w:snapToGrid w:val="0"/>
          <w:lang w:val="en-GB"/>
        </w:rPr>
        <w:t>the</w:t>
      </w:r>
      <w:r w:rsidR="00F14874">
        <w:rPr>
          <w:snapToGrid w:val="0"/>
          <w:lang w:val="en-GB"/>
        </w:rPr>
        <w:t xml:space="preserve"> cost minimisation </w:t>
      </w:r>
      <w:r w:rsidR="00B83E04">
        <w:rPr>
          <w:snapToGrid w:val="0"/>
          <w:lang w:val="en-GB"/>
        </w:rPr>
        <w:t>approach (CMA)</w:t>
      </w:r>
      <w:r w:rsidR="00F14874">
        <w:rPr>
          <w:snapToGrid w:val="0"/>
          <w:lang w:val="en-GB"/>
        </w:rPr>
        <w:t xml:space="preserve"> of omalizumab versus mepol</w:t>
      </w:r>
      <w:r w:rsidR="00682859">
        <w:rPr>
          <w:snapToGrid w:val="0"/>
          <w:lang w:val="en-GB"/>
        </w:rPr>
        <w:t>iz</w:t>
      </w:r>
      <w:r w:rsidR="00A928FA">
        <w:rPr>
          <w:snapToGrid w:val="0"/>
          <w:lang w:val="en-GB"/>
        </w:rPr>
        <w:t>u</w:t>
      </w:r>
      <w:r w:rsidR="00F14874">
        <w:rPr>
          <w:snapToGrid w:val="0"/>
          <w:lang w:val="en-GB"/>
        </w:rPr>
        <w:t>mab</w:t>
      </w:r>
      <w:r w:rsidR="00682859">
        <w:rPr>
          <w:snapToGrid w:val="0"/>
          <w:lang w:val="en-GB"/>
        </w:rPr>
        <w:t xml:space="preserve"> based on the claim of non-inferior efficacy and safety</w:t>
      </w:r>
      <w:r w:rsidR="00537660">
        <w:rPr>
          <w:snapToGrid w:val="0"/>
          <w:lang w:val="en-GB"/>
        </w:rPr>
        <w:t xml:space="preserve"> </w:t>
      </w:r>
      <w:r w:rsidR="00CF37FA">
        <w:rPr>
          <w:snapToGrid w:val="0"/>
          <w:lang w:val="en-GB"/>
        </w:rPr>
        <w:t>was</w:t>
      </w:r>
      <w:r w:rsidR="00537660">
        <w:rPr>
          <w:snapToGrid w:val="0"/>
          <w:lang w:val="en-GB"/>
        </w:rPr>
        <w:t xml:space="preserve"> reasonable</w:t>
      </w:r>
      <w:r>
        <w:rPr>
          <w:snapToGrid w:val="0"/>
          <w:lang w:val="en-GB"/>
        </w:rPr>
        <w:t>.</w:t>
      </w:r>
      <w:r w:rsidR="00682859">
        <w:rPr>
          <w:snapToGrid w:val="0"/>
          <w:lang w:val="en-GB"/>
        </w:rPr>
        <w:t xml:space="preserve"> </w:t>
      </w:r>
      <w:r w:rsidR="00C7790D">
        <w:rPr>
          <w:snapToGrid w:val="0"/>
          <w:lang w:val="en-GB"/>
        </w:rPr>
        <w:t xml:space="preserve">The PBAC </w:t>
      </w:r>
      <w:r w:rsidR="001C4C2C">
        <w:rPr>
          <w:snapToGrid w:val="0"/>
          <w:lang w:val="en-GB"/>
        </w:rPr>
        <w:t>agreed with the ESC that it was reasonable</w:t>
      </w:r>
      <w:r w:rsidR="00B73A2B">
        <w:rPr>
          <w:snapToGrid w:val="0"/>
          <w:lang w:val="en-GB"/>
        </w:rPr>
        <w:t xml:space="preserve"> to accept the same price for patient subgroups with </w:t>
      </w:r>
      <w:r w:rsidR="009435A3" w:rsidRPr="009435A3">
        <w:rPr>
          <w:snapToGrid w:val="0"/>
          <w:lang w:val="en-GB"/>
        </w:rPr>
        <w:t>BEC &lt;300 cells/µl and the BEC ≥300 cells/µl subgroups</w:t>
      </w:r>
      <w:r w:rsidR="00841782">
        <w:rPr>
          <w:snapToGrid w:val="0"/>
          <w:lang w:val="en-GB"/>
        </w:rPr>
        <w:t xml:space="preserve"> </w:t>
      </w:r>
      <w:r w:rsidR="00B23142">
        <w:rPr>
          <w:snapToGrid w:val="0"/>
          <w:lang w:val="en-GB"/>
        </w:rPr>
        <w:t>given</w:t>
      </w:r>
      <w:r w:rsidR="00841782">
        <w:rPr>
          <w:snapToGrid w:val="0"/>
          <w:lang w:val="en-GB"/>
        </w:rPr>
        <w:t xml:space="preserve"> that </w:t>
      </w:r>
      <w:r w:rsidR="00B23142" w:rsidRPr="00B23142">
        <w:rPr>
          <w:snapToGrid w:val="0"/>
          <w:lang w:val="en-GB"/>
        </w:rPr>
        <w:t>both the BEC and IgE thresholds aim to identify patients with the same underlying biological process but account for the different modes of action between the two treatments</w:t>
      </w:r>
      <w:r w:rsidR="00BE49CE">
        <w:rPr>
          <w:snapToGrid w:val="0"/>
          <w:lang w:val="en-GB"/>
        </w:rPr>
        <w:t>.</w:t>
      </w:r>
      <w:r w:rsidR="009435A3" w:rsidRPr="009435A3">
        <w:rPr>
          <w:snapToGrid w:val="0"/>
          <w:lang w:val="en-GB"/>
        </w:rPr>
        <w:t xml:space="preserve"> </w:t>
      </w:r>
      <w:r w:rsidR="00186FBC" w:rsidRPr="00DA6F71">
        <w:rPr>
          <w:snapToGrid w:val="0"/>
          <w:lang w:val="en-GB"/>
        </w:rPr>
        <w:t xml:space="preserve">PBAC considered that </w:t>
      </w:r>
      <w:r w:rsidR="00186FBC" w:rsidRPr="00DA6F71">
        <w:rPr>
          <w:lang w:val="en-GB"/>
        </w:rPr>
        <w:t xml:space="preserve">extrapolating from the ITC with mepolizumab to establish cost effectiveness in the expanded patient population </w:t>
      </w:r>
      <w:r w:rsidR="00B83E04">
        <w:rPr>
          <w:lang w:val="en-GB"/>
        </w:rPr>
        <w:t>wa</w:t>
      </w:r>
      <w:r w:rsidR="00186FBC" w:rsidRPr="00DA6F71">
        <w:rPr>
          <w:lang w:val="en-GB"/>
        </w:rPr>
        <w:t xml:space="preserve">s uncertain but likely acceptable in clinical terms. </w:t>
      </w:r>
    </w:p>
    <w:p w14:paraId="158E599B" w14:textId="6F53A340" w:rsidR="00E258CE" w:rsidRDefault="00ED0F0C" w:rsidP="00E258CE">
      <w:pPr>
        <w:pStyle w:val="3-BodyText"/>
      </w:pPr>
      <w:r w:rsidRPr="001A637E">
        <w:rPr>
          <w:lang w:val="en-GB"/>
        </w:rPr>
        <w:t xml:space="preserve">The PBAC </w:t>
      </w:r>
      <w:r w:rsidR="00C65E3D">
        <w:rPr>
          <w:lang w:val="en-GB"/>
        </w:rPr>
        <w:t xml:space="preserve">noted </w:t>
      </w:r>
      <w:r w:rsidRPr="001A637E">
        <w:rPr>
          <w:lang w:val="en-GB"/>
        </w:rPr>
        <w:t xml:space="preserve">that </w:t>
      </w:r>
      <w:r w:rsidRPr="00ED0F0C">
        <w:rPr>
          <w:lang w:val="en-GB"/>
        </w:rPr>
        <w:t>equi-effective doses</w:t>
      </w:r>
      <w:r w:rsidRPr="001A637E">
        <w:rPr>
          <w:lang w:val="en-GB"/>
        </w:rPr>
        <w:t xml:space="preserve"> </w:t>
      </w:r>
      <w:r w:rsidR="00C65E3D">
        <w:rPr>
          <w:lang w:val="en-GB"/>
        </w:rPr>
        <w:t xml:space="preserve">for </w:t>
      </w:r>
      <w:r w:rsidR="00C65E3D" w:rsidRPr="00ED0F0C">
        <w:rPr>
          <w:lang w:val="en-GB"/>
        </w:rPr>
        <w:t>omalizumab</w:t>
      </w:r>
      <w:r w:rsidR="00C65E3D">
        <w:rPr>
          <w:lang w:val="en-GB"/>
        </w:rPr>
        <w:t xml:space="preserve"> </w:t>
      </w:r>
      <w:r w:rsidRPr="001A637E">
        <w:rPr>
          <w:lang w:val="en-GB"/>
        </w:rPr>
        <w:t>in the submission</w:t>
      </w:r>
      <w:r w:rsidRPr="00ED0F0C">
        <w:rPr>
          <w:lang w:val="en-GB"/>
        </w:rPr>
        <w:t xml:space="preserve"> were estimated </w:t>
      </w:r>
      <w:r w:rsidR="000C4FEA" w:rsidRPr="000C4FEA">
        <w:rPr>
          <w:lang w:val="en-GB"/>
        </w:rPr>
        <w:t>after excluding patients</w:t>
      </w:r>
      <w:r w:rsidR="00C65E3D">
        <w:rPr>
          <w:lang w:val="en-GB"/>
        </w:rPr>
        <w:t xml:space="preserve"> in the POLYP 1//2 trials</w:t>
      </w:r>
      <w:r w:rsidR="000C4FEA" w:rsidRPr="000C4FEA">
        <w:rPr>
          <w:lang w:val="en-GB"/>
        </w:rPr>
        <w:t xml:space="preserve"> who were administered doses outside of the recommended dose (&gt; 750 mg per 4-weekly cycle) as described in the TGA approved PI (n=10, 7.4%).</w:t>
      </w:r>
      <w:r w:rsidR="00B17943">
        <w:rPr>
          <w:lang w:val="en-GB"/>
        </w:rPr>
        <w:t xml:space="preserve"> The PBAC agreed with the ESC </w:t>
      </w:r>
      <w:r w:rsidR="009539C7">
        <w:rPr>
          <w:lang w:val="en-GB"/>
        </w:rPr>
        <w:t xml:space="preserve">(paragraph </w:t>
      </w:r>
      <w:r w:rsidR="009539C7">
        <w:rPr>
          <w:lang w:val="en-GB"/>
        </w:rPr>
        <w:fldChar w:fldCharType="begin"/>
      </w:r>
      <w:r w:rsidR="009539C7">
        <w:rPr>
          <w:lang w:val="en-GB"/>
        </w:rPr>
        <w:instrText xml:space="preserve"> REF _Ref198629120 \r \h </w:instrText>
      </w:r>
      <w:r w:rsidR="009539C7">
        <w:rPr>
          <w:lang w:val="en-GB"/>
        </w:rPr>
      </w:r>
      <w:r w:rsidR="009539C7">
        <w:rPr>
          <w:lang w:val="en-GB"/>
        </w:rPr>
        <w:fldChar w:fldCharType="separate"/>
      </w:r>
      <w:r w:rsidR="00CE52BF">
        <w:rPr>
          <w:lang w:val="en-GB"/>
        </w:rPr>
        <w:t>6.75</w:t>
      </w:r>
      <w:r w:rsidR="009539C7">
        <w:rPr>
          <w:lang w:val="en-GB"/>
        </w:rPr>
        <w:fldChar w:fldCharType="end"/>
      </w:r>
      <w:r w:rsidR="009539C7">
        <w:rPr>
          <w:lang w:val="en-GB"/>
        </w:rPr>
        <w:t xml:space="preserve">) </w:t>
      </w:r>
      <w:r w:rsidR="00B17943">
        <w:rPr>
          <w:lang w:val="en-GB"/>
        </w:rPr>
        <w:t xml:space="preserve">that it was more </w:t>
      </w:r>
      <w:r w:rsidR="00E31AD8">
        <w:rPr>
          <w:lang w:val="en-GB"/>
        </w:rPr>
        <w:t xml:space="preserve">appropriate to </w:t>
      </w:r>
      <w:r w:rsidR="00D64023">
        <w:rPr>
          <w:lang w:val="en-GB"/>
        </w:rPr>
        <w:t xml:space="preserve">include these patients and </w:t>
      </w:r>
      <w:r w:rsidR="00E31AD8">
        <w:rPr>
          <w:lang w:val="en-GB"/>
        </w:rPr>
        <w:t xml:space="preserve">use the </w:t>
      </w:r>
      <w:r w:rsidR="00E31AD8" w:rsidRPr="00E31AD8">
        <w:rPr>
          <w:lang w:val="en-GB"/>
        </w:rPr>
        <w:t xml:space="preserve">mean treatment dose in </w:t>
      </w:r>
      <w:r w:rsidR="00E31AD8">
        <w:rPr>
          <w:lang w:val="en-GB"/>
        </w:rPr>
        <w:t xml:space="preserve">the </w:t>
      </w:r>
      <w:r w:rsidR="00E31AD8" w:rsidRPr="00E31AD8">
        <w:rPr>
          <w:lang w:val="en-GB"/>
        </w:rPr>
        <w:t>POLYP trials</w:t>
      </w:r>
      <w:r w:rsidR="00D64023">
        <w:rPr>
          <w:lang w:val="en-GB"/>
        </w:rPr>
        <w:t xml:space="preserve"> resulting in a </w:t>
      </w:r>
      <w:r w:rsidR="003D371A">
        <w:rPr>
          <w:lang w:val="en-GB"/>
        </w:rPr>
        <w:t xml:space="preserve">higher mean </w:t>
      </w:r>
      <w:r w:rsidR="006B14AB">
        <w:rPr>
          <w:lang w:val="en-GB"/>
        </w:rPr>
        <w:t xml:space="preserve">omalizumab </w:t>
      </w:r>
      <w:r w:rsidR="003D371A">
        <w:rPr>
          <w:lang w:val="en-GB"/>
        </w:rPr>
        <w:t xml:space="preserve">dose of </w:t>
      </w:r>
      <w:r w:rsidR="003D371A" w:rsidRPr="00300860">
        <w:rPr>
          <w:lang w:val="en-GB"/>
        </w:rPr>
        <w:t>346.</w:t>
      </w:r>
      <w:r w:rsidR="00913162" w:rsidRPr="00300860">
        <w:rPr>
          <w:lang w:val="en-GB"/>
        </w:rPr>
        <w:t>67</w:t>
      </w:r>
      <w:r w:rsidR="00913162">
        <w:rPr>
          <w:lang w:val="en-GB"/>
        </w:rPr>
        <w:t> </w:t>
      </w:r>
      <w:r w:rsidR="003D371A" w:rsidRPr="00300860">
        <w:rPr>
          <w:lang w:val="en-GB"/>
        </w:rPr>
        <w:t>mg</w:t>
      </w:r>
      <w:r w:rsidR="006B14AB">
        <w:rPr>
          <w:lang w:val="en-GB"/>
        </w:rPr>
        <w:t xml:space="preserve"> every 4 weeks</w:t>
      </w:r>
      <w:r w:rsidR="00092CFB">
        <w:rPr>
          <w:lang w:val="en-GB"/>
        </w:rPr>
        <w:t>.</w:t>
      </w:r>
    </w:p>
    <w:p w14:paraId="302DE21F" w14:textId="61BB5FAB" w:rsidR="00944C4E" w:rsidRPr="002B244F" w:rsidRDefault="00455407" w:rsidP="00A22587">
      <w:pPr>
        <w:pStyle w:val="3-BodyText"/>
      </w:pPr>
      <w:r w:rsidRPr="00E258CE">
        <w:rPr>
          <w:snapToGrid w:val="0"/>
          <w:lang w:val="en-GB"/>
        </w:rPr>
        <w:t xml:space="preserve">The PBAC agreed </w:t>
      </w:r>
      <w:r w:rsidR="006B14AB">
        <w:rPr>
          <w:snapToGrid w:val="0"/>
          <w:lang w:val="en-GB"/>
        </w:rPr>
        <w:t xml:space="preserve">with the ESC </w:t>
      </w:r>
      <w:r w:rsidRPr="00E258CE">
        <w:rPr>
          <w:snapToGrid w:val="0"/>
          <w:lang w:val="en-GB"/>
        </w:rPr>
        <w:t xml:space="preserve">that given </w:t>
      </w:r>
      <w:r w:rsidR="00DF28A6" w:rsidRPr="00281D51">
        <w:t>anaphylaxis</w:t>
      </w:r>
      <w:r w:rsidRPr="00281D51">
        <w:t xml:space="preserve"> reactions following administration of omalizumab have been reported</w:t>
      </w:r>
      <w:r>
        <w:t xml:space="preserve">, it </w:t>
      </w:r>
      <w:r w:rsidR="006B14AB">
        <w:t>wa</w:t>
      </w:r>
      <w:r>
        <w:t xml:space="preserve">s reasonable for the </w:t>
      </w:r>
      <w:r w:rsidR="006B14AB">
        <w:t xml:space="preserve">cost of supervision for the </w:t>
      </w:r>
      <w:r>
        <w:t xml:space="preserve">first three administrations </w:t>
      </w:r>
      <w:r w:rsidR="00C14D9C">
        <w:t xml:space="preserve">to </w:t>
      </w:r>
      <w:r w:rsidRPr="00281D51">
        <w:t xml:space="preserve">be included, consistent with the </w:t>
      </w:r>
      <w:r w:rsidR="00944C4E">
        <w:t xml:space="preserve">TGA Product Information and the </w:t>
      </w:r>
      <w:r w:rsidRPr="00281D51">
        <w:t xml:space="preserve">approach taken in the PBAC’s prior consideration of mepolizumab (para 6.21, 6.22, mepolizumab PSD, July 2016 PBAC meeting). This </w:t>
      </w:r>
      <w:r w:rsidRPr="00281D51">
        <w:lastRenderedPageBreak/>
        <w:t>includes specialist fees for administration</w:t>
      </w:r>
      <w:r w:rsidR="006C6AA3">
        <w:t>,</w:t>
      </w:r>
      <w:r w:rsidRPr="00281D51">
        <w:t xml:space="preserve"> and nurse supervision </w:t>
      </w:r>
      <w:r w:rsidR="006C6AA3">
        <w:t xml:space="preserve">for monitoring </w:t>
      </w:r>
      <w:r w:rsidRPr="00281D51">
        <w:t>post dose</w:t>
      </w:r>
      <w:r w:rsidR="00040183">
        <w:t xml:space="preserve"> (see sensitivity analysis in </w:t>
      </w:r>
      <w:r w:rsidR="00DF012E" w:rsidRPr="00DF012E">
        <w:fldChar w:fldCharType="begin"/>
      </w:r>
      <w:r w:rsidR="00DF012E" w:rsidRPr="00DF012E">
        <w:instrText xml:space="preserve"> REF _Ref192685159 \h  \* MERGEFORMAT </w:instrText>
      </w:r>
      <w:r w:rsidR="00DF012E" w:rsidRPr="00DF012E">
        <w:fldChar w:fldCharType="separate"/>
      </w:r>
      <w:r w:rsidR="00CE52BF" w:rsidRPr="00CE52BF">
        <w:t>Table 14</w:t>
      </w:r>
      <w:r w:rsidR="00DF012E" w:rsidRPr="00DF012E">
        <w:fldChar w:fldCharType="end"/>
      </w:r>
      <w:r w:rsidR="00DF012E">
        <w:t>)</w:t>
      </w:r>
      <w:r w:rsidR="00FF6F8C" w:rsidRPr="00DF012E">
        <w:t>.</w:t>
      </w:r>
      <w:r w:rsidR="00122DA7" w:rsidRPr="00DF012E">
        <w:t xml:space="preserve"> </w:t>
      </w:r>
    </w:p>
    <w:p w14:paraId="4A171F5E" w14:textId="21BB2B86" w:rsidR="000E185A" w:rsidRPr="000E185A" w:rsidRDefault="009C4EF7">
      <w:pPr>
        <w:pStyle w:val="3-BodyText"/>
        <w:rPr>
          <w:snapToGrid w:val="0"/>
        </w:rPr>
      </w:pPr>
      <w:r w:rsidRPr="2BCE08C6">
        <w:t xml:space="preserve">The </w:t>
      </w:r>
      <w:r>
        <w:t xml:space="preserve">PBAC noted </w:t>
      </w:r>
      <w:r w:rsidR="007439C5">
        <w:t xml:space="preserve">the submission </w:t>
      </w:r>
      <w:r w:rsidRPr="2BCE08C6">
        <w:t xml:space="preserve">included </w:t>
      </w:r>
      <w:r w:rsidR="007439C5">
        <w:t xml:space="preserve">a </w:t>
      </w:r>
      <w:r w:rsidRPr="2BCE08C6">
        <w:t>reproduction of the financial estimates based on PBAC’s consideration of mepolizumab in the November 2022 meeting and an additional analysis to account for patients that would not meet mepolizumab’s PBS criteria but would be eligible for omalizumab based on the proposed PBS restriction</w:t>
      </w:r>
      <w:r w:rsidR="007439C5">
        <w:t xml:space="preserve">. </w:t>
      </w:r>
      <w:r w:rsidR="002A26FB">
        <w:t xml:space="preserve">The PBAC noted that mepolizumab </w:t>
      </w:r>
      <w:r w:rsidR="00B23C49">
        <w:t>wa</w:t>
      </w:r>
      <w:r w:rsidR="002A26FB">
        <w:t xml:space="preserve">s subject to a risk sharing arrangement for CRSwNP. </w:t>
      </w:r>
      <w:r w:rsidR="00DE2664" w:rsidRPr="00775A14">
        <w:rPr>
          <w:snapToGrid w:val="0"/>
          <w:lang w:val="en-GB"/>
        </w:rPr>
        <w:t>The PBAC</w:t>
      </w:r>
      <w:r w:rsidR="00DE2664" w:rsidRPr="00B73626">
        <w:rPr>
          <w:snapToGrid w:val="0"/>
          <w:lang w:val="en-GB"/>
        </w:rPr>
        <w:t xml:space="preserve"> </w:t>
      </w:r>
      <w:r w:rsidR="0064313D">
        <w:rPr>
          <w:snapToGrid w:val="0"/>
          <w:lang w:val="en-GB"/>
        </w:rPr>
        <w:t xml:space="preserve">noted the </w:t>
      </w:r>
      <w:r w:rsidR="00C3438E">
        <w:rPr>
          <w:snapToGrid w:val="0"/>
          <w:lang w:val="en-GB"/>
        </w:rPr>
        <w:t xml:space="preserve">submission suggested </w:t>
      </w:r>
      <w:r w:rsidR="00074CD9">
        <w:rPr>
          <w:snapToGrid w:val="0"/>
          <w:lang w:val="en-GB"/>
        </w:rPr>
        <w:t>the</w:t>
      </w:r>
      <w:r w:rsidR="00EE7CDC">
        <w:rPr>
          <w:snapToGrid w:val="0"/>
          <w:lang w:val="en-GB"/>
        </w:rPr>
        <w:t xml:space="preserve"> </w:t>
      </w:r>
      <w:r w:rsidR="00C3438E">
        <w:rPr>
          <w:snapToGrid w:val="0"/>
          <w:lang w:val="en-GB"/>
        </w:rPr>
        <w:t xml:space="preserve">increase in </w:t>
      </w:r>
      <w:r w:rsidR="00A92E31">
        <w:rPr>
          <w:snapToGrid w:val="0"/>
          <w:lang w:val="en-GB"/>
        </w:rPr>
        <w:t xml:space="preserve">Government </w:t>
      </w:r>
      <w:r w:rsidR="00C3438E">
        <w:rPr>
          <w:snapToGrid w:val="0"/>
          <w:lang w:val="en-GB"/>
        </w:rPr>
        <w:t xml:space="preserve">expenditure </w:t>
      </w:r>
      <w:r w:rsidR="00EE7CDC">
        <w:rPr>
          <w:snapToGrid w:val="0"/>
          <w:lang w:val="en-GB"/>
        </w:rPr>
        <w:t>due to</w:t>
      </w:r>
      <w:r w:rsidR="00C3438E">
        <w:rPr>
          <w:snapToGrid w:val="0"/>
          <w:lang w:val="en-GB"/>
        </w:rPr>
        <w:t xml:space="preserve"> the </w:t>
      </w:r>
      <w:r w:rsidR="0061288F">
        <w:rPr>
          <w:snapToGrid w:val="0"/>
          <w:lang w:val="en-GB"/>
        </w:rPr>
        <w:t xml:space="preserve">expanded </w:t>
      </w:r>
      <w:r w:rsidR="0000376D">
        <w:rPr>
          <w:snapToGrid w:val="0"/>
          <w:lang w:val="en-GB"/>
        </w:rPr>
        <w:t>eligibility under the</w:t>
      </w:r>
      <w:r w:rsidR="00C3438E">
        <w:rPr>
          <w:snapToGrid w:val="0"/>
          <w:lang w:val="en-GB"/>
        </w:rPr>
        <w:t xml:space="preserve"> omalizumab </w:t>
      </w:r>
      <w:r w:rsidR="0000376D">
        <w:rPr>
          <w:snapToGrid w:val="0"/>
          <w:lang w:val="en-GB"/>
        </w:rPr>
        <w:t xml:space="preserve">listing was estimated to be </w:t>
      </w:r>
      <w:r w:rsidR="00C3438E">
        <w:rPr>
          <w:snapToGrid w:val="0"/>
          <w:lang w:val="en-GB"/>
        </w:rPr>
        <w:t>up to</w:t>
      </w:r>
      <w:r w:rsidR="0000376D">
        <w:rPr>
          <w:snapToGrid w:val="0"/>
          <w:lang w:val="en-GB"/>
        </w:rPr>
        <w:t xml:space="preserve"> </w:t>
      </w:r>
      <w:r w:rsidR="00A12A83" w:rsidRPr="00A12A83">
        <w:rPr>
          <w:snapToGrid w:val="0"/>
        </w:rPr>
        <w:t>500 to &lt; 5,000</w:t>
      </w:r>
      <w:r w:rsidR="00A12A83">
        <w:rPr>
          <w:snapToGrid w:val="0"/>
        </w:rPr>
        <w:t xml:space="preserve"> </w:t>
      </w:r>
      <w:r w:rsidR="0000376D">
        <w:rPr>
          <w:snapToGrid w:val="0"/>
          <w:lang w:val="en-GB"/>
        </w:rPr>
        <w:t>patients per year</w:t>
      </w:r>
      <w:r w:rsidR="00FD774C">
        <w:rPr>
          <w:snapToGrid w:val="0"/>
          <w:lang w:val="en-GB"/>
        </w:rPr>
        <w:t xml:space="preserve">, resulting in a </w:t>
      </w:r>
      <w:r w:rsidR="007F3646" w:rsidRPr="000704B3">
        <w:rPr>
          <w:snapToGrid w:val="0"/>
          <w:color w:val="000000"/>
          <w:w w:val="60"/>
          <w:shd w:val="solid" w:color="000000" w:fill="000000"/>
          <w:fitText w:val="470" w:id="-663525361"/>
          <w:lang w:val="en-GB"/>
          <w14:textFill>
            <w14:solidFill>
              <w14:srgbClr w14:val="000000">
                <w14:alpha w14:val="100000"/>
              </w14:srgbClr>
            </w14:solidFill>
          </w14:textFill>
        </w:rPr>
        <w:t>|||  ||</w:t>
      </w:r>
      <w:r w:rsidR="007F3646" w:rsidRPr="000704B3">
        <w:rPr>
          <w:snapToGrid w:val="0"/>
          <w:color w:val="000000"/>
          <w:spacing w:val="6"/>
          <w:w w:val="60"/>
          <w:shd w:val="solid" w:color="000000" w:fill="000000"/>
          <w:fitText w:val="470" w:id="-663525361"/>
          <w:lang w:val="en-GB"/>
          <w14:textFill>
            <w14:solidFill>
              <w14:srgbClr w14:val="000000">
                <w14:alpha w14:val="100000"/>
              </w14:srgbClr>
            </w14:solidFill>
          </w14:textFill>
        </w:rPr>
        <w:t>|</w:t>
      </w:r>
      <w:r w:rsidR="00FD774C">
        <w:rPr>
          <w:snapToGrid w:val="0"/>
          <w:lang w:val="en-GB"/>
        </w:rPr>
        <w:t xml:space="preserve">% increase to current CRSwNP </w:t>
      </w:r>
      <w:r w:rsidR="00A92E31">
        <w:rPr>
          <w:snapToGrid w:val="0"/>
          <w:lang w:val="en-GB"/>
        </w:rPr>
        <w:t xml:space="preserve">expenditure </w:t>
      </w:r>
      <w:r w:rsidR="00074CD9">
        <w:rPr>
          <w:snapToGrid w:val="0"/>
          <w:lang w:val="en-GB"/>
        </w:rPr>
        <w:t>caps</w:t>
      </w:r>
      <w:r w:rsidR="00FD774C">
        <w:rPr>
          <w:snapToGrid w:val="0"/>
          <w:lang w:val="en-GB"/>
        </w:rPr>
        <w:t xml:space="preserve"> (see paragraph </w:t>
      </w:r>
      <w:r w:rsidR="00FD774C">
        <w:rPr>
          <w:snapToGrid w:val="0"/>
          <w:lang w:val="en-GB"/>
        </w:rPr>
        <w:fldChar w:fldCharType="begin"/>
      </w:r>
      <w:r w:rsidR="00FD774C">
        <w:rPr>
          <w:snapToGrid w:val="0"/>
          <w:lang w:val="en-GB"/>
        </w:rPr>
        <w:instrText xml:space="preserve"> REF _Ref195539351 \r \h </w:instrText>
      </w:r>
      <w:r w:rsidR="00FD774C">
        <w:rPr>
          <w:snapToGrid w:val="0"/>
          <w:lang w:val="en-GB"/>
        </w:rPr>
      </w:r>
      <w:r w:rsidR="00FD774C">
        <w:rPr>
          <w:snapToGrid w:val="0"/>
          <w:lang w:val="en-GB"/>
        </w:rPr>
        <w:fldChar w:fldCharType="separate"/>
      </w:r>
      <w:r w:rsidR="00CE52BF">
        <w:rPr>
          <w:snapToGrid w:val="0"/>
          <w:lang w:val="en-GB"/>
        </w:rPr>
        <w:t>6.84</w:t>
      </w:r>
      <w:r w:rsidR="00FD774C">
        <w:rPr>
          <w:snapToGrid w:val="0"/>
          <w:lang w:val="en-GB"/>
        </w:rPr>
        <w:fldChar w:fldCharType="end"/>
      </w:r>
      <w:r w:rsidR="00FD774C">
        <w:rPr>
          <w:snapToGrid w:val="0"/>
          <w:lang w:val="en-GB"/>
        </w:rPr>
        <w:t>).</w:t>
      </w:r>
      <w:r w:rsidR="00C3438E">
        <w:rPr>
          <w:snapToGrid w:val="0"/>
          <w:lang w:val="en-GB"/>
        </w:rPr>
        <w:t xml:space="preserve"> </w:t>
      </w:r>
      <w:r w:rsidR="00FD774C">
        <w:rPr>
          <w:snapToGrid w:val="0"/>
          <w:lang w:val="en-GB"/>
        </w:rPr>
        <w:t xml:space="preserve">The PBAC </w:t>
      </w:r>
      <w:r w:rsidR="00DE2664" w:rsidRPr="00B73626">
        <w:rPr>
          <w:snapToGrid w:val="0"/>
          <w:lang w:val="en-GB"/>
        </w:rPr>
        <w:t xml:space="preserve">agreed with the ESC that </w:t>
      </w:r>
      <w:r w:rsidR="00E64F19">
        <w:rPr>
          <w:snapToGrid w:val="0"/>
          <w:lang w:val="en-GB"/>
        </w:rPr>
        <w:t xml:space="preserve">the </w:t>
      </w:r>
      <w:r w:rsidR="00DE2664" w:rsidRPr="00B73626">
        <w:rPr>
          <w:rFonts w:eastAsiaTheme="minorEastAsia"/>
          <w:snapToGrid w:val="0"/>
          <w:lang w:val="en-GB"/>
        </w:rPr>
        <w:t>magnitude of the potential increase in the treatment population</w:t>
      </w:r>
      <w:r w:rsidR="00DE2664" w:rsidRPr="00B73626">
        <w:rPr>
          <w:snapToGrid w:val="0"/>
          <w:lang w:val="en-GB"/>
        </w:rPr>
        <w:t xml:space="preserve"> </w:t>
      </w:r>
      <w:r w:rsidR="00DE2664" w:rsidRPr="00B73626">
        <w:rPr>
          <w:rFonts w:eastAsiaTheme="minorEastAsia"/>
          <w:snapToGrid w:val="0"/>
          <w:lang w:val="en-GB"/>
        </w:rPr>
        <w:t>was unc</w:t>
      </w:r>
      <w:r w:rsidR="00514607">
        <w:rPr>
          <w:rFonts w:eastAsiaTheme="minorEastAsia"/>
          <w:snapToGrid w:val="0"/>
          <w:lang w:val="en-GB"/>
        </w:rPr>
        <w:t>ertain</w:t>
      </w:r>
      <w:r w:rsidR="00FD774C">
        <w:rPr>
          <w:rFonts w:eastAsiaTheme="minorEastAsia"/>
          <w:snapToGrid w:val="0"/>
          <w:lang w:val="en-GB"/>
        </w:rPr>
        <w:t xml:space="preserve"> and likely overestimated given </w:t>
      </w:r>
      <w:r w:rsidR="00A21B1A">
        <w:rPr>
          <w:rFonts w:eastAsiaTheme="minorEastAsia"/>
          <w:snapToGrid w:val="0"/>
          <w:lang w:val="en-GB"/>
        </w:rPr>
        <w:t>a substantial</w:t>
      </w:r>
      <w:r w:rsidR="00CF21FD">
        <w:rPr>
          <w:rFonts w:eastAsiaTheme="minorEastAsia"/>
          <w:snapToGrid w:val="0"/>
          <w:lang w:val="en-GB"/>
        </w:rPr>
        <w:t xml:space="preserve"> proportion of patients would already be eligible for omalizumab for </w:t>
      </w:r>
      <w:r w:rsidR="00EE7CDC">
        <w:rPr>
          <w:rFonts w:eastAsiaTheme="minorEastAsia"/>
          <w:snapToGrid w:val="0"/>
          <w:lang w:val="en-GB"/>
        </w:rPr>
        <w:t>co-morbid severe/allergic asthma</w:t>
      </w:r>
      <w:r w:rsidR="00DE2664" w:rsidRPr="00B73626">
        <w:rPr>
          <w:i/>
          <w:iCs/>
          <w:snapToGrid w:val="0"/>
          <w:lang w:val="en-GB"/>
        </w:rPr>
        <w:t xml:space="preserve"> </w:t>
      </w:r>
      <w:r w:rsidR="00074CD9">
        <w:rPr>
          <w:lang w:val="en-GB"/>
        </w:rPr>
        <w:t xml:space="preserve">and </w:t>
      </w:r>
      <w:r w:rsidR="00EB6669">
        <w:rPr>
          <w:lang w:val="en-GB"/>
        </w:rPr>
        <w:t xml:space="preserve">that </w:t>
      </w:r>
      <w:r w:rsidR="00074CD9">
        <w:rPr>
          <w:lang w:val="en-GB"/>
        </w:rPr>
        <w:t xml:space="preserve">this </w:t>
      </w:r>
      <w:r w:rsidR="00A21B1A">
        <w:rPr>
          <w:lang w:val="en-GB"/>
        </w:rPr>
        <w:t>overlap was</w:t>
      </w:r>
      <w:r w:rsidR="007538F5">
        <w:rPr>
          <w:lang w:val="en-GB"/>
        </w:rPr>
        <w:t xml:space="preserve"> </w:t>
      </w:r>
      <w:r w:rsidR="00E60E7F">
        <w:rPr>
          <w:lang w:val="en-GB"/>
        </w:rPr>
        <w:t xml:space="preserve">not </w:t>
      </w:r>
      <w:r w:rsidR="00BD4939">
        <w:rPr>
          <w:lang w:val="en-GB"/>
        </w:rPr>
        <w:t>accounted for</w:t>
      </w:r>
      <w:r w:rsidR="00E60E7F">
        <w:rPr>
          <w:lang w:val="en-GB"/>
        </w:rPr>
        <w:t xml:space="preserve"> in financial estimates</w:t>
      </w:r>
      <w:r w:rsidR="00A21B1A">
        <w:rPr>
          <w:lang w:val="en-GB"/>
        </w:rPr>
        <w:t>.</w:t>
      </w:r>
      <w:r w:rsidR="001E3A62" w:rsidRPr="00B73626">
        <w:rPr>
          <w:lang w:val="en-GB"/>
        </w:rPr>
        <w:t xml:space="preserve"> </w:t>
      </w:r>
      <w:r w:rsidR="00B73626" w:rsidRPr="00B73626">
        <w:rPr>
          <w:lang w:val="en-GB"/>
        </w:rPr>
        <w:t xml:space="preserve">The PBAC considered </w:t>
      </w:r>
      <w:r w:rsidR="00A21B1A">
        <w:t>any</w:t>
      </w:r>
      <w:r w:rsidR="0064313D" w:rsidRPr="0064313D">
        <w:t xml:space="preserve"> </w:t>
      </w:r>
      <w:r w:rsidR="0021680A">
        <w:t>amendment</w:t>
      </w:r>
      <w:r w:rsidR="0021680A" w:rsidRPr="0064313D">
        <w:t xml:space="preserve"> </w:t>
      </w:r>
      <w:r w:rsidR="0064313D" w:rsidRPr="0064313D">
        <w:t xml:space="preserve">to the current RSA </w:t>
      </w:r>
      <w:r w:rsidR="00D72985">
        <w:t xml:space="preserve">should </w:t>
      </w:r>
      <w:proofErr w:type="gramStart"/>
      <w:r w:rsidR="00D72985">
        <w:t>take into account</w:t>
      </w:r>
      <w:proofErr w:type="gramEnd"/>
      <w:r w:rsidR="00D72985">
        <w:t xml:space="preserve"> </w:t>
      </w:r>
      <w:r w:rsidR="00AA0E84">
        <w:t xml:space="preserve">actual </w:t>
      </w:r>
      <w:r w:rsidR="009A6233">
        <w:t xml:space="preserve">expenditure against the </w:t>
      </w:r>
      <w:r w:rsidR="00EB42F2">
        <w:t>caps</w:t>
      </w:r>
      <w:r w:rsidR="00B73626" w:rsidRPr="00B73626">
        <w:rPr>
          <w:lang w:val="en-GB"/>
        </w:rPr>
        <w:t>.</w:t>
      </w:r>
    </w:p>
    <w:p w14:paraId="044A0210" w14:textId="0A3BF744" w:rsidR="00B51793" w:rsidRPr="00B51793" w:rsidRDefault="006F55C5">
      <w:pPr>
        <w:pStyle w:val="3-BodyText"/>
        <w:rPr>
          <w:snapToGrid w:val="0"/>
        </w:rPr>
      </w:pPr>
      <w:r>
        <w:rPr>
          <w:lang w:val="en-GB"/>
        </w:rPr>
        <w:t>While a matter for the Department, t</w:t>
      </w:r>
      <w:r w:rsidR="000E185A">
        <w:rPr>
          <w:lang w:val="en-GB"/>
        </w:rPr>
        <w:t xml:space="preserve">he PBAC noted the introduction of </w:t>
      </w:r>
      <w:r w:rsidR="0026182F">
        <w:rPr>
          <w:lang w:val="en-GB"/>
        </w:rPr>
        <w:t>biosimilar</w:t>
      </w:r>
      <w:r w:rsidR="00B86C7F">
        <w:rPr>
          <w:lang w:val="en-GB"/>
        </w:rPr>
        <w:t xml:space="preserve"> brand</w:t>
      </w:r>
      <w:r w:rsidR="0026182F">
        <w:rPr>
          <w:lang w:val="en-GB"/>
        </w:rPr>
        <w:t>s</w:t>
      </w:r>
      <w:r w:rsidR="000E185A">
        <w:rPr>
          <w:lang w:val="en-GB"/>
        </w:rPr>
        <w:t xml:space="preserve"> </w:t>
      </w:r>
      <w:r w:rsidR="00B86C7F">
        <w:rPr>
          <w:lang w:val="en-GB"/>
        </w:rPr>
        <w:t>on the PBS</w:t>
      </w:r>
      <w:r w:rsidR="0059133B">
        <w:rPr>
          <w:lang w:val="en-GB"/>
        </w:rPr>
        <w:t xml:space="preserve"> </w:t>
      </w:r>
      <w:r w:rsidR="0030015E">
        <w:rPr>
          <w:lang w:val="en-GB"/>
        </w:rPr>
        <w:t xml:space="preserve">may affect the feasibility </w:t>
      </w:r>
      <w:r w:rsidR="00C75DFA">
        <w:rPr>
          <w:lang w:val="en-GB"/>
        </w:rPr>
        <w:t xml:space="preserve">of </w:t>
      </w:r>
      <w:r w:rsidR="007F7081">
        <w:rPr>
          <w:lang w:val="en-GB"/>
        </w:rPr>
        <w:t xml:space="preserve">establishing </w:t>
      </w:r>
      <w:r w:rsidR="00C75DFA">
        <w:rPr>
          <w:lang w:val="en-GB"/>
        </w:rPr>
        <w:t>an RSA for omalizumab</w:t>
      </w:r>
      <w:r w:rsidR="00626137">
        <w:rPr>
          <w:lang w:val="en-GB"/>
        </w:rPr>
        <w:t>.</w:t>
      </w:r>
      <w:r w:rsidR="00B85F26">
        <w:rPr>
          <w:lang w:val="en-GB"/>
        </w:rPr>
        <w:t xml:space="preserve"> </w:t>
      </w:r>
    </w:p>
    <w:p w14:paraId="3F451B46" w14:textId="6CC1836A" w:rsidR="007E701A" w:rsidRPr="000A03FD" w:rsidRDefault="007E701A" w:rsidP="007E701A">
      <w:pPr>
        <w:widowControl w:val="0"/>
        <w:numPr>
          <w:ilvl w:val="1"/>
          <w:numId w:val="1"/>
        </w:numPr>
        <w:spacing w:after="120"/>
        <w:rPr>
          <w:rFonts w:asciiTheme="minorHAnsi" w:hAnsiTheme="minorHAnsi"/>
          <w:bCs/>
          <w:snapToGrid w:val="0"/>
          <w:lang w:eastAsia="en-US"/>
        </w:rPr>
      </w:pPr>
      <w:r w:rsidRPr="000A03FD">
        <w:rPr>
          <w:rFonts w:asciiTheme="minorHAnsi" w:hAnsiTheme="minorHAnsi"/>
          <w:bCs/>
          <w:snapToGrid w:val="0"/>
          <w:lang w:eastAsia="en-US"/>
        </w:rPr>
        <w:t xml:space="preserve">The PBAC advised that </w:t>
      </w:r>
      <w:r>
        <w:rPr>
          <w:rFonts w:asciiTheme="minorHAnsi" w:hAnsiTheme="minorHAnsi"/>
          <w:bCs/>
          <w:snapToGrid w:val="0"/>
          <w:lang w:eastAsia="en-US"/>
        </w:rPr>
        <w:t>omal</w:t>
      </w:r>
      <w:r w:rsidRPr="000A03FD">
        <w:rPr>
          <w:rFonts w:asciiTheme="minorHAnsi" w:hAnsiTheme="minorHAnsi"/>
          <w:bCs/>
          <w:snapToGrid w:val="0"/>
          <w:lang w:eastAsia="en-US"/>
        </w:rPr>
        <w:t xml:space="preserve">izumab is not suitable for prescribing by nurse practitioners. </w:t>
      </w:r>
    </w:p>
    <w:p w14:paraId="05E0E67D" w14:textId="23FCFF14" w:rsidR="00B23BDA" w:rsidRPr="008F1D22" w:rsidRDefault="007E701A" w:rsidP="007E701A">
      <w:pPr>
        <w:pStyle w:val="3-BodyText"/>
        <w:rPr>
          <w:bCs/>
          <w:lang w:val="en-GB"/>
        </w:rPr>
      </w:pPr>
      <w:r w:rsidRPr="000A03FD">
        <w:rPr>
          <w:snapToGrid w:val="0"/>
          <w:lang w:eastAsia="en-US"/>
        </w:rPr>
        <w:t xml:space="preserve">The PBAC recommended that the Early Supply Rule should not apply. </w:t>
      </w:r>
    </w:p>
    <w:p w14:paraId="566968A6" w14:textId="645F55A0" w:rsidR="00417058" w:rsidRPr="00417058" w:rsidRDefault="00C447A2" w:rsidP="007E701A">
      <w:pPr>
        <w:pStyle w:val="3-BodyText"/>
        <w:rPr>
          <w:lang w:val="en-GB"/>
        </w:rPr>
      </w:pPr>
      <w:r w:rsidRPr="00BF1326">
        <w:rPr>
          <w:lang w:val="en-GB"/>
        </w:rPr>
        <w:t xml:space="preserve">The PBAC noted that its recommendation was on a cost-minimisation basis and advised that, because omalizumab is </w:t>
      </w:r>
      <w:r w:rsidRPr="00BF1326">
        <w:rPr>
          <w:bCs/>
          <w:lang w:val="en-GB"/>
        </w:rPr>
        <w:t xml:space="preserve">not expected to address a high and urgent unmet clinical need, given the presence of an alternative therapy, the criteria prescribed by the </w:t>
      </w:r>
      <w:r w:rsidRPr="00BF1326">
        <w:rPr>
          <w:bCs/>
          <w:i/>
          <w:lang w:val="en-GB"/>
        </w:rPr>
        <w:t>National Health (Pharmaceuticals and Vaccines – Cost Recovery) Regulations 2022</w:t>
      </w:r>
      <w:r w:rsidRPr="00BF1326">
        <w:rPr>
          <w:bCs/>
          <w:lang w:val="en-GB"/>
        </w:rPr>
        <w:t xml:space="preserve"> for Pricing Pathway A were not met.</w:t>
      </w:r>
    </w:p>
    <w:p w14:paraId="50F70370" w14:textId="7AC1BA06" w:rsidR="00B23BDA" w:rsidRPr="007E701A" w:rsidRDefault="00C447A2" w:rsidP="007E701A">
      <w:pPr>
        <w:pStyle w:val="3-BodyText"/>
        <w:rPr>
          <w:bCs/>
          <w:i/>
          <w:snapToGrid w:val="0"/>
          <w:lang w:val="en-GB"/>
        </w:rPr>
      </w:pPr>
      <w:r w:rsidRPr="00290E77">
        <w:rPr>
          <w:snapToGrid w:val="0"/>
          <w:lang w:val="en-GB"/>
        </w:rPr>
        <w:t xml:space="preserve">The PBAC noted that this submission is not eligible for an Independent Review as it received a positive recommendation. </w:t>
      </w:r>
      <w:r>
        <w:rPr>
          <w:lang w:val="en-GB"/>
        </w:rPr>
        <w:t xml:space="preserve"> </w:t>
      </w:r>
    </w:p>
    <w:p w14:paraId="6A68EED0" w14:textId="77777777" w:rsidR="00B23BDA" w:rsidRPr="00525B39" w:rsidRDefault="00B23BDA" w:rsidP="00B23BDA">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19CB6644" w14:textId="0F395122" w:rsidR="00B23BDA" w:rsidRPr="00610572" w:rsidRDefault="00B23BDA" w:rsidP="00610572">
      <w:pPr>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88"/>
    <w:p w14:paraId="1AD44563" w14:textId="79730BE1" w:rsidR="00B23BDA" w:rsidRPr="00907671" w:rsidRDefault="00B23BDA" w:rsidP="00BD6578">
      <w:pPr>
        <w:pStyle w:val="2-SectionHeading"/>
        <w:numPr>
          <w:ilvl w:val="0"/>
          <w:numId w:val="1"/>
        </w:numPr>
      </w:pPr>
      <w:r w:rsidRPr="00907671">
        <w:t>Recommended listing</w:t>
      </w:r>
    </w:p>
    <w:p w14:paraId="04E06E96" w14:textId="16736110" w:rsidR="002C1266" w:rsidRDefault="00BF0776" w:rsidP="008000F3">
      <w:pPr>
        <w:pStyle w:val="3-BodyText"/>
        <w:numPr>
          <w:ilvl w:val="0"/>
          <w:numId w:val="0"/>
        </w:numPr>
        <w:ind w:left="720"/>
        <w:rPr>
          <w:snapToGrid w:val="0"/>
        </w:rPr>
      </w:pPr>
      <w:r>
        <w:rPr>
          <w:snapToGrid w:val="0"/>
        </w:rPr>
        <w:t xml:space="preserve">This restriction is in the process of being finalised, due to the complex nature of the listings and the flow on impacts that exist to </w:t>
      </w:r>
      <w:r w:rsidR="00407235">
        <w:rPr>
          <w:snapToGrid w:val="0"/>
        </w:rPr>
        <w:t>mepolizumab for CR</w:t>
      </w:r>
      <w:r w:rsidR="000625B2">
        <w:rPr>
          <w:snapToGrid w:val="0"/>
        </w:rPr>
        <w:t>S</w:t>
      </w:r>
      <w:r w:rsidR="00407235">
        <w:rPr>
          <w:snapToGrid w:val="0"/>
        </w:rPr>
        <w:t>wNP.</w:t>
      </w:r>
      <w:r w:rsidR="000625B2">
        <w:rPr>
          <w:snapToGrid w:val="0"/>
        </w:rPr>
        <w:t xml:space="preserve"> The sponsor will be notified of the final restriction. </w:t>
      </w:r>
      <w:bookmarkEnd w:id="89"/>
    </w:p>
    <w:p w14:paraId="38CB4008" w14:textId="77777777" w:rsidR="008000F3" w:rsidRPr="008000F3" w:rsidRDefault="008000F3" w:rsidP="008000F3">
      <w:pPr>
        <w:pStyle w:val="2-SectionHeading"/>
      </w:pPr>
      <w:r w:rsidRPr="008000F3">
        <w:lastRenderedPageBreak/>
        <w:t>Context for Decision</w:t>
      </w:r>
    </w:p>
    <w:p w14:paraId="68644720" w14:textId="77777777" w:rsidR="008000F3" w:rsidRPr="00061CBE" w:rsidRDefault="008000F3" w:rsidP="008000F3">
      <w:pPr>
        <w:pStyle w:val="3-BodyText"/>
        <w:numPr>
          <w:ilvl w:val="0"/>
          <w:numId w:val="0"/>
        </w:numPr>
        <w:ind w:left="720"/>
        <w:rPr>
          <w:lang w:val="en-GB"/>
        </w:rPr>
      </w:pPr>
      <w:r w:rsidRPr="00061CBE">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A0976C1" w14:textId="6C511F5B" w:rsidR="008000F3" w:rsidRPr="008000F3" w:rsidRDefault="008000F3" w:rsidP="008000F3">
      <w:pPr>
        <w:pStyle w:val="2-SectionHeading"/>
      </w:pPr>
      <w:r w:rsidRPr="008000F3">
        <w:t>Sponsor’s Comment</w:t>
      </w:r>
    </w:p>
    <w:p w14:paraId="7C776B17" w14:textId="7A29741F" w:rsidR="008000F3" w:rsidRPr="00610572" w:rsidRDefault="008000F3" w:rsidP="008000F3">
      <w:pPr>
        <w:pStyle w:val="3-BodyText"/>
        <w:numPr>
          <w:ilvl w:val="0"/>
          <w:numId w:val="0"/>
        </w:numPr>
        <w:ind w:left="720"/>
        <w:rPr>
          <w:snapToGrid w:val="0"/>
          <w:szCs w:val="24"/>
        </w:rPr>
      </w:pPr>
      <w:r w:rsidRPr="00061CBE">
        <w:t>The sponsor had no comment.</w:t>
      </w:r>
    </w:p>
    <w:sectPr w:rsidR="008000F3" w:rsidRPr="00610572" w:rsidSect="00354728">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4806" w14:textId="77777777" w:rsidR="008070A0" w:rsidRPr="00931EAB" w:rsidRDefault="008070A0" w:rsidP="00124A51">
      <w:r w:rsidRPr="00931EAB">
        <w:separator/>
      </w:r>
    </w:p>
    <w:p w14:paraId="1E72EA6B" w14:textId="77777777" w:rsidR="008070A0" w:rsidRPr="00931EAB" w:rsidRDefault="008070A0"/>
  </w:endnote>
  <w:endnote w:type="continuationSeparator" w:id="0">
    <w:p w14:paraId="10E0A64E" w14:textId="77777777" w:rsidR="008070A0" w:rsidRPr="00931EAB" w:rsidRDefault="008070A0" w:rsidP="00124A51">
      <w:r w:rsidRPr="00931EAB">
        <w:continuationSeparator/>
      </w:r>
    </w:p>
    <w:p w14:paraId="1558B230" w14:textId="77777777" w:rsidR="008070A0" w:rsidRPr="00931EAB" w:rsidRDefault="008070A0"/>
  </w:endnote>
  <w:endnote w:type="continuationNotice" w:id="1">
    <w:p w14:paraId="754ECAA3" w14:textId="77777777" w:rsidR="008070A0" w:rsidRPr="00931EAB" w:rsidRDefault="00807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5378" w14:textId="1C622F2F" w:rsidR="007F3646" w:rsidRDefault="00E17E19">
    <w:pPr>
      <w:pStyle w:val="Footer"/>
    </w:pPr>
    <w:r>
      <w:rPr>
        <w:noProof/>
      </w:rPr>
      <mc:AlternateContent>
        <mc:Choice Requires="wps">
          <w:drawing>
            <wp:anchor distT="0" distB="0" distL="0" distR="0" simplePos="0" relativeHeight="251668480" behindDoc="0" locked="0" layoutInCell="1" allowOverlap="1" wp14:anchorId="7DB8E04F" wp14:editId="3FE134AD">
              <wp:simplePos x="635" y="635"/>
              <wp:positionH relativeFrom="page">
                <wp:align>center</wp:align>
              </wp:positionH>
              <wp:positionV relativeFrom="page">
                <wp:align>bottom</wp:align>
              </wp:positionV>
              <wp:extent cx="551815" cy="376555"/>
              <wp:effectExtent l="0" t="0" r="635" b="0"/>
              <wp:wrapNone/>
              <wp:docPr id="57820247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08AA1D" w14:textId="0B73132C" w:rsidR="00E17E19" w:rsidRPr="00E17E19" w:rsidRDefault="00E17E19" w:rsidP="00E17E19">
                          <w:pPr>
                            <w:rPr>
                              <w:rFonts w:eastAsia="Calibri" w:cs="Calibri"/>
                              <w:noProof/>
                              <w:color w:val="FF0000"/>
                            </w:rPr>
                          </w:pPr>
                          <w:r w:rsidRPr="00E17E1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B8E04F"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408AA1D" w14:textId="0B73132C" w:rsidR="00E17E19" w:rsidRPr="00E17E19" w:rsidRDefault="00E17E19" w:rsidP="00E17E19">
                    <w:pPr>
                      <w:rPr>
                        <w:rFonts w:eastAsia="Calibri" w:cs="Calibri"/>
                        <w:noProof/>
                        <w:color w:val="FF0000"/>
                      </w:rPr>
                    </w:pPr>
                    <w:r w:rsidRPr="00E17E19">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218E51F" w:rsidR="00D843F2" w:rsidRPr="00931EAB" w:rsidRDefault="00E17E19" w:rsidP="00753B29">
    <w:pPr>
      <w:pStyle w:val="Footer"/>
      <w:jc w:val="center"/>
    </w:pPr>
    <w:r>
      <w:rPr>
        <w:noProof/>
      </w:rPr>
      <mc:AlternateContent>
        <mc:Choice Requires="wps">
          <w:drawing>
            <wp:anchor distT="0" distB="0" distL="0" distR="0" simplePos="0" relativeHeight="251669504" behindDoc="0" locked="0" layoutInCell="1" allowOverlap="1" wp14:anchorId="401AD4D1" wp14:editId="7D66081E">
              <wp:simplePos x="635" y="635"/>
              <wp:positionH relativeFrom="page">
                <wp:align>center</wp:align>
              </wp:positionH>
              <wp:positionV relativeFrom="page">
                <wp:align>bottom</wp:align>
              </wp:positionV>
              <wp:extent cx="551815" cy="376555"/>
              <wp:effectExtent l="0" t="0" r="635" b="0"/>
              <wp:wrapNone/>
              <wp:docPr id="153648220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FB9195" w14:textId="0C0CE95C" w:rsidR="00E17E19" w:rsidRPr="00E17E19" w:rsidRDefault="00E17E19" w:rsidP="00E17E19">
                          <w:pPr>
                            <w:rPr>
                              <w:rFonts w:eastAsia="Calibri" w:cs="Calibri"/>
                              <w:noProof/>
                              <w:color w:val="FF0000"/>
                            </w:rPr>
                          </w:pPr>
                          <w:r w:rsidRPr="00E17E1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AD4D1"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6FB9195" w14:textId="0C0CE95C" w:rsidR="00E17E19" w:rsidRPr="00E17E19" w:rsidRDefault="00E17E19" w:rsidP="00E17E19">
                    <w:pPr>
                      <w:rPr>
                        <w:rFonts w:eastAsia="Calibri" w:cs="Calibri"/>
                        <w:noProof/>
                        <w:color w:val="FF0000"/>
                      </w:rPr>
                    </w:pPr>
                    <w:r w:rsidRPr="00E17E19">
                      <w:rPr>
                        <w:rFonts w:eastAsia="Calibri" w:cs="Calibri"/>
                        <w:noProof/>
                        <w:color w:val="FF0000"/>
                      </w:rPr>
                      <w:t>OFFICIAL</w:t>
                    </w:r>
                  </w:p>
                </w:txbxContent>
              </v:textbox>
              <w10:wrap anchorx="page" anchory="page"/>
            </v:shape>
          </w:pict>
        </mc:Fallback>
      </mc:AlternateContent>
    </w:r>
  </w:p>
  <w:p w14:paraId="37484CD3" w14:textId="2230B2F1" w:rsidR="00D843F2" w:rsidRPr="00931EAB" w:rsidRDefault="00147456" w:rsidP="2BCE08C6">
    <w:pPr>
      <w:pStyle w:val="PageFooter"/>
    </w:pPr>
    <w:r>
      <w:t xml:space="preserve"> </w:t>
    </w:r>
    <w:sdt>
      <w:sdtPr>
        <w:id w:val="1036156457"/>
        <w:docPartObj>
          <w:docPartGallery w:val="Page Numbers (Bottom of Page)"/>
          <w:docPartUnique/>
        </w:docPartObj>
      </w:sdtPr>
      <w:sdtContent>
        <w:r w:rsidR="5B7F3F28" w:rsidRPr="2BCE08C6">
          <w:fldChar w:fldCharType="begin"/>
        </w:r>
        <w:r w:rsidR="5B7F3F28">
          <w:instrText xml:space="preserve"> PAGE   \* MERGEFORMAT </w:instrText>
        </w:r>
        <w:r w:rsidR="5B7F3F28" w:rsidRPr="2BCE08C6">
          <w:fldChar w:fldCharType="separate"/>
        </w:r>
        <w:r w:rsidR="2BCE08C6" w:rsidRPr="2BCE08C6">
          <w:t>2</w:t>
        </w:r>
        <w:r w:rsidR="5B7F3F28" w:rsidRPr="2BCE08C6">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1463" w14:textId="6A806872" w:rsidR="007F3646" w:rsidRDefault="00E17E19">
    <w:pPr>
      <w:pStyle w:val="Footer"/>
    </w:pPr>
    <w:r>
      <w:rPr>
        <w:noProof/>
      </w:rPr>
      <mc:AlternateContent>
        <mc:Choice Requires="wps">
          <w:drawing>
            <wp:anchor distT="0" distB="0" distL="0" distR="0" simplePos="0" relativeHeight="251667456" behindDoc="0" locked="0" layoutInCell="1" allowOverlap="1" wp14:anchorId="5B33D90B" wp14:editId="6E363081">
              <wp:simplePos x="635" y="635"/>
              <wp:positionH relativeFrom="page">
                <wp:align>center</wp:align>
              </wp:positionH>
              <wp:positionV relativeFrom="page">
                <wp:align>bottom</wp:align>
              </wp:positionV>
              <wp:extent cx="551815" cy="376555"/>
              <wp:effectExtent l="0" t="0" r="635" b="0"/>
              <wp:wrapNone/>
              <wp:docPr id="207825943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45F899" w14:textId="6B5EE351" w:rsidR="00E17E19" w:rsidRPr="00E17E19" w:rsidRDefault="00E17E19" w:rsidP="00E17E19">
                          <w:pPr>
                            <w:rPr>
                              <w:rFonts w:eastAsia="Calibri" w:cs="Calibri"/>
                              <w:noProof/>
                              <w:color w:val="FF0000"/>
                            </w:rPr>
                          </w:pPr>
                          <w:r w:rsidRPr="00E17E1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33D90B"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445F899" w14:textId="6B5EE351" w:rsidR="00E17E19" w:rsidRPr="00E17E19" w:rsidRDefault="00E17E19" w:rsidP="00E17E19">
                    <w:pPr>
                      <w:rPr>
                        <w:rFonts w:eastAsia="Calibri" w:cs="Calibri"/>
                        <w:noProof/>
                        <w:color w:val="FF0000"/>
                      </w:rPr>
                    </w:pPr>
                    <w:r w:rsidRPr="00E17E19">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CE178" w14:textId="77777777" w:rsidR="008070A0" w:rsidRPr="00931EAB" w:rsidRDefault="008070A0" w:rsidP="00124A51">
      <w:r w:rsidRPr="00931EAB">
        <w:separator/>
      </w:r>
    </w:p>
    <w:p w14:paraId="33D2962E" w14:textId="77777777" w:rsidR="008070A0" w:rsidRPr="00931EAB" w:rsidRDefault="008070A0"/>
  </w:footnote>
  <w:footnote w:type="continuationSeparator" w:id="0">
    <w:p w14:paraId="71DA076D" w14:textId="77777777" w:rsidR="008070A0" w:rsidRPr="00931EAB" w:rsidRDefault="008070A0" w:rsidP="00124A51">
      <w:r w:rsidRPr="00931EAB">
        <w:continuationSeparator/>
      </w:r>
    </w:p>
    <w:p w14:paraId="545BE3CC" w14:textId="77777777" w:rsidR="008070A0" w:rsidRPr="00931EAB" w:rsidRDefault="008070A0"/>
  </w:footnote>
  <w:footnote w:type="continuationNotice" w:id="1">
    <w:p w14:paraId="5BE5D254" w14:textId="77777777" w:rsidR="008070A0" w:rsidRPr="00931EAB" w:rsidRDefault="008070A0"/>
  </w:footnote>
  <w:footnote w:id="2">
    <w:p w14:paraId="139B4CFD" w14:textId="58781804" w:rsidR="00336EFC" w:rsidRDefault="00336EFC">
      <w:pPr>
        <w:pStyle w:val="FootnoteText"/>
      </w:pPr>
      <w:r>
        <w:rPr>
          <w:rStyle w:val="FootnoteReference"/>
        </w:rPr>
        <w:footnoteRef/>
      </w:r>
      <w:r>
        <w:t xml:space="preserve"> </w:t>
      </w:r>
      <w:r w:rsidR="00112304" w:rsidRPr="00112304">
        <w:t>https://www.ebs.tga.gov.au/ebs/picmi/picmirepository.nsf/pdf?OpenAgent=&amp;id=CP-2009-PI-00304-3</w:t>
      </w:r>
    </w:p>
  </w:footnote>
  <w:footnote w:id="3">
    <w:p w14:paraId="10947592" w14:textId="77777777" w:rsidR="002C1266" w:rsidRPr="00115A61" w:rsidRDefault="002C1266" w:rsidP="002C1266">
      <w:pPr>
        <w:pStyle w:val="FootnoteText"/>
        <w:rPr>
          <w:lang w:val="es-ES"/>
        </w:rPr>
      </w:pPr>
      <w:r>
        <w:rPr>
          <w:rStyle w:val="FootnoteReference"/>
        </w:rPr>
        <w:footnoteRef/>
      </w:r>
      <w:r>
        <w:t xml:space="preserve"> </w:t>
      </w:r>
      <w:r w:rsidRPr="00C31A49">
        <w:t xml:space="preserve">Toma Hopkins C. Stratification of SNOT-22 scores into mild, moderate or severe and relationship with other subjective instruments. </w:t>
      </w:r>
      <w:r w:rsidRPr="00115A61">
        <w:rPr>
          <w:lang w:val="es-ES"/>
        </w:rPr>
        <w:t>Rhinology. 2016 Jun 1;54(2):129-33.</w:t>
      </w:r>
    </w:p>
  </w:footnote>
  <w:footnote w:id="4">
    <w:p w14:paraId="2A6F2540" w14:textId="77777777" w:rsidR="002C1266" w:rsidRDefault="002C1266" w:rsidP="002C1266">
      <w:pPr>
        <w:pStyle w:val="FootnoteText"/>
      </w:pPr>
      <w:r>
        <w:rPr>
          <w:rStyle w:val="FootnoteReference"/>
        </w:rPr>
        <w:footnoteRef/>
      </w:r>
      <w:r w:rsidRPr="00115A61">
        <w:rPr>
          <w:lang w:val="es-ES"/>
        </w:rPr>
        <w:t xml:space="preserve"> Cicco MED, Bizzoco F, Morelli E, et al. </w:t>
      </w:r>
      <w:r w:rsidRPr="004D1F91">
        <w:t>Nasal Polyps in Children: the early origins of a challenging adulthood condition. Children. 2021;8(11) https://doi.org/10.3390/children8110997</w:t>
      </w:r>
    </w:p>
  </w:footnote>
  <w:footnote w:id="5">
    <w:p w14:paraId="3976D68F" w14:textId="1DB57D6A" w:rsidR="008B656C" w:rsidRDefault="008B656C" w:rsidP="008B656C">
      <w:pPr>
        <w:pStyle w:val="FootnoteText"/>
      </w:pPr>
      <w:r>
        <w:rPr>
          <w:rStyle w:val="FootnoteReference"/>
        </w:rPr>
        <w:footnoteRef/>
      </w:r>
      <w:r>
        <w:t xml:space="preserve"> Cristobal Langdon &amp; Joaquim Mullol (2016) Nasal polyps in patients with asthma: prevalence, impact, and management challenges, Journal of Asthma and Allergy, 45-53</w:t>
      </w:r>
    </w:p>
  </w:footnote>
  <w:footnote w:id="6">
    <w:p w14:paraId="0ECD0F06" w14:textId="735F7F98" w:rsidR="00AD093E" w:rsidRDefault="00AD093E">
      <w:pPr>
        <w:pStyle w:val="FootnoteText"/>
      </w:pPr>
      <w:r>
        <w:rPr>
          <w:rStyle w:val="FootnoteReference"/>
        </w:rPr>
        <w:footnoteRef/>
      </w:r>
      <w:r>
        <w:t xml:space="preserve"> </w:t>
      </w:r>
      <w:r w:rsidRPr="00AD093E">
        <w:t>Stevens</w:t>
      </w:r>
      <w:r>
        <w:t xml:space="preserve"> et al</w:t>
      </w:r>
      <w:r w:rsidRPr="00AD093E">
        <w:t>. "Chronic rhinosinusitis with nasal polyps." The journal of allergy and clinical immunology: In practice 4.4 (2016): 565-572.</w:t>
      </w:r>
    </w:p>
  </w:footnote>
  <w:footnote w:id="7">
    <w:p w14:paraId="345A6661" w14:textId="30EB8192" w:rsidR="009C513D" w:rsidRDefault="009C513D">
      <w:pPr>
        <w:pStyle w:val="FootnoteText"/>
      </w:pPr>
      <w:r>
        <w:rPr>
          <w:rStyle w:val="FootnoteReference"/>
        </w:rPr>
        <w:footnoteRef/>
      </w:r>
      <w:r>
        <w:t xml:space="preserve"> </w:t>
      </w:r>
      <w:r w:rsidRPr="00FF7B01">
        <w:t>https://www.allergy.org.au/images/pc/ASCIA_PC_Nasal_Polyps_FAQ_2024.pdf</w:t>
      </w:r>
    </w:p>
  </w:footnote>
  <w:footnote w:id="8">
    <w:p w14:paraId="04F4DF78" w14:textId="77777777" w:rsidR="002C1266" w:rsidRPr="002E4976" w:rsidRDefault="002C1266" w:rsidP="002C1266">
      <w:pPr>
        <w:pStyle w:val="FootnoteText"/>
        <w:rPr>
          <w:i/>
          <w:iCs/>
        </w:rPr>
      </w:pPr>
      <w:r>
        <w:rPr>
          <w:rStyle w:val="FootnoteReference"/>
        </w:rPr>
        <w:footnoteRef/>
      </w:r>
      <w:r>
        <w:t xml:space="preserve"> </w:t>
      </w:r>
      <w:r w:rsidRPr="002E4976">
        <w:rPr>
          <w:i/>
          <w:iCs/>
        </w:rPr>
        <w:t xml:space="preserve">Toma S, Hopkins C. (2016), ‘Stratification of SNOT-22 scores into mild, moderate or severe and relationship with other subjective instruments’. Rhinology. 2016 Jun;54(2):129-33. doi: 10.4193/Rhino15.072. </w:t>
      </w:r>
    </w:p>
  </w:footnote>
  <w:footnote w:id="9">
    <w:p w14:paraId="412DC28E" w14:textId="77777777" w:rsidR="002C1266" w:rsidRPr="002E4976" w:rsidRDefault="002C1266" w:rsidP="002C1266">
      <w:pPr>
        <w:pStyle w:val="FootnoteText"/>
        <w:rPr>
          <w:i/>
          <w:iCs/>
        </w:rPr>
      </w:pPr>
      <w:r w:rsidRPr="002E4976">
        <w:rPr>
          <w:rStyle w:val="FootnoteReference"/>
          <w:i/>
          <w:iCs/>
        </w:rPr>
        <w:footnoteRef/>
      </w:r>
      <w:r w:rsidRPr="002E4976">
        <w:rPr>
          <w:i/>
          <w:iCs/>
        </w:rPr>
        <w:t xml:space="preserve"> Gelardi M, et al. (2022). ‘Chronic rhinosinusitis with nasal polyps: how to identify eligible patients for biologics in clinical practice’. Acta Otorhinolaryngol Ital. 2022 Feb;42(1):75-81. doi: 10.14639/0392-100X-N1699.</w:t>
      </w:r>
    </w:p>
  </w:footnote>
  <w:footnote w:id="10">
    <w:p w14:paraId="5321459B" w14:textId="3F7CB22F" w:rsidR="008253F7" w:rsidRDefault="008253F7">
      <w:pPr>
        <w:pStyle w:val="FootnoteText"/>
      </w:pPr>
      <w:r>
        <w:rPr>
          <w:rStyle w:val="FootnoteReference"/>
        </w:rPr>
        <w:footnoteRef/>
      </w:r>
      <w:r>
        <w:t xml:space="preserve"> </w:t>
      </w:r>
      <w:r w:rsidRPr="008253F7">
        <w:t xml:space="preserve">Lim </w:t>
      </w:r>
      <w:r>
        <w:t>et al, (2024), ‘</w:t>
      </w:r>
      <w:r w:rsidRPr="008253F7">
        <w:t>Type-2 Inflammation in Health and Disease: Prevalence, Risk Factors and Multimorbidity</w:t>
      </w:r>
      <w:r>
        <w:t>’</w:t>
      </w:r>
      <w:r w:rsidRPr="008253F7">
        <w:t>. J Clin Med. 2024 Nov 6;13(22):6662. doi: 10.3390/jcm13226662.</w:t>
      </w:r>
    </w:p>
  </w:footnote>
  <w:footnote w:id="11">
    <w:p w14:paraId="138D91C3" w14:textId="77777777" w:rsidR="002C1266" w:rsidRDefault="002C1266" w:rsidP="002C1266">
      <w:pPr>
        <w:pStyle w:val="FootnoteText"/>
      </w:pPr>
      <w:r>
        <w:rPr>
          <w:rStyle w:val="FootnoteReference"/>
        </w:rPr>
        <w:footnoteRef/>
      </w:r>
      <w:r>
        <w:t xml:space="preserve"> </w:t>
      </w:r>
      <w:r w:rsidRPr="00A40D73">
        <w:t xml:space="preserve">Papacharalampous GX, Constantinidis J, Fotiadis G, Zhang N, Bachert C, Katotomichelakis M. </w:t>
      </w:r>
      <w:r>
        <w:t>(2024), ‘</w:t>
      </w:r>
      <w:r w:rsidRPr="00A40D73">
        <w:t>Chronic rhinosinusitis with nasal polyps (CRSwNP) treated with omalizumab, dupilumab, or mepolizumab: A systematic review of the current knowledge towards an attempt to compare agents’ efficacy</w:t>
      </w:r>
      <w:r>
        <w:t>’</w:t>
      </w:r>
      <w:r w:rsidRPr="00A40D73">
        <w:t>. Int Forum Allergy Rhinol. 2024; 14: 96–109. https://doi.org/10.1002/alr.23234</w:t>
      </w:r>
    </w:p>
  </w:footnote>
  <w:footnote w:id="12">
    <w:p w14:paraId="391DA6F4" w14:textId="77777777" w:rsidR="002C1266" w:rsidRDefault="002C1266" w:rsidP="002C1266">
      <w:pPr>
        <w:pStyle w:val="FootnoteText"/>
      </w:pPr>
      <w:r>
        <w:rPr>
          <w:rStyle w:val="FootnoteReference"/>
        </w:rPr>
        <w:footnoteRef/>
      </w:r>
      <w:r>
        <w:t xml:space="preserve"> </w:t>
      </w:r>
      <w:r w:rsidRPr="00A40D73">
        <w:t xml:space="preserve">Papacharalampous GX, Constantinidis J, Fotiadis G, Zhang N, Bachert C, Katotomichelakis M. </w:t>
      </w:r>
      <w:r>
        <w:t>(2024), ‘</w:t>
      </w:r>
      <w:r w:rsidRPr="00A40D73">
        <w:t>Chronic rhinosinusitis with nasal polyps (CRSwNP) treated with omalizumab, dupilumab, or mepolizumab: A systematic review of the current knowledge towards an attempt to compare agents’ efficacy</w:t>
      </w:r>
      <w:r>
        <w:t>’</w:t>
      </w:r>
      <w:r w:rsidRPr="00A40D73">
        <w:t>. Int Forum Allergy Rhinol. 2024; 14: 96–109. https://doi.org/10.1002/alr.23234</w:t>
      </w:r>
    </w:p>
  </w:footnote>
  <w:footnote w:id="13">
    <w:p w14:paraId="419AB28F" w14:textId="0F89C005" w:rsidR="002C1266" w:rsidRPr="008D664D" w:rsidRDefault="002C1266" w:rsidP="002C1266">
      <w:pPr>
        <w:pStyle w:val="FootnoteText"/>
      </w:pPr>
      <w:r>
        <w:rPr>
          <w:rStyle w:val="FootnoteReference"/>
        </w:rPr>
        <w:footnoteRef/>
      </w:r>
      <w:r w:rsidRPr="008D664D">
        <w:t xml:space="preserve"> Cai S, Xu, S, Lou H, Zhang L</w:t>
      </w:r>
      <w:r>
        <w:t xml:space="preserve"> (2022), ‘</w:t>
      </w:r>
      <w:r w:rsidRPr="008D664D">
        <w:t xml:space="preserve">Comparison of Different </w:t>
      </w:r>
      <w:r>
        <w:t>Biologics for Treating Chronic Rhinosinusitis with Nasal Polyps: A Network Analysis’.Journal of Allergy and Clinical Immunology: In Practice, 2022, 10(7):1876-1886.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4A1F" w14:textId="0B56C674" w:rsidR="007F3646" w:rsidRDefault="00E17E19">
    <w:pPr>
      <w:pStyle w:val="Header"/>
    </w:pPr>
    <w:r>
      <w:rPr>
        <w:noProof/>
      </w:rPr>
      <mc:AlternateContent>
        <mc:Choice Requires="wps">
          <w:drawing>
            <wp:anchor distT="0" distB="0" distL="0" distR="0" simplePos="0" relativeHeight="251665408" behindDoc="0" locked="0" layoutInCell="1" allowOverlap="1" wp14:anchorId="1B080CAF" wp14:editId="225B8E5A">
              <wp:simplePos x="635" y="635"/>
              <wp:positionH relativeFrom="page">
                <wp:align>center</wp:align>
              </wp:positionH>
              <wp:positionV relativeFrom="page">
                <wp:align>top</wp:align>
              </wp:positionV>
              <wp:extent cx="551815" cy="376555"/>
              <wp:effectExtent l="0" t="0" r="635" b="4445"/>
              <wp:wrapNone/>
              <wp:docPr id="34828878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F516B2" w14:textId="1274A639" w:rsidR="00E17E19" w:rsidRPr="00E17E19" w:rsidRDefault="00E17E19" w:rsidP="00E17E19">
                          <w:pPr>
                            <w:rPr>
                              <w:rFonts w:eastAsia="Calibri" w:cs="Calibri"/>
                              <w:noProof/>
                              <w:color w:val="FF0000"/>
                            </w:rPr>
                          </w:pPr>
                          <w:r w:rsidRPr="00E17E1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080CAF"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61F516B2" w14:textId="1274A639" w:rsidR="00E17E19" w:rsidRPr="00E17E19" w:rsidRDefault="00E17E19" w:rsidP="00E17E19">
                    <w:pPr>
                      <w:rPr>
                        <w:rFonts w:eastAsia="Calibri" w:cs="Calibri"/>
                        <w:noProof/>
                        <w:color w:val="FF0000"/>
                      </w:rPr>
                    </w:pPr>
                    <w:r w:rsidRPr="00E17E19">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5C43E293" w:rsidR="00D843F2" w:rsidRPr="0009779B" w:rsidRDefault="00E17E19" w:rsidP="00D822E2">
    <w:pPr>
      <w:pStyle w:val="Header"/>
      <w:rPr>
        <w:rFonts w:asciiTheme="minorHAnsi" w:hAnsiTheme="minorHAnsi" w:cstheme="minorHAnsi"/>
        <w:i w:val="0"/>
        <w:color w:val="808080"/>
      </w:rPr>
    </w:pPr>
    <w:r>
      <w:rPr>
        <w:rFonts w:asciiTheme="minorHAnsi" w:hAnsiTheme="minorHAnsi" w:cstheme="minorHAnsi"/>
        <w:noProof/>
        <w:color w:val="808080"/>
      </w:rPr>
      <mc:AlternateContent>
        <mc:Choice Requires="wps">
          <w:drawing>
            <wp:anchor distT="0" distB="0" distL="0" distR="0" simplePos="0" relativeHeight="251666432" behindDoc="0" locked="0" layoutInCell="1" allowOverlap="1" wp14:anchorId="33580D9A" wp14:editId="56C5826C">
              <wp:simplePos x="635" y="635"/>
              <wp:positionH relativeFrom="page">
                <wp:align>center</wp:align>
              </wp:positionH>
              <wp:positionV relativeFrom="page">
                <wp:align>top</wp:align>
              </wp:positionV>
              <wp:extent cx="551815" cy="376555"/>
              <wp:effectExtent l="0" t="0" r="635" b="4445"/>
              <wp:wrapNone/>
              <wp:docPr id="67791033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0AEDC4" w14:textId="3750557D" w:rsidR="00E17E19" w:rsidRPr="00E17E19" w:rsidRDefault="00E17E19" w:rsidP="00E17E19">
                          <w:pPr>
                            <w:rPr>
                              <w:rFonts w:eastAsia="Calibri" w:cs="Calibri"/>
                              <w:noProof/>
                              <w:color w:val="FF0000"/>
                            </w:rPr>
                          </w:pPr>
                          <w:r w:rsidRPr="00E17E1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580D9A"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4D0AEDC4" w14:textId="3750557D" w:rsidR="00E17E19" w:rsidRPr="00E17E19" w:rsidRDefault="00E17E19" w:rsidP="00E17E19">
                    <w:pPr>
                      <w:rPr>
                        <w:rFonts w:eastAsia="Calibri" w:cs="Calibri"/>
                        <w:noProof/>
                        <w:color w:val="FF0000"/>
                      </w:rPr>
                    </w:pPr>
                    <w:r w:rsidRPr="00E17E19">
                      <w:rPr>
                        <w:rFonts w:eastAsia="Calibri" w:cs="Calibri"/>
                        <w:noProof/>
                        <w:color w:val="FF0000"/>
                      </w:rPr>
                      <w:t>OFFICIAL</w:t>
                    </w:r>
                  </w:p>
                </w:txbxContent>
              </v:textbox>
              <w10:wrap anchorx="page" anchory="page"/>
            </v:shape>
          </w:pict>
        </mc:Fallback>
      </mc:AlternateContent>
    </w:r>
    <w:r w:rsidR="000821FF">
      <w:rPr>
        <w:rFonts w:asciiTheme="minorHAnsi" w:hAnsiTheme="minorHAnsi" w:cstheme="minorHAnsi"/>
        <w:color w:val="808080"/>
      </w:rPr>
      <w:t>Public Summary Document</w:t>
    </w:r>
    <w:r w:rsidR="002217CC" w:rsidRPr="0009779B">
      <w:rPr>
        <w:rFonts w:asciiTheme="minorHAnsi" w:hAnsiTheme="minorHAnsi" w:cstheme="minorHAnsi"/>
        <w:color w:val="808080"/>
      </w:rPr>
      <w:t xml:space="preserve"> - </w:t>
    </w:r>
    <w:r w:rsidR="00436CBD" w:rsidRPr="0009779B">
      <w:rPr>
        <w:rFonts w:asciiTheme="minorHAnsi" w:hAnsiTheme="minorHAnsi" w:cstheme="minorHAnsi"/>
        <w:color w:val="808080"/>
      </w:rPr>
      <w:t>May 2025</w:t>
    </w:r>
    <w:r w:rsidR="00D843F2" w:rsidRPr="0009779B">
      <w:rPr>
        <w:rFonts w:asciiTheme="minorHAnsi" w:hAnsiTheme="minorHAnsi" w:cstheme="minorHAnsi"/>
        <w:color w:val="808080"/>
      </w:rPr>
      <w:t xml:space="preserve"> PBAC Meeting</w:t>
    </w:r>
  </w:p>
  <w:p w14:paraId="03AF943B" w14:textId="77777777" w:rsidR="00D843F2" w:rsidRPr="00931EA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0245" w14:textId="4D30E12F" w:rsidR="007F3646" w:rsidRDefault="00E17E19">
    <w:pPr>
      <w:pStyle w:val="Header"/>
    </w:pPr>
    <w:r>
      <w:rPr>
        <w:noProof/>
      </w:rPr>
      <mc:AlternateContent>
        <mc:Choice Requires="wps">
          <w:drawing>
            <wp:anchor distT="0" distB="0" distL="0" distR="0" simplePos="0" relativeHeight="251664384" behindDoc="0" locked="0" layoutInCell="1" allowOverlap="1" wp14:anchorId="673B971F" wp14:editId="40E33DF4">
              <wp:simplePos x="635" y="635"/>
              <wp:positionH relativeFrom="page">
                <wp:align>center</wp:align>
              </wp:positionH>
              <wp:positionV relativeFrom="page">
                <wp:align>top</wp:align>
              </wp:positionV>
              <wp:extent cx="551815" cy="376555"/>
              <wp:effectExtent l="0" t="0" r="635" b="4445"/>
              <wp:wrapNone/>
              <wp:docPr id="145349448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2ADF58" w14:textId="01C7180D" w:rsidR="00E17E19" w:rsidRPr="00E17E19" w:rsidRDefault="00E17E19" w:rsidP="00E17E19">
                          <w:pPr>
                            <w:rPr>
                              <w:rFonts w:eastAsia="Calibri" w:cs="Calibri"/>
                              <w:noProof/>
                              <w:color w:val="FF0000"/>
                            </w:rPr>
                          </w:pPr>
                          <w:r w:rsidRPr="00E17E1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3B971F"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422ADF58" w14:textId="01C7180D" w:rsidR="00E17E19" w:rsidRPr="00E17E19" w:rsidRDefault="00E17E19" w:rsidP="00E17E19">
                    <w:pPr>
                      <w:rPr>
                        <w:rFonts w:eastAsia="Calibri" w:cs="Calibri"/>
                        <w:noProof/>
                        <w:color w:val="FF0000"/>
                      </w:rPr>
                    </w:pPr>
                    <w:r w:rsidRPr="00E17E19">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8739D"/>
    <w:multiLevelType w:val="multilevel"/>
    <w:tmpl w:val="C4E291D6"/>
    <w:lvl w:ilvl="0">
      <w:start w:val="1"/>
      <w:numFmt w:val="bullet"/>
      <w:lvlText w:val=""/>
      <w:lvlJc w:val="left"/>
      <w:pPr>
        <w:ind w:left="720" w:hanging="720"/>
      </w:pPr>
      <w:rPr>
        <w:rFonts w:ascii="Symbol" w:hAnsi="Symbol"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4F4569"/>
    <w:multiLevelType w:val="multilevel"/>
    <w:tmpl w:val="09E6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37B2B"/>
    <w:multiLevelType w:val="hybridMultilevel"/>
    <w:tmpl w:val="DA1874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1D42AB"/>
    <w:multiLevelType w:val="hybridMultilevel"/>
    <w:tmpl w:val="9B22E7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183B3A"/>
    <w:multiLevelType w:val="hybridMultilevel"/>
    <w:tmpl w:val="19BED6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414871"/>
    <w:multiLevelType w:val="hybridMultilevel"/>
    <w:tmpl w:val="33E402E6"/>
    <w:lvl w:ilvl="0" w:tplc="B3DA2C6A">
      <w:start w:val="1"/>
      <w:numFmt w:val="bullet"/>
      <w:pStyle w:val="BulletBefore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346AD7"/>
    <w:multiLevelType w:val="hybridMultilevel"/>
    <w:tmpl w:val="71A65F8E"/>
    <w:lvl w:ilvl="0" w:tplc="CFBE442A">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D714C88"/>
    <w:multiLevelType w:val="hybridMultilevel"/>
    <w:tmpl w:val="80C0C5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4442297"/>
    <w:multiLevelType w:val="hybridMultilevel"/>
    <w:tmpl w:val="AB94E160"/>
    <w:lvl w:ilvl="0" w:tplc="D5BC4DFC">
      <w:start w:val="1"/>
      <w:numFmt w:val="bullet"/>
      <w:pStyle w:val="Bulletpoints"/>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5461BE"/>
    <w:multiLevelType w:val="hybridMultilevel"/>
    <w:tmpl w:val="ACB2C936"/>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3A659F6"/>
    <w:multiLevelType w:val="hybridMultilevel"/>
    <w:tmpl w:val="9D2AC960"/>
    <w:lvl w:ilvl="0" w:tplc="0C090001">
      <w:start w:val="1"/>
      <w:numFmt w:val="bullet"/>
      <w:lvlText w:val=""/>
      <w:lvlJc w:val="left"/>
      <w:pPr>
        <w:ind w:left="1139" w:hanging="360"/>
      </w:pPr>
      <w:rPr>
        <w:rFonts w:ascii="Symbol" w:hAnsi="Symbol" w:hint="default"/>
      </w:rPr>
    </w:lvl>
    <w:lvl w:ilvl="1" w:tplc="0C090003" w:tentative="1">
      <w:start w:val="1"/>
      <w:numFmt w:val="bullet"/>
      <w:lvlText w:val="o"/>
      <w:lvlJc w:val="left"/>
      <w:pPr>
        <w:ind w:left="1859" w:hanging="360"/>
      </w:pPr>
      <w:rPr>
        <w:rFonts w:ascii="Courier New" w:hAnsi="Courier New" w:cs="Courier New" w:hint="default"/>
      </w:rPr>
    </w:lvl>
    <w:lvl w:ilvl="2" w:tplc="0C090005" w:tentative="1">
      <w:start w:val="1"/>
      <w:numFmt w:val="bullet"/>
      <w:lvlText w:val=""/>
      <w:lvlJc w:val="left"/>
      <w:pPr>
        <w:ind w:left="2579" w:hanging="360"/>
      </w:pPr>
      <w:rPr>
        <w:rFonts w:ascii="Wingdings" w:hAnsi="Wingdings" w:hint="default"/>
      </w:rPr>
    </w:lvl>
    <w:lvl w:ilvl="3" w:tplc="0C090001" w:tentative="1">
      <w:start w:val="1"/>
      <w:numFmt w:val="bullet"/>
      <w:lvlText w:val=""/>
      <w:lvlJc w:val="left"/>
      <w:pPr>
        <w:ind w:left="3299" w:hanging="360"/>
      </w:pPr>
      <w:rPr>
        <w:rFonts w:ascii="Symbol" w:hAnsi="Symbol" w:hint="default"/>
      </w:rPr>
    </w:lvl>
    <w:lvl w:ilvl="4" w:tplc="0C090003" w:tentative="1">
      <w:start w:val="1"/>
      <w:numFmt w:val="bullet"/>
      <w:lvlText w:val="o"/>
      <w:lvlJc w:val="left"/>
      <w:pPr>
        <w:ind w:left="4019" w:hanging="360"/>
      </w:pPr>
      <w:rPr>
        <w:rFonts w:ascii="Courier New" w:hAnsi="Courier New" w:cs="Courier New" w:hint="default"/>
      </w:rPr>
    </w:lvl>
    <w:lvl w:ilvl="5" w:tplc="0C090005" w:tentative="1">
      <w:start w:val="1"/>
      <w:numFmt w:val="bullet"/>
      <w:lvlText w:val=""/>
      <w:lvlJc w:val="left"/>
      <w:pPr>
        <w:ind w:left="4739" w:hanging="360"/>
      </w:pPr>
      <w:rPr>
        <w:rFonts w:ascii="Wingdings" w:hAnsi="Wingdings" w:hint="default"/>
      </w:rPr>
    </w:lvl>
    <w:lvl w:ilvl="6" w:tplc="0C090001" w:tentative="1">
      <w:start w:val="1"/>
      <w:numFmt w:val="bullet"/>
      <w:lvlText w:val=""/>
      <w:lvlJc w:val="left"/>
      <w:pPr>
        <w:ind w:left="5459" w:hanging="360"/>
      </w:pPr>
      <w:rPr>
        <w:rFonts w:ascii="Symbol" w:hAnsi="Symbol" w:hint="default"/>
      </w:rPr>
    </w:lvl>
    <w:lvl w:ilvl="7" w:tplc="0C090003" w:tentative="1">
      <w:start w:val="1"/>
      <w:numFmt w:val="bullet"/>
      <w:lvlText w:val="o"/>
      <w:lvlJc w:val="left"/>
      <w:pPr>
        <w:ind w:left="6179" w:hanging="360"/>
      </w:pPr>
      <w:rPr>
        <w:rFonts w:ascii="Courier New" w:hAnsi="Courier New" w:cs="Courier New" w:hint="default"/>
      </w:rPr>
    </w:lvl>
    <w:lvl w:ilvl="8" w:tplc="0C090005" w:tentative="1">
      <w:start w:val="1"/>
      <w:numFmt w:val="bullet"/>
      <w:lvlText w:val=""/>
      <w:lvlJc w:val="left"/>
      <w:pPr>
        <w:ind w:left="6899" w:hanging="360"/>
      </w:pPr>
      <w:rPr>
        <w:rFonts w:ascii="Wingdings" w:hAnsi="Wingdings" w:hint="default"/>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7D2F1B"/>
    <w:multiLevelType w:val="hybridMultilevel"/>
    <w:tmpl w:val="418C0F52"/>
    <w:lvl w:ilvl="0" w:tplc="E1B6BF4A">
      <w:start w:val="1"/>
      <w:numFmt w:val="decimal"/>
      <w:lvlText w:val="%1."/>
      <w:lvlJc w:val="left"/>
      <w:pPr>
        <w:ind w:left="36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783981"/>
    <w:multiLevelType w:val="hybridMultilevel"/>
    <w:tmpl w:val="9932AF6E"/>
    <w:lvl w:ilvl="0" w:tplc="9F703D9C">
      <w:start w:val="1"/>
      <w:numFmt w:val="bullet"/>
      <w:lvlText w:val=""/>
      <w:lvlJc w:val="left"/>
      <w:pPr>
        <w:ind w:left="1120" w:hanging="360"/>
      </w:pPr>
      <w:rPr>
        <w:rFonts w:ascii="Symbol" w:hAnsi="Symbol"/>
      </w:rPr>
    </w:lvl>
    <w:lvl w:ilvl="1" w:tplc="E72C09C6">
      <w:start w:val="1"/>
      <w:numFmt w:val="bullet"/>
      <w:lvlText w:val=""/>
      <w:lvlJc w:val="left"/>
      <w:pPr>
        <w:ind w:left="1120" w:hanging="360"/>
      </w:pPr>
      <w:rPr>
        <w:rFonts w:ascii="Symbol" w:hAnsi="Symbol"/>
      </w:rPr>
    </w:lvl>
    <w:lvl w:ilvl="2" w:tplc="4224AC10">
      <w:start w:val="1"/>
      <w:numFmt w:val="bullet"/>
      <w:lvlText w:val=""/>
      <w:lvlJc w:val="left"/>
      <w:pPr>
        <w:ind w:left="1120" w:hanging="360"/>
      </w:pPr>
      <w:rPr>
        <w:rFonts w:ascii="Symbol" w:hAnsi="Symbol"/>
      </w:rPr>
    </w:lvl>
    <w:lvl w:ilvl="3" w:tplc="82E045DC">
      <w:start w:val="1"/>
      <w:numFmt w:val="bullet"/>
      <w:lvlText w:val=""/>
      <w:lvlJc w:val="left"/>
      <w:pPr>
        <w:ind w:left="1120" w:hanging="360"/>
      </w:pPr>
      <w:rPr>
        <w:rFonts w:ascii="Symbol" w:hAnsi="Symbol"/>
      </w:rPr>
    </w:lvl>
    <w:lvl w:ilvl="4" w:tplc="7676F146">
      <w:start w:val="1"/>
      <w:numFmt w:val="bullet"/>
      <w:lvlText w:val=""/>
      <w:lvlJc w:val="left"/>
      <w:pPr>
        <w:ind w:left="1120" w:hanging="360"/>
      </w:pPr>
      <w:rPr>
        <w:rFonts w:ascii="Symbol" w:hAnsi="Symbol"/>
      </w:rPr>
    </w:lvl>
    <w:lvl w:ilvl="5" w:tplc="D2EE74FE">
      <w:start w:val="1"/>
      <w:numFmt w:val="bullet"/>
      <w:lvlText w:val=""/>
      <w:lvlJc w:val="left"/>
      <w:pPr>
        <w:ind w:left="1120" w:hanging="360"/>
      </w:pPr>
      <w:rPr>
        <w:rFonts w:ascii="Symbol" w:hAnsi="Symbol"/>
      </w:rPr>
    </w:lvl>
    <w:lvl w:ilvl="6" w:tplc="CB3AFC9A">
      <w:start w:val="1"/>
      <w:numFmt w:val="bullet"/>
      <w:lvlText w:val=""/>
      <w:lvlJc w:val="left"/>
      <w:pPr>
        <w:ind w:left="1120" w:hanging="360"/>
      </w:pPr>
      <w:rPr>
        <w:rFonts w:ascii="Symbol" w:hAnsi="Symbol"/>
      </w:rPr>
    </w:lvl>
    <w:lvl w:ilvl="7" w:tplc="3FE22114">
      <w:start w:val="1"/>
      <w:numFmt w:val="bullet"/>
      <w:lvlText w:val=""/>
      <w:lvlJc w:val="left"/>
      <w:pPr>
        <w:ind w:left="1120" w:hanging="360"/>
      </w:pPr>
      <w:rPr>
        <w:rFonts w:ascii="Symbol" w:hAnsi="Symbol"/>
      </w:rPr>
    </w:lvl>
    <w:lvl w:ilvl="8" w:tplc="449EB3AE">
      <w:start w:val="1"/>
      <w:numFmt w:val="bullet"/>
      <w:lvlText w:val=""/>
      <w:lvlJc w:val="left"/>
      <w:pPr>
        <w:ind w:left="1120" w:hanging="360"/>
      </w:pPr>
      <w:rPr>
        <w:rFonts w:ascii="Symbol" w:hAnsi="Symbol"/>
      </w:rPr>
    </w:lvl>
  </w:abstractNum>
  <w:abstractNum w:abstractNumId="1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66B529C"/>
    <w:multiLevelType w:val="hybridMultilevel"/>
    <w:tmpl w:val="19BED6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A67FE7"/>
    <w:multiLevelType w:val="hybridMultilevel"/>
    <w:tmpl w:val="19BED6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4D033C"/>
    <w:multiLevelType w:val="multilevel"/>
    <w:tmpl w:val="57C46378"/>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A26011"/>
    <w:multiLevelType w:val="hybridMultilevel"/>
    <w:tmpl w:val="19DAFF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816186631">
    <w:abstractNumId w:val="19"/>
  </w:num>
  <w:num w:numId="2" w16cid:durableId="917793048">
    <w:abstractNumId w:val="9"/>
  </w:num>
  <w:num w:numId="3" w16cid:durableId="263461728">
    <w:abstractNumId w:val="0"/>
  </w:num>
  <w:num w:numId="4" w16cid:durableId="220360847">
    <w:abstractNumId w:val="16"/>
  </w:num>
  <w:num w:numId="5" w16cid:durableId="268196418">
    <w:abstractNumId w:val="7"/>
  </w:num>
  <w:num w:numId="6" w16cid:durableId="1048839230">
    <w:abstractNumId w:val="19"/>
  </w:num>
  <w:num w:numId="7" w16cid:durableId="161429403">
    <w:abstractNumId w:val="18"/>
  </w:num>
  <w:num w:numId="8" w16cid:durableId="1935816664">
    <w:abstractNumId w:val="3"/>
  </w:num>
  <w:num w:numId="9" w16cid:durableId="167018100">
    <w:abstractNumId w:val="6"/>
  </w:num>
  <w:num w:numId="10" w16cid:durableId="1627201694">
    <w:abstractNumId w:val="20"/>
  </w:num>
  <w:num w:numId="11" w16cid:durableId="1947349301">
    <w:abstractNumId w:val="21"/>
  </w:num>
  <w:num w:numId="12" w16cid:durableId="2113473211">
    <w:abstractNumId w:val="13"/>
  </w:num>
  <w:num w:numId="13" w16cid:durableId="1103262566">
    <w:abstractNumId w:val="11"/>
  </w:num>
  <w:num w:numId="14" w16cid:durableId="141626770">
    <w:abstractNumId w:val="8"/>
  </w:num>
  <w:num w:numId="15" w16cid:durableId="2059745658">
    <w:abstractNumId w:val="17"/>
  </w:num>
  <w:num w:numId="16" w16cid:durableId="285890202">
    <w:abstractNumId w:val="10"/>
  </w:num>
  <w:num w:numId="17" w16cid:durableId="1008560505">
    <w:abstractNumId w:val="4"/>
  </w:num>
  <w:num w:numId="18" w16cid:durableId="408699874">
    <w:abstractNumId w:val="12"/>
  </w:num>
  <w:num w:numId="19" w16cid:durableId="129744317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9462">
    <w:abstractNumId w:val="1"/>
  </w:num>
  <w:num w:numId="21" w16cid:durableId="672342042">
    <w:abstractNumId w:val="19"/>
  </w:num>
  <w:num w:numId="22" w16cid:durableId="655183647">
    <w:abstractNumId w:val="19"/>
  </w:num>
  <w:num w:numId="23" w16cid:durableId="443616671">
    <w:abstractNumId w:val="2"/>
  </w:num>
  <w:num w:numId="24" w16cid:durableId="1435593818">
    <w:abstractNumId w:val="5"/>
  </w:num>
  <w:num w:numId="25" w16cid:durableId="143231518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129"/>
    <w:rsid w:val="0000035E"/>
    <w:rsid w:val="0000050A"/>
    <w:rsid w:val="00000658"/>
    <w:rsid w:val="0000074F"/>
    <w:rsid w:val="00000790"/>
    <w:rsid w:val="00000A99"/>
    <w:rsid w:val="00000DEC"/>
    <w:rsid w:val="00000ED2"/>
    <w:rsid w:val="00001012"/>
    <w:rsid w:val="0000110B"/>
    <w:rsid w:val="00001217"/>
    <w:rsid w:val="000012D0"/>
    <w:rsid w:val="0000172A"/>
    <w:rsid w:val="00001A1A"/>
    <w:rsid w:val="00001C87"/>
    <w:rsid w:val="00002094"/>
    <w:rsid w:val="0000242F"/>
    <w:rsid w:val="000029F2"/>
    <w:rsid w:val="00002C57"/>
    <w:rsid w:val="00002D52"/>
    <w:rsid w:val="00002E62"/>
    <w:rsid w:val="000032F0"/>
    <w:rsid w:val="00003499"/>
    <w:rsid w:val="00003735"/>
    <w:rsid w:val="0000376D"/>
    <w:rsid w:val="0000376E"/>
    <w:rsid w:val="0000378E"/>
    <w:rsid w:val="000037B3"/>
    <w:rsid w:val="000038B7"/>
    <w:rsid w:val="000039B7"/>
    <w:rsid w:val="00003B08"/>
    <w:rsid w:val="00003CD1"/>
    <w:rsid w:val="00003EB6"/>
    <w:rsid w:val="0000418A"/>
    <w:rsid w:val="000044E2"/>
    <w:rsid w:val="0000466E"/>
    <w:rsid w:val="000048F8"/>
    <w:rsid w:val="00004B2F"/>
    <w:rsid w:val="00004DF8"/>
    <w:rsid w:val="000052F6"/>
    <w:rsid w:val="000056B9"/>
    <w:rsid w:val="0000575E"/>
    <w:rsid w:val="000058B4"/>
    <w:rsid w:val="000058F5"/>
    <w:rsid w:val="00005A52"/>
    <w:rsid w:val="0000639A"/>
    <w:rsid w:val="0000669A"/>
    <w:rsid w:val="00007680"/>
    <w:rsid w:val="00007800"/>
    <w:rsid w:val="00010094"/>
    <w:rsid w:val="000104C9"/>
    <w:rsid w:val="00010561"/>
    <w:rsid w:val="000106FF"/>
    <w:rsid w:val="00010763"/>
    <w:rsid w:val="00010C15"/>
    <w:rsid w:val="00010D31"/>
    <w:rsid w:val="00010E32"/>
    <w:rsid w:val="00011208"/>
    <w:rsid w:val="0001134D"/>
    <w:rsid w:val="0001189D"/>
    <w:rsid w:val="00012145"/>
    <w:rsid w:val="00012793"/>
    <w:rsid w:val="000128E7"/>
    <w:rsid w:val="00012A05"/>
    <w:rsid w:val="000130A4"/>
    <w:rsid w:val="00013247"/>
    <w:rsid w:val="000139DC"/>
    <w:rsid w:val="00013E1A"/>
    <w:rsid w:val="000144D2"/>
    <w:rsid w:val="00014897"/>
    <w:rsid w:val="00014F1C"/>
    <w:rsid w:val="00014F3F"/>
    <w:rsid w:val="00015090"/>
    <w:rsid w:val="0001523A"/>
    <w:rsid w:val="000153B0"/>
    <w:rsid w:val="00015546"/>
    <w:rsid w:val="00015886"/>
    <w:rsid w:val="000158DE"/>
    <w:rsid w:val="00015CE4"/>
    <w:rsid w:val="000161BC"/>
    <w:rsid w:val="000162EF"/>
    <w:rsid w:val="0001678C"/>
    <w:rsid w:val="000168B5"/>
    <w:rsid w:val="00016970"/>
    <w:rsid w:val="00016A5F"/>
    <w:rsid w:val="00016EA6"/>
    <w:rsid w:val="00017285"/>
    <w:rsid w:val="000173B5"/>
    <w:rsid w:val="00017461"/>
    <w:rsid w:val="00017552"/>
    <w:rsid w:val="00017973"/>
    <w:rsid w:val="00017CCA"/>
    <w:rsid w:val="00017D33"/>
    <w:rsid w:val="00017D56"/>
    <w:rsid w:val="000207C9"/>
    <w:rsid w:val="00021186"/>
    <w:rsid w:val="00021396"/>
    <w:rsid w:val="00021483"/>
    <w:rsid w:val="0002177C"/>
    <w:rsid w:val="00021D0B"/>
    <w:rsid w:val="0002225F"/>
    <w:rsid w:val="00022C1B"/>
    <w:rsid w:val="00023058"/>
    <w:rsid w:val="000236B7"/>
    <w:rsid w:val="00023763"/>
    <w:rsid w:val="000237E2"/>
    <w:rsid w:val="00023988"/>
    <w:rsid w:val="000239B4"/>
    <w:rsid w:val="000239FA"/>
    <w:rsid w:val="000241EC"/>
    <w:rsid w:val="000241ED"/>
    <w:rsid w:val="00024623"/>
    <w:rsid w:val="00024BAB"/>
    <w:rsid w:val="00024E1B"/>
    <w:rsid w:val="00024EB5"/>
    <w:rsid w:val="0002659C"/>
    <w:rsid w:val="0002661A"/>
    <w:rsid w:val="000267C6"/>
    <w:rsid w:val="00026DC5"/>
    <w:rsid w:val="000271A0"/>
    <w:rsid w:val="000271C4"/>
    <w:rsid w:val="000274B8"/>
    <w:rsid w:val="00027544"/>
    <w:rsid w:val="00027894"/>
    <w:rsid w:val="000278DB"/>
    <w:rsid w:val="00027E2F"/>
    <w:rsid w:val="00027EF8"/>
    <w:rsid w:val="00027F1D"/>
    <w:rsid w:val="0003033B"/>
    <w:rsid w:val="000309C6"/>
    <w:rsid w:val="000309CB"/>
    <w:rsid w:val="00030CFA"/>
    <w:rsid w:val="00030E29"/>
    <w:rsid w:val="00030F57"/>
    <w:rsid w:val="000310A1"/>
    <w:rsid w:val="00031263"/>
    <w:rsid w:val="00031E37"/>
    <w:rsid w:val="00032144"/>
    <w:rsid w:val="000329BD"/>
    <w:rsid w:val="00032AE8"/>
    <w:rsid w:val="00032B58"/>
    <w:rsid w:val="00032FA3"/>
    <w:rsid w:val="00033083"/>
    <w:rsid w:val="00033863"/>
    <w:rsid w:val="000339F6"/>
    <w:rsid w:val="00033A5B"/>
    <w:rsid w:val="000347EA"/>
    <w:rsid w:val="00034DC6"/>
    <w:rsid w:val="00034E95"/>
    <w:rsid w:val="000354B5"/>
    <w:rsid w:val="00035B42"/>
    <w:rsid w:val="00035BC7"/>
    <w:rsid w:val="00035DC0"/>
    <w:rsid w:val="00036058"/>
    <w:rsid w:val="00036372"/>
    <w:rsid w:val="00036829"/>
    <w:rsid w:val="00036894"/>
    <w:rsid w:val="00036A4D"/>
    <w:rsid w:val="00037275"/>
    <w:rsid w:val="00037457"/>
    <w:rsid w:val="00037506"/>
    <w:rsid w:val="000375D7"/>
    <w:rsid w:val="00037608"/>
    <w:rsid w:val="000377CF"/>
    <w:rsid w:val="00037A82"/>
    <w:rsid w:val="00037CB4"/>
    <w:rsid w:val="00037D1C"/>
    <w:rsid w:val="00037E84"/>
    <w:rsid w:val="00040183"/>
    <w:rsid w:val="000401FE"/>
    <w:rsid w:val="000402ED"/>
    <w:rsid w:val="00040364"/>
    <w:rsid w:val="0004037B"/>
    <w:rsid w:val="000407F2"/>
    <w:rsid w:val="00040880"/>
    <w:rsid w:val="00040895"/>
    <w:rsid w:val="0004089E"/>
    <w:rsid w:val="00040C87"/>
    <w:rsid w:val="00040CA6"/>
    <w:rsid w:val="00040DDA"/>
    <w:rsid w:val="000410A0"/>
    <w:rsid w:val="0004115C"/>
    <w:rsid w:val="00041163"/>
    <w:rsid w:val="0004162F"/>
    <w:rsid w:val="00041738"/>
    <w:rsid w:val="00041764"/>
    <w:rsid w:val="0004181E"/>
    <w:rsid w:val="00041A85"/>
    <w:rsid w:val="00041CCF"/>
    <w:rsid w:val="00041EAD"/>
    <w:rsid w:val="000422E2"/>
    <w:rsid w:val="000424CB"/>
    <w:rsid w:val="00042714"/>
    <w:rsid w:val="00042797"/>
    <w:rsid w:val="00042884"/>
    <w:rsid w:val="00042B29"/>
    <w:rsid w:val="00042DD5"/>
    <w:rsid w:val="00042E5D"/>
    <w:rsid w:val="000435EE"/>
    <w:rsid w:val="00043B80"/>
    <w:rsid w:val="00043C37"/>
    <w:rsid w:val="00043DAB"/>
    <w:rsid w:val="000440F9"/>
    <w:rsid w:val="000447C7"/>
    <w:rsid w:val="00045017"/>
    <w:rsid w:val="00045443"/>
    <w:rsid w:val="000454C2"/>
    <w:rsid w:val="0004550F"/>
    <w:rsid w:val="00045A2B"/>
    <w:rsid w:val="00045C63"/>
    <w:rsid w:val="000463E7"/>
    <w:rsid w:val="0004698F"/>
    <w:rsid w:val="00046B0F"/>
    <w:rsid w:val="00046D64"/>
    <w:rsid w:val="00047028"/>
    <w:rsid w:val="00047099"/>
    <w:rsid w:val="000470CE"/>
    <w:rsid w:val="00047169"/>
    <w:rsid w:val="00047839"/>
    <w:rsid w:val="00047924"/>
    <w:rsid w:val="000507D0"/>
    <w:rsid w:val="000507F3"/>
    <w:rsid w:val="000508C2"/>
    <w:rsid w:val="0005091D"/>
    <w:rsid w:val="00050E52"/>
    <w:rsid w:val="00050F0F"/>
    <w:rsid w:val="000511EE"/>
    <w:rsid w:val="00051282"/>
    <w:rsid w:val="0005144E"/>
    <w:rsid w:val="000515AF"/>
    <w:rsid w:val="000517CB"/>
    <w:rsid w:val="00051811"/>
    <w:rsid w:val="00051C86"/>
    <w:rsid w:val="00051E0B"/>
    <w:rsid w:val="00051E54"/>
    <w:rsid w:val="00051FC6"/>
    <w:rsid w:val="00052030"/>
    <w:rsid w:val="000524E4"/>
    <w:rsid w:val="00052509"/>
    <w:rsid w:val="00052F2A"/>
    <w:rsid w:val="00052F38"/>
    <w:rsid w:val="00053052"/>
    <w:rsid w:val="000530DD"/>
    <w:rsid w:val="00053910"/>
    <w:rsid w:val="000539D0"/>
    <w:rsid w:val="00053EFC"/>
    <w:rsid w:val="0005442B"/>
    <w:rsid w:val="00054534"/>
    <w:rsid w:val="00054621"/>
    <w:rsid w:val="000546D7"/>
    <w:rsid w:val="00054714"/>
    <w:rsid w:val="00054A8D"/>
    <w:rsid w:val="00054E6E"/>
    <w:rsid w:val="00055859"/>
    <w:rsid w:val="00055ACB"/>
    <w:rsid w:val="000560CB"/>
    <w:rsid w:val="0005615B"/>
    <w:rsid w:val="0005698F"/>
    <w:rsid w:val="00056BFA"/>
    <w:rsid w:val="00056ECF"/>
    <w:rsid w:val="00056F97"/>
    <w:rsid w:val="0005715B"/>
    <w:rsid w:val="00057D16"/>
    <w:rsid w:val="00057D26"/>
    <w:rsid w:val="00057D30"/>
    <w:rsid w:val="00057E8E"/>
    <w:rsid w:val="00057ED4"/>
    <w:rsid w:val="0006000A"/>
    <w:rsid w:val="000604DF"/>
    <w:rsid w:val="00060830"/>
    <w:rsid w:val="00060917"/>
    <w:rsid w:val="00060A78"/>
    <w:rsid w:val="00061024"/>
    <w:rsid w:val="000612E3"/>
    <w:rsid w:val="00061A2D"/>
    <w:rsid w:val="00061A4E"/>
    <w:rsid w:val="00061C68"/>
    <w:rsid w:val="00061C6F"/>
    <w:rsid w:val="00061F9C"/>
    <w:rsid w:val="00062255"/>
    <w:rsid w:val="00062324"/>
    <w:rsid w:val="00062378"/>
    <w:rsid w:val="00062457"/>
    <w:rsid w:val="000625B2"/>
    <w:rsid w:val="0006273E"/>
    <w:rsid w:val="0006279A"/>
    <w:rsid w:val="000628ED"/>
    <w:rsid w:val="00062ED5"/>
    <w:rsid w:val="000631AB"/>
    <w:rsid w:val="00063226"/>
    <w:rsid w:val="0006325F"/>
    <w:rsid w:val="00063394"/>
    <w:rsid w:val="00063501"/>
    <w:rsid w:val="000635D4"/>
    <w:rsid w:val="000637EE"/>
    <w:rsid w:val="000638D8"/>
    <w:rsid w:val="00063BF7"/>
    <w:rsid w:val="00063EA3"/>
    <w:rsid w:val="00064248"/>
    <w:rsid w:val="00064304"/>
    <w:rsid w:val="00064311"/>
    <w:rsid w:val="000644B1"/>
    <w:rsid w:val="000653B5"/>
    <w:rsid w:val="000653F0"/>
    <w:rsid w:val="00065573"/>
    <w:rsid w:val="00065775"/>
    <w:rsid w:val="000657BA"/>
    <w:rsid w:val="00065B93"/>
    <w:rsid w:val="00065E64"/>
    <w:rsid w:val="00065EFC"/>
    <w:rsid w:val="00065F92"/>
    <w:rsid w:val="00065FC9"/>
    <w:rsid w:val="000660B2"/>
    <w:rsid w:val="00066360"/>
    <w:rsid w:val="00066571"/>
    <w:rsid w:val="000665D8"/>
    <w:rsid w:val="00066A1C"/>
    <w:rsid w:val="00066AF8"/>
    <w:rsid w:val="00066ED1"/>
    <w:rsid w:val="0006711F"/>
    <w:rsid w:val="00067204"/>
    <w:rsid w:val="00067447"/>
    <w:rsid w:val="00067622"/>
    <w:rsid w:val="00067941"/>
    <w:rsid w:val="00067BA7"/>
    <w:rsid w:val="00067C29"/>
    <w:rsid w:val="000701FF"/>
    <w:rsid w:val="000704B3"/>
    <w:rsid w:val="00070867"/>
    <w:rsid w:val="00070D92"/>
    <w:rsid w:val="0007101B"/>
    <w:rsid w:val="00071230"/>
    <w:rsid w:val="00071248"/>
    <w:rsid w:val="00071750"/>
    <w:rsid w:val="00071812"/>
    <w:rsid w:val="0007198C"/>
    <w:rsid w:val="000720A2"/>
    <w:rsid w:val="000720B9"/>
    <w:rsid w:val="0007267F"/>
    <w:rsid w:val="000727B6"/>
    <w:rsid w:val="0007282E"/>
    <w:rsid w:val="000728B5"/>
    <w:rsid w:val="000728FD"/>
    <w:rsid w:val="000730B1"/>
    <w:rsid w:val="00073451"/>
    <w:rsid w:val="0007376B"/>
    <w:rsid w:val="00073798"/>
    <w:rsid w:val="000737F7"/>
    <w:rsid w:val="0007380B"/>
    <w:rsid w:val="000738F4"/>
    <w:rsid w:val="00073A78"/>
    <w:rsid w:val="00073B16"/>
    <w:rsid w:val="00073B1B"/>
    <w:rsid w:val="00073B5C"/>
    <w:rsid w:val="00073CF9"/>
    <w:rsid w:val="000745AC"/>
    <w:rsid w:val="000746D6"/>
    <w:rsid w:val="00074981"/>
    <w:rsid w:val="000749FF"/>
    <w:rsid w:val="00074CD9"/>
    <w:rsid w:val="00074E62"/>
    <w:rsid w:val="00075134"/>
    <w:rsid w:val="000757A1"/>
    <w:rsid w:val="000757E4"/>
    <w:rsid w:val="00075BC1"/>
    <w:rsid w:val="00075DCC"/>
    <w:rsid w:val="00076131"/>
    <w:rsid w:val="0007672F"/>
    <w:rsid w:val="00076876"/>
    <w:rsid w:val="00076B54"/>
    <w:rsid w:val="00076B68"/>
    <w:rsid w:val="00076E1D"/>
    <w:rsid w:val="00076E71"/>
    <w:rsid w:val="00077223"/>
    <w:rsid w:val="000774F0"/>
    <w:rsid w:val="000776F1"/>
    <w:rsid w:val="00077B0D"/>
    <w:rsid w:val="00077BA9"/>
    <w:rsid w:val="00077BC6"/>
    <w:rsid w:val="0008002D"/>
    <w:rsid w:val="0008040B"/>
    <w:rsid w:val="00080615"/>
    <w:rsid w:val="00080858"/>
    <w:rsid w:val="00080909"/>
    <w:rsid w:val="00080979"/>
    <w:rsid w:val="00080E47"/>
    <w:rsid w:val="00080EDF"/>
    <w:rsid w:val="000812CA"/>
    <w:rsid w:val="00081619"/>
    <w:rsid w:val="00081782"/>
    <w:rsid w:val="00081E63"/>
    <w:rsid w:val="000821FF"/>
    <w:rsid w:val="00082417"/>
    <w:rsid w:val="0008258D"/>
    <w:rsid w:val="00082825"/>
    <w:rsid w:val="00082B9B"/>
    <w:rsid w:val="00082C33"/>
    <w:rsid w:val="000830C4"/>
    <w:rsid w:val="000830D7"/>
    <w:rsid w:val="00083206"/>
    <w:rsid w:val="0008358F"/>
    <w:rsid w:val="000839F8"/>
    <w:rsid w:val="00083DFF"/>
    <w:rsid w:val="00083E99"/>
    <w:rsid w:val="00083EC3"/>
    <w:rsid w:val="00083F9D"/>
    <w:rsid w:val="0008480F"/>
    <w:rsid w:val="00084884"/>
    <w:rsid w:val="0008496F"/>
    <w:rsid w:val="00084C95"/>
    <w:rsid w:val="00084FA8"/>
    <w:rsid w:val="00085020"/>
    <w:rsid w:val="0008516B"/>
    <w:rsid w:val="000856C5"/>
    <w:rsid w:val="000858C9"/>
    <w:rsid w:val="00085B35"/>
    <w:rsid w:val="00085C07"/>
    <w:rsid w:val="00085C31"/>
    <w:rsid w:val="00085FB7"/>
    <w:rsid w:val="000864A7"/>
    <w:rsid w:val="000864C3"/>
    <w:rsid w:val="000864E3"/>
    <w:rsid w:val="000865E1"/>
    <w:rsid w:val="00086857"/>
    <w:rsid w:val="00086BEB"/>
    <w:rsid w:val="000875FD"/>
    <w:rsid w:val="0008783D"/>
    <w:rsid w:val="0008783F"/>
    <w:rsid w:val="00087B6E"/>
    <w:rsid w:val="00087C3F"/>
    <w:rsid w:val="0009012A"/>
    <w:rsid w:val="000902D9"/>
    <w:rsid w:val="00090319"/>
    <w:rsid w:val="0009037F"/>
    <w:rsid w:val="0009039D"/>
    <w:rsid w:val="00090460"/>
    <w:rsid w:val="0009052D"/>
    <w:rsid w:val="000907BC"/>
    <w:rsid w:val="00090C7E"/>
    <w:rsid w:val="0009105B"/>
    <w:rsid w:val="000911AC"/>
    <w:rsid w:val="00091239"/>
    <w:rsid w:val="000913C5"/>
    <w:rsid w:val="0009174B"/>
    <w:rsid w:val="00091913"/>
    <w:rsid w:val="00091AE4"/>
    <w:rsid w:val="00092092"/>
    <w:rsid w:val="000922DC"/>
    <w:rsid w:val="0009250E"/>
    <w:rsid w:val="00092600"/>
    <w:rsid w:val="0009262B"/>
    <w:rsid w:val="00092A62"/>
    <w:rsid w:val="00092BEC"/>
    <w:rsid w:val="00092CFB"/>
    <w:rsid w:val="00093001"/>
    <w:rsid w:val="000930AD"/>
    <w:rsid w:val="000930F5"/>
    <w:rsid w:val="000931E7"/>
    <w:rsid w:val="00093310"/>
    <w:rsid w:val="000936FF"/>
    <w:rsid w:val="00093739"/>
    <w:rsid w:val="00093BE0"/>
    <w:rsid w:val="00093C6D"/>
    <w:rsid w:val="00093EB9"/>
    <w:rsid w:val="00093EC4"/>
    <w:rsid w:val="000942EE"/>
    <w:rsid w:val="0009445C"/>
    <w:rsid w:val="000944DF"/>
    <w:rsid w:val="00094713"/>
    <w:rsid w:val="000948AD"/>
    <w:rsid w:val="00094E07"/>
    <w:rsid w:val="000951A3"/>
    <w:rsid w:val="00095200"/>
    <w:rsid w:val="000952B5"/>
    <w:rsid w:val="00095399"/>
    <w:rsid w:val="000959B3"/>
    <w:rsid w:val="00095D46"/>
    <w:rsid w:val="00095D57"/>
    <w:rsid w:val="00095FDC"/>
    <w:rsid w:val="00095FE5"/>
    <w:rsid w:val="000961FA"/>
    <w:rsid w:val="00096284"/>
    <w:rsid w:val="0009678C"/>
    <w:rsid w:val="0009689E"/>
    <w:rsid w:val="00096D39"/>
    <w:rsid w:val="00097086"/>
    <w:rsid w:val="00097286"/>
    <w:rsid w:val="000974B3"/>
    <w:rsid w:val="0009764E"/>
    <w:rsid w:val="00097652"/>
    <w:rsid w:val="0009779B"/>
    <w:rsid w:val="000A0279"/>
    <w:rsid w:val="000A1211"/>
    <w:rsid w:val="000A178F"/>
    <w:rsid w:val="000A1947"/>
    <w:rsid w:val="000A1BC0"/>
    <w:rsid w:val="000A1DBD"/>
    <w:rsid w:val="000A1EC3"/>
    <w:rsid w:val="000A1F90"/>
    <w:rsid w:val="000A258E"/>
    <w:rsid w:val="000A25D3"/>
    <w:rsid w:val="000A25FD"/>
    <w:rsid w:val="000A2615"/>
    <w:rsid w:val="000A29EB"/>
    <w:rsid w:val="000A2F0A"/>
    <w:rsid w:val="000A2F9E"/>
    <w:rsid w:val="000A308F"/>
    <w:rsid w:val="000A328E"/>
    <w:rsid w:val="000A34E9"/>
    <w:rsid w:val="000A3ADA"/>
    <w:rsid w:val="000A3E47"/>
    <w:rsid w:val="000A4771"/>
    <w:rsid w:val="000A4D95"/>
    <w:rsid w:val="000A522B"/>
    <w:rsid w:val="000A59D6"/>
    <w:rsid w:val="000A5F9A"/>
    <w:rsid w:val="000A6039"/>
    <w:rsid w:val="000A695A"/>
    <w:rsid w:val="000A6A94"/>
    <w:rsid w:val="000A6CA4"/>
    <w:rsid w:val="000A72BB"/>
    <w:rsid w:val="000A7453"/>
    <w:rsid w:val="000A77CE"/>
    <w:rsid w:val="000A77FF"/>
    <w:rsid w:val="000A7BB9"/>
    <w:rsid w:val="000A7C99"/>
    <w:rsid w:val="000A7D08"/>
    <w:rsid w:val="000B0121"/>
    <w:rsid w:val="000B0670"/>
    <w:rsid w:val="000B0E75"/>
    <w:rsid w:val="000B0EB3"/>
    <w:rsid w:val="000B0F3E"/>
    <w:rsid w:val="000B1090"/>
    <w:rsid w:val="000B1250"/>
    <w:rsid w:val="000B1262"/>
    <w:rsid w:val="000B1327"/>
    <w:rsid w:val="000B14C8"/>
    <w:rsid w:val="000B17EF"/>
    <w:rsid w:val="000B182B"/>
    <w:rsid w:val="000B1A32"/>
    <w:rsid w:val="000B1CFD"/>
    <w:rsid w:val="000B1F05"/>
    <w:rsid w:val="000B28BF"/>
    <w:rsid w:val="000B2C1A"/>
    <w:rsid w:val="000B2D85"/>
    <w:rsid w:val="000B2DCB"/>
    <w:rsid w:val="000B2E33"/>
    <w:rsid w:val="000B3952"/>
    <w:rsid w:val="000B3DF6"/>
    <w:rsid w:val="000B3E16"/>
    <w:rsid w:val="000B3F96"/>
    <w:rsid w:val="000B4C98"/>
    <w:rsid w:val="000B5204"/>
    <w:rsid w:val="000B520C"/>
    <w:rsid w:val="000B544B"/>
    <w:rsid w:val="000B55B0"/>
    <w:rsid w:val="000B5651"/>
    <w:rsid w:val="000B574F"/>
    <w:rsid w:val="000B5A4A"/>
    <w:rsid w:val="000B5BD5"/>
    <w:rsid w:val="000B5C11"/>
    <w:rsid w:val="000B5CE0"/>
    <w:rsid w:val="000B5FE8"/>
    <w:rsid w:val="000B604C"/>
    <w:rsid w:val="000B60A7"/>
    <w:rsid w:val="000B63FF"/>
    <w:rsid w:val="000B6599"/>
    <w:rsid w:val="000B67E3"/>
    <w:rsid w:val="000B6828"/>
    <w:rsid w:val="000B6831"/>
    <w:rsid w:val="000B6CAC"/>
    <w:rsid w:val="000B702E"/>
    <w:rsid w:val="000B735F"/>
    <w:rsid w:val="000B7612"/>
    <w:rsid w:val="000B7643"/>
    <w:rsid w:val="000B78AE"/>
    <w:rsid w:val="000B7D25"/>
    <w:rsid w:val="000C007E"/>
    <w:rsid w:val="000C00A1"/>
    <w:rsid w:val="000C0230"/>
    <w:rsid w:val="000C0877"/>
    <w:rsid w:val="000C0D93"/>
    <w:rsid w:val="000C13AD"/>
    <w:rsid w:val="000C19DC"/>
    <w:rsid w:val="000C1A7E"/>
    <w:rsid w:val="000C1AE9"/>
    <w:rsid w:val="000C1B33"/>
    <w:rsid w:val="000C209C"/>
    <w:rsid w:val="000C2270"/>
    <w:rsid w:val="000C252D"/>
    <w:rsid w:val="000C2A55"/>
    <w:rsid w:val="000C2AE3"/>
    <w:rsid w:val="000C2DA6"/>
    <w:rsid w:val="000C344A"/>
    <w:rsid w:val="000C34A8"/>
    <w:rsid w:val="000C3BF2"/>
    <w:rsid w:val="000C3DF9"/>
    <w:rsid w:val="000C4266"/>
    <w:rsid w:val="000C43D5"/>
    <w:rsid w:val="000C47BD"/>
    <w:rsid w:val="000C4CF2"/>
    <w:rsid w:val="000C4DE9"/>
    <w:rsid w:val="000C4FEA"/>
    <w:rsid w:val="000C50E1"/>
    <w:rsid w:val="000C53B5"/>
    <w:rsid w:val="000C55BE"/>
    <w:rsid w:val="000C57D0"/>
    <w:rsid w:val="000C580F"/>
    <w:rsid w:val="000C5E5A"/>
    <w:rsid w:val="000C6356"/>
    <w:rsid w:val="000C63C2"/>
    <w:rsid w:val="000C644C"/>
    <w:rsid w:val="000C6713"/>
    <w:rsid w:val="000C6A51"/>
    <w:rsid w:val="000C6A52"/>
    <w:rsid w:val="000C6D1B"/>
    <w:rsid w:val="000C6DF8"/>
    <w:rsid w:val="000C6EC1"/>
    <w:rsid w:val="000C7033"/>
    <w:rsid w:val="000C70EF"/>
    <w:rsid w:val="000C725B"/>
    <w:rsid w:val="000C72C0"/>
    <w:rsid w:val="000C7519"/>
    <w:rsid w:val="000C765B"/>
    <w:rsid w:val="000C77CC"/>
    <w:rsid w:val="000C7811"/>
    <w:rsid w:val="000C7AB3"/>
    <w:rsid w:val="000C7C00"/>
    <w:rsid w:val="000D0001"/>
    <w:rsid w:val="000D0E9D"/>
    <w:rsid w:val="000D10B7"/>
    <w:rsid w:val="000D1458"/>
    <w:rsid w:val="000D14FD"/>
    <w:rsid w:val="000D1781"/>
    <w:rsid w:val="000D1871"/>
    <w:rsid w:val="000D1B03"/>
    <w:rsid w:val="000D1BFC"/>
    <w:rsid w:val="000D1D5D"/>
    <w:rsid w:val="000D25BF"/>
    <w:rsid w:val="000D281A"/>
    <w:rsid w:val="000D2848"/>
    <w:rsid w:val="000D2B39"/>
    <w:rsid w:val="000D2DA6"/>
    <w:rsid w:val="000D326A"/>
    <w:rsid w:val="000D3805"/>
    <w:rsid w:val="000D3FD7"/>
    <w:rsid w:val="000D4019"/>
    <w:rsid w:val="000D49C0"/>
    <w:rsid w:val="000D49D3"/>
    <w:rsid w:val="000D4B12"/>
    <w:rsid w:val="000D4CF4"/>
    <w:rsid w:val="000D51FB"/>
    <w:rsid w:val="000D58B7"/>
    <w:rsid w:val="000D5C36"/>
    <w:rsid w:val="000D5CA6"/>
    <w:rsid w:val="000D5EB7"/>
    <w:rsid w:val="000D5EC1"/>
    <w:rsid w:val="000D655F"/>
    <w:rsid w:val="000D67E7"/>
    <w:rsid w:val="000D68E4"/>
    <w:rsid w:val="000D6AD7"/>
    <w:rsid w:val="000D707B"/>
    <w:rsid w:val="000D716D"/>
    <w:rsid w:val="000D7D01"/>
    <w:rsid w:val="000E0237"/>
    <w:rsid w:val="000E032D"/>
    <w:rsid w:val="000E0517"/>
    <w:rsid w:val="000E0640"/>
    <w:rsid w:val="000E0E39"/>
    <w:rsid w:val="000E0E40"/>
    <w:rsid w:val="000E112B"/>
    <w:rsid w:val="000E135D"/>
    <w:rsid w:val="000E1553"/>
    <w:rsid w:val="000E185A"/>
    <w:rsid w:val="000E190D"/>
    <w:rsid w:val="000E1F4A"/>
    <w:rsid w:val="000E1FEB"/>
    <w:rsid w:val="000E202A"/>
    <w:rsid w:val="000E20D2"/>
    <w:rsid w:val="000E2266"/>
    <w:rsid w:val="000E27B1"/>
    <w:rsid w:val="000E29AB"/>
    <w:rsid w:val="000E2B58"/>
    <w:rsid w:val="000E2B6E"/>
    <w:rsid w:val="000E303C"/>
    <w:rsid w:val="000E344C"/>
    <w:rsid w:val="000E35D3"/>
    <w:rsid w:val="000E3AE6"/>
    <w:rsid w:val="000E3E39"/>
    <w:rsid w:val="000E41F6"/>
    <w:rsid w:val="000E478D"/>
    <w:rsid w:val="000E49EA"/>
    <w:rsid w:val="000E4CAE"/>
    <w:rsid w:val="000E5249"/>
    <w:rsid w:val="000E5942"/>
    <w:rsid w:val="000E5944"/>
    <w:rsid w:val="000E5E2E"/>
    <w:rsid w:val="000E5FC1"/>
    <w:rsid w:val="000E69AC"/>
    <w:rsid w:val="000E6A8E"/>
    <w:rsid w:val="000E6D5E"/>
    <w:rsid w:val="000E6E1E"/>
    <w:rsid w:val="000E70F2"/>
    <w:rsid w:val="000E73AE"/>
    <w:rsid w:val="000E74BA"/>
    <w:rsid w:val="000E7730"/>
    <w:rsid w:val="000E7B63"/>
    <w:rsid w:val="000E7C76"/>
    <w:rsid w:val="000E7CEE"/>
    <w:rsid w:val="000E7D1E"/>
    <w:rsid w:val="000E7DFF"/>
    <w:rsid w:val="000E7EA5"/>
    <w:rsid w:val="000E7FCA"/>
    <w:rsid w:val="000F00BA"/>
    <w:rsid w:val="000F0315"/>
    <w:rsid w:val="000F057C"/>
    <w:rsid w:val="000F0C3D"/>
    <w:rsid w:val="000F1439"/>
    <w:rsid w:val="000F1DFE"/>
    <w:rsid w:val="000F1F57"/>
    <w:rsid w:val="000F228A"/>
    <w:rsid w:val="000F262D"/>
    <w:rsid w:val="000F270C"/>
    <w:rsid w:val="000F2764"/>
    <w:rsid w:val="000F286E"/>
    <w:rsid w:val="000F2A3A"/>
    <w:rsid w:val="000F2CBB"/>
    <w:rsid w:val="000F2D4E"/>
    <w:rsid w:val="000F2D50"/>
    <w:rsid w:val="000F2F54"/>
    <w:rsid w:val="000F316A"/>
    <w:rsid w:val="000F31B4"/>
    <w:rsid w:val="000F32CF"/>
    <w:rsid w:val="000F32F3"/>
    <w:rsid w:val="000F3770"/>
    <w:rsid w:val="000F37D0"/>
    <w:rsid w:val="000F3B8C"/>
    <w:rsid w:val="000F3C74"/>
    <w:rsid w:val="000F404A"/>
    <w:rsid w:val="000F40DD"/>
    <w:rsid w:val="000F4B98"/>
    <w:rsid w:val="000F4BB8"/>
    <w:rsid w:val="000F4C57"/>
    <w:rsid w:val="000F4FA9"/>
    <w:rsid w:val="000F5057"/>
    <w:rsid w:val="000F5218"/>
    <w:rsid w:val="000F53FB"/>
    <w:rsid w:val="000F54CB"/>
    <w:rsid w:val="000F5537"/>
    <w:rsid w:val="000F57D3"/>
    <w:rsid w:val="000F58D7"/>
    <w:rsid w:val="000F58D8"/>
    <w:rsid w:val="000F592D"/>
    <w:rsid w:val="000F5AE9"/>
    <w:rsid w:val="000F6692"/>
    <w:rsid w:val="000F7081"/>
    <w:rsid w:val="000F7127"/>
    <w:rsid w:val="000F712C"/>
    <w:rsid w:val="000F7895"/>
    <w:rsid w:val="000F7B54"/>
    <w:rsid w:val="001000B3"/>
    <w:rsid w:val="001001A6"/>
    <w:rsid w:val="0010054B"/>
    <w:rsid w:val="00100666"/>
    <w:rsid w:val="00100C15"/>
    <w:rsid w:val="00100C93"/>
    <w:rsid w:val="00100F8A"/>
    <w:rsid w:val="001010C1"/>
    <w:rsid w:val="00101132"/>
    <w:rsid w:val="0010124A"/>
    <w:rsid w:val="00101310"/>
    <w:rsid w:val="001016D3"/>
    <w:rsid w:val="00101E6B"/>
    <w:rsid w:val="001026D8"/>
    <w:rsid w:val="001026DA"/>
    <w:rsid w:val="0010281F"/>
    <w:rsid w:val="0010294A"/>
    <w:rsid w:val="00102CB1"/>
    <w:rsid w:val="00102F58"/>
    <w:rsid w:val="00103082"/>
    <w:rsid w:val="0010339F"/>
    <w:rsid w:val="001033C5"/>
    <w:rsid w:val="001033CD"/>
    <w:rsid w:val="001034CF"/>
    <w:rsid w:val="00103928"/>
    <w:rsid w:val="00103BE8"/>
    <w:rsid w:val="001043AA"/>
    <w:rsid w:val="0010452E"/>
    <w:rsid w:val="0010461D"/>
    <w:rsid w:val="00104BE0"/>
    <w:rsid w:val="00105AE2"/>
    <w:rsid w:val="001060C6"/>
    <w:rsid w:val="0010632A"/>
    <w:rsid w:val="00106494"/>
    <w:rsid w:val="001064E0"/>
    <w:rsid w:val="0010650C"/>
    <w:rsid w:val="00106728"/>
    <w:rsid w:val="00106B80"/>
    <w:rsid w:val="00106E19"/>
    <w:rsid w:val="00106E71"/>
    <w:rsid w:val="00106F14"/>
    <w:rsid w:val="001070C3"/>
    <w:rsid w:val="001074E5"/>
    <w:rsid w:val="0010772B"/>
    <w:rsid w:val="0010772D"/>
    <w:rsid w:val="00110047"/>
    <w:rsid w:val="0011032E"/>
    <w:rsid w:val="00110591"/>
    <w:rsid w:val="00110A8B"/>
    <w:rsid w:val="00110BFE"/>
    <w:rsid w:val="00110C5D"/>
    <w:rsid w:val="00110E53"/>
    <w:rsid w:val="00111933"/>
    <w:rsid w:val="00111A0A"/>
    <w:rsid w:val="00111ACF"/>
    <w:rsid w:val="00111BFA"/>
    <w:rsid w:val="00111C93"/>
    <w:rsid w:val="00111CB8"/>
    <w:rsid w:val="0011216E"/>
    <w:rsid w:val="00112304"/>
    <w:rsid w:val="00112457"/>
    <w:rsid w:val="001124D0"/>
    <w:rsid w:val="0011251E"/>
    <w:rsid w:val="00112CE4"/>
    <w:rsid w:val="0011348B"/>
    <w:rsid w:val="001134BD"/>
    <w:rsid w:val="00113CA5"/>
    <w:rsid w:val="0011418E"/>
    <w:rsid w:val="001142B1"/>
    <w:rsid w:val="00114738"/>
    <w:rsid w:val="0011479E"/>
    <w:rsid w:val="00114E0E"/>
    <w:rsid w:val="0011526D"/>
    <w:rsid w:val="001153FC"/>
    <w:rsid w:val="00115982"/>
    <w:rsid w:val="00115A61"/>
    <w:rsid w:val="00115B37"/>
    <w:rsid w:val="00115C85"/>
    <w:rsid w:val="00115D47"/>
    <w:rsid w:val="00115DA5"/>
    <w:rsid w:val="001161A8"/>
    <w:rsid w:val="00116311"/>
    <w:rsid w:val="0011663A"/>
    <w:rsid w:val="0011683D"/>
    <w:rsid w:val="001169A8"/>
    <w:rsid w:val="00116A0A"/>
    <w:rsid w:val="00116C53"/>
    <w:rsid w:val="00116D99"/>
    <w:rsid w:val="0011715F"/>
    <w:rsid w:val="00117215"/>
    <w:rsid w:val="001172A4"/>
    <w:rsid w:val="00117493"/>
    <w:rsid w:val="00117D09"/>
    <w:rsid w:val="001200BE"/>
    <w:rsid w:val="001201B7"/>
    <w:rsid w:val="00120373"/>
    <w:rsid w:val="0012082C"/>
    <w:rsid w:val="00120B45"/>
    <w:rsid w:val="00120C48"/>
    <w:rsid w:val="00120EC6"/>
    <w:rsid w:val="001212EA"/>
    <w:rsid w:val="0012135A"/>
    <w:rsid w:val="00121799"/>
    <w:rsid w:val="00121A0A"/>
    <w:rsid w:val="00121A9F"/>
    <w:rsid w:val="00121F21"/>
    <w:rsid w:val="001222FC"/>
    <w:rsid w:val="001226F7"/>
    <w:rsid w:val="00122924"/>
    <w:rsid w:val="00122B8B"/>
    <w:rsid w:val="00122DA7"/>
    <w:rsid w:val="00123902"/>
    <w:rsid w:val="00123AAA"/>
    <w:rsid w:val="00123D20"/>
    <w:rsid w:val="00123E75"/>
    <w:rsid w:val="00123EE1"/>
    <w:rsid w:val="00123F16"/>
    <w:rsid w:val="0012432E"/>
    <w:rsid w:val="00124455"/>
    <w:rsid w:val="0012492E"/>
    <w:rsid w:val="00124A51"/>
    <w:rsid w:val="00124CB5"/>
    <w:rsid w:val="00124D7B"/>
    <w:rsid w:val="00124E51"/>
    <w:rsid w:val="00124F62"/>
    <w:rsid w:val="001254EB"/>
    <w:rsid w:val="0012556A"/>
    <w:rsid w:val="00125674"/>
    <w:rsid w:val="00125774"/>
    <w:rsid w:val="00125783"/>
    <w:rsid w:val="00125DE6"/>
    <w:rsid w:val="00125E07"/>
    <w:rsid w:val="00126045"/>
    <w:rsid w:val="001261AC"/>
    <w:rsid w:val="00126621"/>
    <w:rsid w:val="00126782"/>
    <w:rsid w:val="0012690B"/>
    <w:rsid w:val="0012694E"/>
    <w:rsid w:val="00126B1D"/>
    <w:rsid w:val="00126B72"/>
    <w:rsid w:val="00126EC8"/>
    <w:rsid w:val="001272AF"/>
    <w:rsid w:val="0012748B"/>
    <w:rsid w:val="00127D3F"/>
    <w:rsid w:val="00127EEC"/>
    <w:rsid w:val="001301E9"/>
    <w:rsid w:val="00130689"/>
    <w:rsid w:val="001306C7"/>
    <w:rsid w:val="00130CC7"/>
    <w:rsid w:val="00131049"/>
    <w:rsid w:val="00131068"/>
    <w:rsid w:val="00131657"/>
    <w:rsid w:val="001316E9"/>
    <w:rsid w:val="00131823"/>
    <w:rsid w:val="001318E1"/>
    <w:rsid w:val="00131BB8"/>
    <w:rsid w:val="00131C2C"/>
    <w:rsid w:val="00131D72"/>
    <w:rsid w:val="00131D82"/>
    <w:rsid w:val="00131FBA"/>
    <w:rsid w:val="0013208E"/>
    <w:rsid w:val="001320AB"/>
    <w:rsid w:val="001326BA"/>
    <w:rsid w:val="00132731"/>
    <w:rsid w:val="00132A58"/>
    <w:rsid w:val="00132AB3"/>
    <w:rsid w:val="00132AD2"/>
    <w:rsid w:val="00132B22"/>
    <w:rsid w:val="00132C03"/>
    <w:rsid w:val="001333EE"/>
    <w:rsid w:val="00133B4C"/>
    <w:rsid w:val="00133C0C"/>
    <w:rsid w:val="00133CB4"/>
    <w:rsid w:val="00133D36"/>
    <w:rsid w:val="00133F46"/>
    <w:rsid w:val="001347DC"/>
    <w:rsid w:val="00134E5F"/>
    <w:rsid w:val="0013556B"/>
    <w:rsid w:val="001355ED"/>
    <w:rsid w:val="00135785"/>
    <w:rsid w:val="00135C50"/>
    <w:rsid w:val="00135D39"/>
    <w:rsid w:val="00136090"/>
    <w:rsid w:val="00136227"/>
    <w:rsid w:val="00136481"/>
    <w:rsid w:val="001366D7"/>
    <w:rsid w:val="001367A0"/>
    <w:rsid w:val="00136995"/>
    <w:rsid w:val="00136A0D"/>
    <w:rsid w:val="00136B65"/>
    <w:rsid w:val="00136F2B"/>
    <w:rsid w:val="001371A6"/>
    <w:rsid w:val="001372CB"/>
    <w:rsid w:val="00137645"/>
    <w:rsid w:val="00137D23"/>
    <w:rsid w:val="00137DEA"/>
    <w:rsid w:val="00140081"/>
    <w:rsid w:val="0014015A"/>
    <w:rsid w:val="001405AD"/>
    <w:rsid w:val="00140D03"/>
    <w:rsid w:val="00140E99"/>
    <w:rsid w:val="00140EBB"/>
    <w:rsid w:val="00141462"/>
    <w:rsid w:val="00141591"/>
    <w:rsid w:val="001415A7"/>
    <w:rsid w:val="00141821"/>
    <w:rsid w:val="00141F44"/>
    <w:rsid w:val="001420F6"/>
    <w:rsid w:val="001423D5"/>
    <w:rsid w:val="001423DE"/>
    <w:rsid w:val="00142558"/>
    <w:rsid w:val="001433C0"/>
    <w:rsid w:val="00143572"/>
    <w:rsid w:val="00143663"/>
    <w:rsid w:val="00143857"/>
    <w:rsid w:val="00143E91"/>
    <w:rsid w:val="00143F67"/>
    <w:rsid w:val="00143FB2"/>
    <w:rsid w:val="00144738"/>
    <w:rsid w:val="00144E28"/>
    <w:rsid w:val="0014502C"/>
    <w:rsid w:val="00145234"/>
    <w:rsid w:val="00145540"/>
    <w:rsid w:val="001456B0"/>
    <w:rsid w:val="00145715"/>
    <w:rsid w:val="001458E9"/>
    <w:rsid w:val="00145C47"/>
    <w:rsid w:val="00145E1A"/>
    <w:rsid w:val="00145E5B"/>
    <w:rsid w:val="00145EBC"/>
    <w:rsid w:val="0014627B"/>
    <w:rsid w:val="00146487"/>
    <w:rsid w:val="00146771"/>
    <w:rsid w:val="00146A6D"/>
    <w:rsid w:val="00146E96"/>
    <w:rsid w:val="001473C5"/>
    <w:rsid w:val="00147456"/>
    <w:rsid w:val="00147BD2"/>
    <w:rsid w:val="00147E9B"/>
    <w:rsid w:val="00150633"/>
    <w:rsid w:val="0015071D"/>
    <w:rsid w:val="00150B01"/>
    <w:rsid w:val="00150B6C"/>
    <w:rsid w:val="00151286"/>
    <w:rsid w:val="0015130A"/>
    <w:rsid w:val="00151687"/>
    <w:rsid w:val="001517F3"/>
    <w:rsid w:val="0015185F"/>
    <w:rsid w:val="0015212B"/>
    <w:rsid w:val="00152425"/>
    <w:rsid w:val="001527DD"/>
    <w:rsid w:val="00152959"/>
    <w:rsid w:val="00152B5A"/>
    <w:rsid w:val="00152BDF"/>
    <w:rsid w:val="00152C83"/>
    <w:rsid w:val="00152CE8"/>
    <w:rsid w:val="001533D6"/>
    <w:rsid w:val="0015368B"/>
    <w:rsid w:val="0015385A"/>
    <w:rsid w:val="00153B55"/>
    <w:rsid w:val="00153B7F"/>
    <w:rsid w:val="00153EDB"/>
    <w:rsid w:val="0015434A"/>
    <w:rsid w:val="001543F0"/>
    <w:rsid w:val="0015448E"/>
    <w:rsid w:val="00154583"/>
    <w:rsid w:val="001547AB"/>
    <w:rsid w:val="0015489E"/>
    <w:rsid w:val="001549FE"/>
    <w:rsid w:val="00154ACB"/>
    <w:rsid w:val="00154B18"/>
    <w:rsid w:val="00154BE7"/>
    <w:rsid w:val="00154E57"/>
    <w:rsid w:val="00154F03"/>
    <w:rsid w:val="0015509A"/>
    <w:rsid w:val="001552FE"/>
    <w:rsid w:val="001553AF"/>
    <w:rsid w:val="00155477"/>
    <w:rsid w:val="001554D3"/>
    <w:rsid w:val="0015565C"/>
    <w:rsid w:val="00155850"/>
    <w:rsid w:val="00155B5D"/>
    <w:rsid w:val="00155CAA"/>
    <w:rsid w:val="00155EA9"/>
    <w:rsid w:val="001560B1"/>
    <w:rsid w:val="00156752"/>
    <w:rsid w:val="00156D62"/>
    <w:rsid w:val="00156F8F"/>
    <w:rsid w:val="0015707A"/>
    <w:rsid w:val="00157130"/>
    <w:rsid w:val="00157333"/>
    <w:rsid w:val="00157417"/>
    <w:rsid w:val="001574BC"/>
    <w:rsid w:val="001576B1"/>
    <w:rsid w:val="00157A36"/>
    <w:rsid w:val="00157C5C"/>
    <w:rsid w:val="00157F42"/>
    <w:rsid w:val="001600B8"/>
    <w:rsid w:val="0016047B"/>
    <w:rsid w:val="001609B6"/>
    <w:rsid w:val="00160A4C"/>
    <w:rsid w:val="00160C21"/>
    <w:rsid w:val="00160E8E"/>
    <w:rsid w:val="001610B0"/>
    <w:rsid w:val="001610DA"/>
    <w:rsid w:val="001614C9"/>
    <w:rsid w:val="001615C8"/>
    <w:rsid w:val="0016163A"/>
    <w:rsid w:val="001617B5"/>
    <w:rsid w:val="00161CA2"/>
    <w:rsid w:val="00161CE3"/>
    <w:rsid w:val="00161EF9"/>
    <w:rsid w:val="00161FE5"/>
    <w:rsid w:val="00162913"/>
    <w:rsid w:val="00162924"/>
    <w:rsid w:val="00162C28"/>
    <w:rsid w:val="00162F2D"/>
    <w:rsid w:val="001630CC"/>
    <w:rsid w:val="00163670"/>
    <w:rsid w:val="001637EF"/>
    <w:rsid w:val="00163ABF"/>
    <w:rsid w:val="00163B58"/>
    <w:rsid w:val="00163C7D"/>
    <w:rsid w:val="00163EFF"/>
    <w:rsid w:val="00163F66"/>
    <w:rsid w:val="00164164"/>
    <w:rsid w:val="001641F2"/>
    <w:rsid w:val="0016445C"/>
    <w:rsid w:val="0016463E"/>
    <w:rsid w:val="001646CF"/>
    <w:rsid w:val="00164736"/>
    <w:rsid w:val="0016478E"/>
    <w:rsid w:val="00164973"/>
    <w:rsid w:val="00164A6D"/>
    <w:rsid w:val="00164F13"/>
    <w:rsid w:val="00165288"/>
    <w:rsid w:val="00165450"/>
    <w:rsid w:val="00165470"/>
    <w:rsid w:val="001657F2"/>
    <w:rsid w:val="00165B98"/>
    <w:rsid w:val="00165BEC"/>
    <w:rsid w:val="00165D42"/>
    <w:rsid w:val="00165D72"/>
    <w:rsid w:val="00165EC4"/>
    <w:rsid w:val="00166005"/>
    <w:rsid w:val="001661FB"/>
    <w:rsid w:val="001665D0"/>
    <w:rsid w:val="001669C9"/>
    <w:rsid w:val="00166CDC"/>
    <w:rsid w:val="001671A0"/>
    <w:rsid w:val="00167367"/>
    <w:rsid w:val="0016736D"/>
    <w:rsid w:val="0016767F"/>
    <w:rsid w:val="001676AE"/>
    <w:rsid w:val="00167816"/>
    <w:rsid w:val="0016785A"/>
    <w:rsid w:val="00167B00"/>
    <w:rsid w:val="00167F39"/>
    <w:rsid w:val="00167FAA"/>
    <w:rsid w:val="00167FE0"/>
    <w:rsid w:val="00170021"/>
    <w:rsid w:val="00170065"/>
    <w:rsid w:val="001701AD"/>
    <w:rsid w:val="00170562"/>
    <w:rsid w:val="00170C08"/>
    <w:rsid w:val="00170E70"/>
    <w:rsid w:val="00170ECC"/>
    <w:rsid w:val="00171134"/>
    <w:rsid w:val="00171217"/>
    <w:rsid w:val="0017129A"/>
    <w:rsid w:val="001712B4"/>
    <w:rsid w:val="00171426"/>
    <w:rsid w:val="00171748"/>
    <w:rsid w:val="00171982"/>
    <w:rsid w:val="00171AD3"/>
    <w:rsid w:val="00171BF7"/>
    <w:rsid w:val="00171DF5"/>
    <w:rsid w:val="001720A0"/>
    <w:rsid w:val="00172544"/>
    <w:rsid w:val="001725CA"/>
    <w:rsid w:val="00172682"/>
    <w:rsid w:val="0017287F"/>
    <w:rsid w:val="00172D9E"/>
    <w:rsid w:val="00172DAF"/>
    <w:rsid w:val="001733FE"/>
    <w:rsid w:val="00173565"/>
    <w:rsid w:val="00173810"/>
    <w:rsid w:val="00173B07"/>
    <w:rsid w:val="00173D89"/>
    <w:rsid w:val="001743F2"/>
    <w:rsid w:val="001744DF"/>
    <w:rsid w:val="00174B7C"/>
    <w:rsid w:val="00174C97"/>
    <w:rsid w:val="00174CE5"/>
    <w:rsid w:val="00175088"/>
    <w:rsid w:val="001750DB"/>
    <w:rsid w:val="001751FA"/>
    <w:rsid w:val="00175FF8"/>
    <w:rsid w:val="001760C0"/>
    <w:rsid w:val="001764B6"/>
    <w:rsid w:val="001765DD"/>
    <w:rsid w:val="001767D4"/>
    <w:rsid w:val="00177149"/>
    <w:rsid w:val="001773B2"/>
    <w:rsid w:val="0017746D"/>
    <w:rsid w:val="0017755F"/>
    <w:rsid w:val="001779FE"/>
    <w:rsid w:val="00177B28"/>
    <w:rsid w:val="00177BA5"/>
    <w:rsid w:val="00177C01"/>
    <w:rsid w:val="001801D6"/>
    <w:rsid w:val="00180468"/>
    <w:rsid w:val="001806A1"/>
    <w:rsid w:val="00180B53"/>
    <w:rsid w:val="00181300"/>
    <w:rsid w:val="00181BC3"/>
    <w:rsid w:val="00181C10"/>
    <w:rsid w:val="00181D27"/>
    <w:rsid w:val="00181D9C"/>
    <w:rsid w:val="00181E9D"/>
    <w:rsid w:val="001822F5"/>
    <w:rsid w:val="001823DD"/>
    <w:rsid w:val="001823FE"/>
    <w:rsid w:val="00182744"/>
    <w:rsid w:val="0018289F"/>
    <w:rsid w:val="00182A42"/>
    <w:rsid w:val="00182ABB"/>
    <w:rsid w:val="00182CA6"/>
    <w:rsid w:val="00182EDA"/>
    <w:rsid w:val="00182FB8"/>
    <w:rsid w:val="001837FF"/>
    <w:rsid w:val="00183F36"/>
    <w:rsid w:val="0018410C"/>
    <w:rsid w:val="00184404"/>
    <w:rsid w:val="001849D9"/>
    <w:rsid w:val="00184B0E"/>
    <w:rsid w:val="00185044"/>
    <w:rsid w:val="00185404"/>
    <w:rsid w:val="00185419"/>
    <w:rsid w:val="00185981"/>
    <w:rsid w:val="001869FA"/>
    <w:rsid w:val="00186A64"/>
    <w:rsid w:val="00186FBC"/>
    <w:rsid w:val="0018752F"/>
    <w:rsid w:val="00187768"/>
    <w:rsid w:val="00187996"/>
    <w:rsid w:val="00187EF0"/>
    <w:rsid w:val="001900E6"/>
    <w:rsid w:val="001900F3"/>
    <w:rsid w:val="00190196"/>
    <w:rsid w:val="001907AF"/>
    <w:rsid w:val="00190818"/>
    <w:rsid w:val="00190993"/>
    <w:rsid w:val="0019100C"/>
    <w:rsid w:val="0019160B"/>
    <w:rsid w:val="00191AAE"/>
    <w:rsid w:val="00191CF6"/>
    <w:rsid w:val="00191EC5"/>
    <w:rsid w:val="001920EF"/>
    <w:rsid w:val="00192979"/>
    <w:rsid w:val="00192CF4"/>
    <w:rsid w:val="00192DAA"/>
    <w:rsid w:val="0019353C"/>
    <w:rsid w:val="00193673"/>
    <w:rsid w:val="001937A7"/>
    <w:rsid w:val="00193833"/>
    <w:rsid w:val="00193838"/>
    <w:rsid w:val="00194AD8"/>
    <w:rsid w:val="00195222"/>
    <w:rsid w:val="00195452"/>
    <w:rsid w:val="001957DF"/>
    <w:rsid w:val="00195F9D"/>
    <w:rsid w:val="00196547"/>
    <w:rsid w:val="00196776"/>
    <w:rsid w:val="00196BEB"/>
    <w:rsid w:val="001970B0"/>
    <w:rsid w:val="001971D6"/>
    <w:rsid w:val="0019730A"/>
    <w:rsid w:val="00197443"/>
    <w:rsid w:val="001975D8"/>
    <w:rsid w:val="00197761"/>
    <w:rsid w:val="0019786D"/>
    <w:rsid w:val="001978FB"/>
    <w:rsid w:val="00197BF5"/>
    <w:rsid w:val="00197ECB"/>
    <w:rsid w:val="001A0040"/>
    <w:rsid w:val="001A0675"/>
    <w:rsid w:val="001A0736"/>
    <w:rsid w:val="001A0ADF"/>
    <w:rsid w:val="001A0B46"/>
    <w:rsid w:val="001A0B5F"/>
    <w:rsid w:val="001A178E"/>
    <w:rsid w:val="001A1CCD"/>
    <w:rsid w:val="001A1D48"/>
    <w:rsid w:val="001A2017"/>
    <w:rsid w:val="001A2043"/>
    <w:rsid w:val="001A2596"/>
    <w:rsid w:val="001A2D3B"/>
    <w:rsid w:val="001A3341"/>
    <w:rsid w:val="001A36CC"/>
    <w:rsid w:val="001A3F71"/>
    <w:rsid w:val="001A43FA"/>
    <w:rsid w:val="001A45E5"/>
    <w:rsid w:val="001A47C5"/>
    <w:rsid w:val="001A4D3E"/>
    <w:rsid w:val="001A4E77"/>
    <w:rsid w:val="001A512E"/>
    <w:rsid w:val="001A59FB"/>
    <w:rsid w:val="001A5A52"/>
    <w:rsid w:val="001A5D3A"/>
    <w:rsid w:val="001A5E9E"/>
    <w:rsid w:val="001A5F1B"/>
    <w:rsid w:val="001A61CC"/>
    <w:rsid w:val="001A6354"/>
    <w:rsid w:val="001A6366"/>
    <w:rsid w:val="001A637E"/>
    <w:rsid w:val="001A648B"/>
    <w:rsid w:val="001A6E8E"/>
    <w:rsid w:val="001A6EF1"/>
    <w:rsid w:val="001A7288"/>
    <w:rsid w:val="001A752D"/>
    <w:rsid w:val="001A776A"/>
    <w:rsid w:val="001A789D"/>
    <w:rsid w:val="001A7AE8"/>
    <w:rsid w:val="001B0218"/>
    <w:rsid w:val="001B03C9"/>
    <w:rsid w:val="001B0447"/>
    <w:rsid w:val="001B0502"/>
    <w:rsid w:val="001B06FB"/>
    <w:rsid w:val="001B0D16"/>
    <w:rsid w:val="001B0EC4"/>
    <w:rsid w:val="001B0F06"/>
    <w:rsid w:val="001B0F80"/>
    <w:rsid w:val="001B1082"/>
    <w:rsid w:val="001B13E4"/>
    <w:rsid w:val="001B13EF"/>
    <w:rsid w:val="001B144E"/>
    <w:rsid w:val="001B1F88"/>
    <w:rsid w:val="001B204E"/>
    <w:rsid w:val="001B2372"/>
    <w:rsid w:val="001B23F5"/>
    <w:rsid w:val="001B2959"/>
    <w:rsid w:val="001B2F1B"/>
    <w:rsid w:val="001B33C8"/>
    <w:rsid w:val="001B3443"/>
    <w:rsid w:val="001B3C0C"/>
    <w:rsid w:val="001B4269"/>
    <w:rsid w:val="001B4AFC"/>
    <w:rsid w:val="001B4C86"/>
    <w:rsid w:val="001B4D20"/>
    <w:rsid w:val="001B4F83"/>
    <w:rsid w:val="001B5707"/>
    <w:rsid w:val="001B64FF"/>
    <w:rsid w:val="001B69AA"/>
    <w:rsid w:val="001B7386"/>
    <w:rsid w:val="001B745D"/>
    <w:rsid w:val="001B751B"/>
    <w:rsid w:val="001B7A2E"/>
    <w:rsid w:val="001B7D52"/>
    <w:rsid w:val="001B7F84"/>
    <w:rsid w:val="001C010E"/>
    <w:rsid w:val="001C01DC"/>
    <w:rsid w:val="001C086C"/>
    <w:rsid w:val="001C0E43"/>
    <w:rsid w:val="001C0FFF"/>
    <w:rsid w:val="001C13D1"/>
    <w:rsid w:val="001C190A"/>
    <w:rsid w:val="001C190F"/>
    <w:rsid w:val="001C1D89"/>
    <w:rsid w:val="001C2089"/>
    <w:rsid w:val="001C21A7"/>
    <w:rsid w:val="001C26AF"/>
    <w:rsid w:val="001C27D9"/>
    <w:rsid w:val="001C297C"/>
    <w:rsid w:val="001C2A9B"/>
    <w:rsid w:val="001C2B10"/>
    <w:rsid w:val="001C2FF7"/>
    <w:rsid w:val="001C303D"/>
    <w:rsid w:val="001C31C7"/>
    <w:rsid w:val="001C329E"/>
    <w:rsid w:val="001C3B10"/>
    <w:rsid w:val="001C3DD6"/>
    <w:rsid w:val="001C3E13"/>
    <w:rsid w:val="001C40E1"/>
    <w:rsid w:val="001C4257"/>
    <w:rsid w:val="001C4299"/>
    <w:rsid w:val="001C4505"/>
    <w:rsid w:val="001C4594"/>
    <w:rsid w:val="001C4629"/>
    <w:rsid w:val="001C4874"/>
    <w:rsid w:val="001C4C2C"/>
    <w:rsid w:val="001C55C4"/>
    <w:rsid w:val="001C5653"/>
    <w:rsid w:val="001C58A4"/>
    <w:rsid w:val="001C5B77"/>
    <w:rsid w:val="001C5C0D"/>
    <w:rsid w:val="001C5C73"/>
    <w:rsid w:val="001C5C8D"/>
    <w:rsid w:val="001C5F94"/>
    <w:rsid w:val="001C61CB"/>
    <w:rsid w:val="001C6725"/>
    <w:rsid w:val="001C67F4"/>
    <w:rsid w:val="001C6947"/>
    <w:rsid w:val="001C6D92"/>
    <w:rsid w:val="001C6E66"/>
    <w:rsid w:val="001C7181"/>
    <w:rsid w:val="001C7592"/>
    <w:rsid w:val="001C7ABE"/>
    <w:rsid w:val="001C7B32"/>
    <w:rsid w:val="001C7C2D"/>
    <w:rsid w:val="001D03F9"/>
    <w:rsid w:val="001D05C4"/>
    <w:rsid w:val="001D07E8"/>
    <w:rsid w:val="001D0846"/>
    <w:rsid w:val="001D0AD2"/>
    <w:rsid w:val="001D0D8E"/>
    <w:rsid w:val="001D0E72"/>
    <w:rsid w:val="001D10C5"/>
    <w:rsid w:val="001D1100"/>
    <w:rsid w:val="001D1391"/>
    <w:rsid w:val="001D1488"/>
    <w:rsid w:val="001D170B"/>
    <w:rsid w:val="001D1909"/>
    <w:rsid w:val="001D1D71"/>
    <w:rsid w:val="001D218A"/>
    <w:rsid w:val="001D2209"/>
    <w:rsid w:val="001D23DD"/>
    <w:rsid w:val="001D2453"/>
    <w:rsid w:val="001D25D7"/>
    <w:rsid w:val="001D28C5"/>
    <w:rsid w:val="001D2C85"/>
    <w:rsid w:val="001D2F12"/>
    <w:rsid w:val="001D32A9"/>
    <w:rsid w:val="001D3478"/>
    <w:rsid w:val="001D360A"/>
    <w:rsid w:val="001D36E8"/>
    <w:rsid w:val="001D41B7"/>
    <w:rsid w:val="001D4233"/>
    <w:rsid w:val="001D4739"/>
    <w:rsid w:val="001D474C"/>
    <w:rsid w:val="001D4C03"/>
    <w:rsid w:val="001D50B2"/>
    <w:rsid w:val="001D53C2"/>
    <w:rsid w:val="001D5681"/>
    <w:rsid w:val="001D5734"/>
    <w:rsid w:val="001D57A2"/>
    <w:rsid w:val="001D5907"/>
    <w:rsid w:val="001D5977"/>
    <w:rsid w:val="001D59A9"/>
    <w:rsid w:val="001D5A43"/>
    <w:rsid w:val="001D60F9"/>
    <w:rsid w:val="001D6205"/>
    <w:rsid w:val="001D67A0"/>
    <w:rsid w:val="001D6838"/>
    <w:rsid w:val="001D686A"/>
    <w:rsid w:val="001D6A2D"/>
    <w:rsid w:val="001D6C22"/>
    <w:rsid w:val="001D6D41"/>
    <w:rsid w:val="001D6DE7"/>
    <w:rsid w:val="001D6E2B"/>
    <w:rsid w:val="001D71F4"/>
    <w:rsid w:val="001D761D"/>
    <w:rsid w:val="001D7645"/>
    <w:rsid w:val="001D787C"/>
    <w:rsid w:val="001D787E"/>
    <w:rsid w:val="001D790E"/>
    <w:rsid w:val="001D7B39"/>
    <w:rsid w:val="001D7BDB"/>
    <w:rsid w:val="001D7FDB"/>
    <w:rsid w:val="001E0325"/>
    <w:rsid w:val="001E059A"/>
    <w:rsid w:val="001E074E"/>
    <w:rsid w:val="001E07CF"/>
    <w:rsid w:val="001E07DD"/>
    <w:rsid w:val="001E0E7E"/>
    <w:rsid w:val="001E0FD5"/>
    <w:rsid w:val="001E140C"/>
    <w:rsid w:val="001E1651"/>
    <w:rsid w:val="001E16B2"/>
    <w:rsid w:val="001E170F"/>
    <w:rsid w:val="001E1C64"/>
    <w:rsid w:val="001E1CAC"/>
    <w:rsid w:val="001E1DE5"/>
    <w:rsid w:val="001E1E86"/>
    <w:rsid w:val="001E22D8"/>
    <w:rsid w:val="001E238E"/>
    <w:rsid w:val="001E247C"/>
    <w:rsid w:val="001E2483"/>
    <w:rsid w:val="001E2AC9"/>
    <w:rsid w:val="001E2B1E"/>
    <w:rsid w:val="001E2BD9"/>
    <w:rsid w:val="001E2CFF"/>
    <w:rsid w:val="001E2EC2"/>
    <w:rsid w:val="001E2F24"/>
    <w:rsid w:val="001E30D4"/>
    <w:rsid w:val="001E3120"/>
    <w:rsid w:val="001E3223"/>
    <w:rsid w:val="001E34DF"/>
    <w:rsid w:val="001E359D"/>
    <w:rsid w:val="001E36D5"/>
    <w:rsid w:val="001E38B1"/>
    <w:rsid w:val="001E3906"/>
    <w:rsid w:val="001E3A62"/>
    <w:rsid w:val="001E3BEB"/>
    <w:rsid w:val="001E3DF8"/>
    <w:rsid w:val="001E4056"/>
    <w:rsid w:val="001E437B"/>
    <w:rsid w:val="001E437F"/>
    <w:rsid w:val="001E457F"/>
    <w:rsid w:val="001E46B6"/>
    <w:rsid w:val="001E49C3"/>
    <w:rsid w:val="001E4B44"/>
    <w:rsid w:val="001E4EEB"/>
    <w:rsid w:val="001E4EF4"/>
    <w:rsid w:val="001E503F"/>
    <w:rsid w:val="001E5115"/>
    <w:rsid w:val="001E5198"/>
    <w:rsid w:val="001E52EB"/>
    <w:rsid w:val="001E54AB"/>
    <w:rsid w:val="001E5B82"/>
    <w:rsid w:val="001E5E55"/>
    <w:rsid w:val="001E61D2"/>
    <w:rsid w:val="001E641B"/>
    <w:rsid w:val="001E6457"/>
    <w:rsid w:val="001E6676"/>
    <w:rsid w:val="001E669F"/>
    <w:rsid w:val="001E6C19"/>
    <w:rsid w:val="001E6E11"/>
    <w:rsid w:val="001E6E5C"/>
    <w:rsid w:val="001E7040"/>
    <w:rsid w:val="001E71F9"/>
    <w:rsid w:val="001E72A9"/>
    <w:rsid w:val="001E740C"/>
    <w:rsid w:val="001E7647"/>
    <w:rsid w:val="001E780A"/>
    <w:rsid w:val="001E7A3E"/>
    <w:rsid w:val="001F0133"/>
    <w:rsid w:val="001F08B0"/>
    <w:rsid w:val="001F1235"/>
    <w:rsid w:val="001F1295"/>
    <w:rsid w:val="001F12AC"/>
    <w:rsid w:val="001F1495"/>
    <w:rsid w:val="001F197A"/>
    <w:rsid w:val="001F1AD3"/>
    <w:rsid w:val="001F1ADA"/>
    <w:rsid w:val="001F1CB3"/>
    <w:rsid w:val="001F1DC7"/>
    <w:rsid w:val="001F1DCF"/>
    <w:rsid w:val="001F1FD3"/>
    <w:rsid w:val="001F2013"/>
    <w:rsid w:val="001F2327"/>
    <w:rsid w:val="001F233C"/>
    <w:rsid w:val="001F2397"/>
    <w:rsid w:val="001F24E5"/>
    <w:rsid w:val="001F2C3C"/>
    <w:rsid w:val="001F30CC"/>
    <w:rsid w:val="001F333B"/>
    <w:rsid w:val="001F3764"/>
    <w:rsid w:val="001F383E"/>
    <w:rsid w:val="001F38B5"/>
    <w:rsid w:val="001F3A16"/>
    <w:rsid w:val="001F3D14"/>
    <w:rsid w:val="001F3D33"/>
    <w:rsid w:val="001F3E00"/>
    <w:rsid w:val="001F3E89"/>
    <w:rsid w:val="001F4018"/>
    <w:rsid w:val="001F4081"/>
    <w:rsid w:val="001F40E5"/>
    <w:rsid w:val="001F475F"/>
    <w:rsid w:val="001F4878"/>
    <w:rsid w:val="001F4E5B"/>
    <w:rsid w:val="001F4F14"/>
    <w:rsid w:val="001F4FC9"/>
    <w:rsid w:val="001F5654"/>
    <w:rsid w:val="001F57A2"/>
    <w:rsid w:val="001F5970"/>
    <w:rsid w:val="001F5B0B"/>
    <w:rsid w:val="001F5F5A"/>
    <w:rsid w:val="001F6352"/>
    <w:rsid w:val="001F6732"/>
    <w:rsid w:val="001F685E"/>
    <w:rsid w:val="001F6C22"/>
    <w:rsid w:val="001F6C41"/>
    <w:rsid w:val="001F6E33"/>
    <w:rsid w:val="001F7361"/>
    <w:rsid w:val="001F77DE"/>
    <w:rsid w:val="001F77F0"/>
    <w:rsid w:val="002003F7"/>
    <w:rsid w:val="002004D4"/>
    <w:rsid w:val="002006B0"/>
    <w:rsid w:val="002007A8"/>
    <w:rsid w:val="00200909"/>
    <w:rsid w:val="002011B0"/>
    <w:rsid w:val="00201B52"/>
    <w:rsid w:val="00201D23"/>
    <w:rsid w:val="00201D6F"/>
    <w:rsid w:val="00201DDE"/>
    <w:rsid w:val="00201ECF"/>
    <w:rsid w:val="00202396"/>
    <w:rsid w:val="0020247B"/>
    <w:rsid w:val="00202B34"/>
    <w:rsid w:val="00202EE7"/>
    <w:rsid w:val="002030A1"/>
    <w:rsid w:val="00203181"/>
    <w:rsid w:val="002032D4"/>
    <w:rsid w:val="002036E8"/>
    <w:rsid w:val="00203716"/>
    <w:rsid w:val="00203737"/>
    <w:rsid w:val="00203783"/>
    <w:rsid w:val="0020384F"/>
    <w:rsid w:val="0020385F"/>
    <w:rsid w:val="002038C2"/>
    <w:rsid w:val="00203E0F"/>
    <w:rsid w:val="00203E58"/>
    <w:rsid w:val="00203E60"/>
    <w:rsid w:val="00203E99"/>
    <w:rsid w:val="002040D2"/>
    <w:rsid w:val="00204299"/>
    <w:rsid w:val="0020462B"/>
    <w:rsid w:val="002047DE"/>
    <w:rsid w:val="00204E7E"/>
    <w:rsid w:val="00205369"/>
    <w:rsid w:val="00205834"/>
    <w:rsid w:val="00205C20"/>
    <w:rsid w:val="00206030"/>
    <w:rsid w:val="002062FC"/>
    <w:rsid w:val="002063C6"/>
    <w:rsid w:val="002064FA"/>
    <w:rsid w:val="00206506"/>
    <w:rsid w:val="00206810"/>
    <w:rsid w:val="002068A0"/>
    <w:rsid w:val="002068D6"/>
    <w:rsid w:val="00206A76"/>
    <w:rsid w:val="00207021"/>
    <w:rsid w:val="0020732F"/>
    <w:rsid w:val="00207705"/>
    <w:rsid w:val="00207825"/>
    <w:rsid w:val="00207A80"/>
    <w:rsid w:val="00207CF8"/>
    <w:rsid w:val="00207D00"/>
    <w:rsid w:val="00207E6F"/>
    <w:rsid w:val="002105C1"/>
    <w:rsid w:val="0021070A"/>
    <w:rsid w:val="002116FD"/>
    <w:rsid w:val="00211C88"/>
    <w:rsid w:val="00212041"/>
    <w:rsid w:val="00212084"/>
    <w:rsid w:val="00212207"/>
    <w:rsid w:val="00212282"/>
    <w:rsid w:val="00212448"/>
    <w:rsid w:val="00212969"/>
    <w:rsid w:val="00212C86"/>
    <w:rsid w:val="00212D0E"/>
    <w:rsid w:val="00213078"/>
    <w:rsid w:val="002134D3"/>
    <w:rsid w:val="00213576"/>
    <w:rsid w:val="002135AC"/>
    <w:rsid w:val="0021397C"/>
    <w:rsid w:val="002139E6"/>
    <w:rsid w:val="00213EF5"/>
    <w:rsid w:val="00213FAC"/>
    <w:rsid w:val="002140F0"/>
    <w:rsid w:val="00214173"/>
    <w:rsid w:val="00214395"/>
    <w:rsid w:val="0021456E"/>
    <w:rsid w:val="0021494F"/>
    <w:rsid w:val="00214AD5"/>
    <w:rsid w:val="00214E5C"/>
    <w:rsid w:val="00215F71"/>
    <w:rsid w:val="002162AC"/>
    <w:rsid w:val="0021635C"/>
    <w:rsid w:val="0021680A"/>
    <w:rsid w:val="00216BF5"/>
    <w:rsid w:val="0021735E"/>
    <w:rsid w:val="0021748F"/>
    <w:rsid w:val="00217729"/>
    <w:rsid w:val="00217A36"/>
    <w:rsid w:val="00217DD9"/>
    <w:rsid w:val="00217DFB"/>
    <w:rsid w:val="00217FC6"/>
    <w:rsid w:val="002202EF"/>
    <w:rsid w:val="002207F3"/>
    <w:rsid w:val="00220B54"/>
    <w:rsid w:val="002217CC"/>
    <w:rsid w:val="00221B19"/>
    <w:rsid w:val="00221CF5"/>
    <w:rsid w:val="00221E86"/>
    <w:rsid w:val="002221CB"/>
    <w:rsid w:val="002221E1"/>
    <w:rsid w:val="002226B2"/>
    <w:rsid w:val="002227E7"/>
    <w:rsid w:val="002228A2"/>
    <w:rsid w:val="00222969"/>
    <w:rsid w:val="00222B5D"/>
    <w:rsid w:val="00222C3E"/>
    <w:rsid w:val="00222F8E"/>
    <w:rsid w:val="00223113"/>
    <w:rsid w:val="0022347D"/>
    <w:rsid w:val="0022349B"/>
    <w:rsid w:val="0022358A"/>
    <w:rsid w:val="0022377D"/>
    <w:rsid w:val="00223B49"/>
    <w:rsid w:val="00223D5A"/>
    <w:rsid w:val="00224420"/>
    <w:rsid w:val="002248B3"/>
    <w:rsid w:val="0022498D"/>
    <w:rsid w:val="00224DD4"/>
    <w:rsid w:val="00225072"/>
    <w:rsid w:val="0022529F"/>
    <w:rsid w:val="002253B1"/>
    <w:rsid w:val="0022565C"/>
    <w:rsid w:val="00225A78"/>
    <w:rsid w:val="00225BF8"/>
    <w:rsid w:val="00225D81"/>
    <w:rsid w:val="002262DC"/>
    <w:rsid w:val="00226397"/>
    <w:rsid w:val="002265F1"/>
    <w:rsid w:val="0022683E"/>
    <w:rsid w:val="00226850"/>
    <w:rsid w:val="00226B11"/>
    <w:rsid w:val="00227083"/>
    <w:rsid w:val="002272BF"/>
    <w:rsid w:val="0022737A"/>
    <w:rsid w:val="00227804"/>
    <w:rsid w:val="002278A0"/>
    <w:rsid w:val="00227AB5"/>
    <w:rsid w:val="00230606"/>
    <w:rsid w:val="002309CC"/>
    <w:rsid w:val="00231049"/>
    <w:rsid w:val="00231249"/>
    <w:rsid w:val="0023126E"/>
    <w:rsid w:val="00231392"/>
    <w:rsid w:val="00231B6D"/>
    <w:rsid w:val="00231BA9"/>
    <w:rsid w:val="00231DBD"/>
    <w:rsid w:val="00231EE6"/>
    <w:rsid w:val="00231F0B"/>
    <w:rsid w:val="00231F54"/>
    <w:rsid w:val="0023209F"/>
    <w:rsid w:val="00232347"/>
    <w:rsid w:val="00232426"/>
    <w:rsid w:val="002324BB"/>
    <w:rsid w:val="00232790"/>
    <w:rsid w:val="00232BE3"/>
    <w:rsid w:val="00232CFF"/>
    <w:rsid w:val="00232D28"/>
    <w:rsid w:val="00232D40"/>
    <w:rsid w:val="00232F5F"/>
    <w:rsid w:val="0023301F"/>
    <w:rsid w:val="0023319C"/>
    <w:rsid w:val="002332B9"/>
    <w:rsid w:val="002332D6"/>
    <w:rsid w:val="002334A9"/>
    <w:rsid w:val="002335EA"/>
    <w:rsid w:val="0023364F"/>
    <w:rsid w:val="00233679"/>
    <w:rsid w:val="00233B9A"/>
    <w:rsid w:val="00233C01"/>
    <w:rsid w:val="00233CFF"/>
    <w:rsid w:val="00233F8A"/>
    <w:rsid w:val="0023413C"/>
    <w:rsid w:val="00234212"/>
    <w:rsid w:val="002346F0"/>
    <w:rsid w:val="00234BB3"/>
    <w:rsid w:val="00234CF9"/>
    <w:rsid w:val="00234E7F"/>
    <w:rsid w:val="002356DF"/>
    <w:rsid w:val="00235CD3"/>
    <w:rsid w:val="00235D2E"/>
    <w:rsid w:val="00235DF3"/>
    <w:rsid w:val="0023629D"/>
    <w:rsid w:val="0023645E"/>
    <w:rsid w:val="002368EC"/>
    <w:rsid w:val="00237119"/>
    <w:rsid w:val="002371BB"/>
    <w:rsid w:val="00237255"/>
    <w:rsid w:val="00237997"/>
    <w:rsid w:val="00237BB8"/>
    <w:rsid w:val="00240708"/>
    <w:rsid w:val="00240772"/>
    <w:rsid w:val="00240BF9"/>
    <w:rsid w:val="00240E4E"/>
    <w:rsid w:val="00240F0E"/>
    <w:rsid w:val="00241202"/>
    <w:rsid w:val="00241500"/>
    <w:rsid w:val="002417CA"/>
    <w:rsid w:val="00241905"/>
    <w:rsid w:val="00241DB4"/>
    <w:rsid w:val="00242449"/>
    <w:rsid w:val="00242493"/>
    <w:rsid w:val="002424AF"/>
    <w:rsid w:val="002426F3"/>
    <w:rsid w:val="00242E7D"/>
    <w:rsid w:val="00242FAA"/>
    <w:rsid w:val="00243495"/>
    <w:rsid w:val="0024355F"/>
    <w:rsid w:val="00243567"/>
    <w:rsid w:val="002437B0"/>
    <w:rsid w:val="002439DC"/>
    <w:rsid w:val="002441D2"/>
    <w:rsid w:val="00244DC8"/>
    <w:rsid w:val="0024500D"/>
    <w:rsid w:val="0024523C"/>
    <w:rsid w:val="002458BA"/>
    <w:rsid w:val="00245C11"/>
    <w:rsid w:val="00245CE9"/>
    <w:rsid w:val="00246182"/>
    <w:rsid w:val="00246206"/>
    <w:rsid w:val="0024636C"/>
    <w:rsid w:val="002469F5"/>
    <w:rsid w:val="00246C89"/>
    <w:rsid w:val="00246CFE"/>
    <w:rsid w:val="00246E1A"/>
    <w:rsid w:val="00246F15"/>
    <w:rsid w:val="00247370"/>
    <w:rsid w:val="00247781"/>
    <w:rsid w:val="00247925"/>
    <w:rsid w:val="00247D7D"/>
    <w:rsid w:val="00250086"/>
    <w:rsid w:val="00250106"/>
    <w:rsid w:val="0025046A"/>
    <w:rsid w:val="00250633"/>
    <w:rsid w:val="002506DB"/>
    <w:rsid w:val="00250967"/>
    <w:rsid w:val="00250A7C"/>
    <w:rsid w:val="00251006"/>
    <w:rsid w:val="00251384"/>
    <w:rsid w:val="002513AC"/>
    <w:rsid w:val="00251472"/>
    <w:rsid w:val="00251727"/>
    <w:rsid w:val="002517AE"/>
    <w:rsid w:val="00251AF5"/>
    <w:rsid w:val="00251C7E"/>
    <w:rsid w:val="00251E2B"/>
    <w:rsid w:val="00251F37"/>
    <w:rsid w:val="00251F6C"/>
    <w:rsid w:val="0025207E"/>
    <w:rsid w:val="0025219C"/>
    <w:rsid w:val="002524D5"/>
    <w:rsid w:val="00252621"/>
    <w:rsid w:val="00252A14"/>
    <w:rsid w:val="00252A36"/>
    <w:rsid w:val="00252B8A"/>
    <w:rsid w:val="00253A08"/>
    <w:rsid w:val="00253B1D"/>
    <w:rsid w:val="00253B4F"/>
    <w:rsid w:val="002540A6"/>
    <w:rsid w:val="002543BE"/>
    <w:rsid w:val="00254405"/>
    <w:rsid w:val="0025456A"/>
    <w:rsid w:val="0025465F"/>
    <w:rsid w:val="00254DCF"/>
    <w:rsid w:val="00255203"/>
    <w:rsid w:val="00255302"/>
    <w:rsid w:val="0025534B"/>
    <w:rsid w:val="002553CE"/>
    <w:rsid w:val="002555E4"/>
    <w:rsid w:val="00255700"/>
    <w:rsid w:val="00255BB7"/>
    <w:rsid w:val="00255CF7"/>
    <w:rsid w:val="00256002"/>
    <w:rsid w:val="002560CE"/>
    <w:rsid w:val="002560D7"/>
    <w:rsid w:val="002560FE"/>
    <w:rsid w:val="002564E3"/>
    <w:rsid w:val="002565F7"/>
    <w:rsid w:val="00256B7F"/>
    <w:rsid w:val="00256BFE"/>
    <w:rsid w:val="00256DFB"/>
    <w:rsid w:val="00257158"/>
    <w:rsid w:val="00257541"/>
    <w:rsid w:val="0025764D"/>
    <w:rsid w:val="002576C2"/>
    <w:rsid w:val="00257714"/>
    <w:rsid w:val="00257A39"/>
    <w:rsid w:val="00257AC4"/>
    <w:rsid w:val="00257BBE"/>
    <w:rsid w:val="00257C93"/>
    <w:rsid w:val="0026000D"/>
    <w:rsid w:val="0026014E"/>
    <w:rsid w:val="002601D0"/>
    <w:rsid w:val="00260424"/>
    <w:rsid w:val="00260575"/>
    <w:rsid w:val="002608EA"/>
    <w:rsid w:val="002614F9"/>
    <w:rsid w:val="00261578"/>
    <w:rsid w:val="00261609"/>
    <w:rsid w:val="0026182F"/>
    <w:rsid w:val="002618E8"/>
    <w:rsid w:val="002619A0"/>
    <w:rsid w:val="00261CAA"/>
    <w:rsid w:val="00261D97"/>
    <w:rsid w:val="00261EEF"/>
    <w:rsid w:val="00261F6B"/>
    <w:rsid w:val="00262000"/>
    <w:rsid w:val="00262545"/>
    <w:rsid w:val="00262A1A"/>
    <w:rsid w:val="00262A87"/>
    <w:rsid w:val="00262EDB"/>
    <w:rsid w:val="002632E5"/>
    <w:rsid w:val="00263772"/>
    <w:rsid w:val="00263E84"/>
    <w:rsid w:val="00263FE3"/>
    <w:rsid w:val="0026443B"/>
    <w:rsid w:val="002647B0"/>
    <w:rsid w:val="00264894"/>
    <w:rsid w:val="00264D26"/>
    <w:rsid w:val="002651E6"/>
    <w:rsid w:val="002655B0"/>
    <w:rsid w:val="0026576D"/>
    <w:rsid w:val="002657AE"/>
    <w:rsid w:val="00265A19"/>
    <w:rsid w:val="00266606"/>
    <w:rsid w:val="002666B1"/>
    <w:rsid w:val="002667CF"/>
    <w:rsid w:val="00266AFF"/>
    <w:rsid w:val="00266D65"/>
    <w:rsid w:val="00267011"/>
    <w:rsid w:val="0026716D"/>
    <w:rsid w:val="0026726E"/>
    <w:rsid w:val="002674CB"/>
    <w:rsid w:val="002675EC"/>
    <w:rsid w:val="00267642"/>
    <w:rsid w:val="0026776A"/>
    <w:rsid w:val="00267AEA"/>
    <w:rsid w:val="00267C73"/>
    <w:rsid w:val="00267E33"/>
    <w:rsid w:val="00267E4A"/>
    <w:rsid w:val="00267F07"/>
    <w:rsid w:val="002700E6"/>
    <w:rsid w:val="00270209"/>
    <w:rsid w:val="002708CB"/>
    <w:rsid w:val="00270A8A"/>
    <w:rsid w:val="00270C0E"/>
    <w:rsid w:val="002717DD"/>
    <w:rsid w:val="002718EC"/>
    <w:rsid w:val="00271F98"/>
    <w:rsid w:val="0027212C"/>
    <w:rsid w:val="002724FA"/>
    <w:rsid w:val="0027263E"/>
    <w:rsid w:val="0027294B"/>
    <w:rsid w:val="002729FA"/>
    <w:rsid w:val="00272F9D"/>
    <w:rsid w:val="00273082"/>
    <w:rsid w:val="00273DA7"/>
    <w:rsid w:val="00273EB4"/>
    <w:rsid w:val="00273F41"/>
    <w:rsid w:val="00274682"/>
    <w:rsid w:val="002749A0"/>
    <w:rsid w:val="00274B10"/>
    <w:rsid w:val="00274D56"/>
    <w:rsid w:val="00275158"/>
    <w:rsid w:val="00275538"/>
    <w:rsid w:val="002759C8"/>
    <w:rsid w:val="00275A1F"/>
    <w:rsid w:val="00275C5A"/>
    <w:rsid w:val="002762CC"/>
    <w:rsid w:val="002766E0"/>
    <w:rsid w:val="00276C65"/>
    <w:rsid w:val="00277439"/>
    <w:rsid w:val="00277890"/>
    <w:rsid w:val="00277A1A"/>
    <w:rsid w:val="002800E3"/>
    <w:rsid w:val="00280440"/>
    <w:rsid w:val="00281014"/>
    <w:rsid w:val="00281A35"/>
    <w:rsid w:val="00281AA9"/>
    <w:rsid w:val="00281D51"/>
    <w:rsid w:val="00282508"/>
    <w:rsid w:val="002828E9"/>
    <w:rsid w:val="00282B09"/>
    <w:rsid w:val="00282C22"/>
    <w:rsid w:val="00282E97"/>
    <w:rsid w:val="002831A5"/>
    <w:rsid w:val="002835D1"/>
    <w:rsid w:val="0028398E"/>
    <w:rsid w:val="00283BBB"/>
    <w:rsid w:val="00283C04"/>
    <w:rsid w:val="00283C1B"/>
    <w:rsid w:val="00284ABC"/>
    <w:rsid w:val="00284D2A"/>
    <w:rsid w:val="00284E01"/>
    <w:rsid w:val="00285031"/>
    <w:rsid w:val="00285217"/>
    <w:rsid w:val="0028560B"/>
    <w:rsid w:val="00285742"/>
    <w:rsid w:val="00285B61"/>
    <w:rsid w:val="00285BCE"/>
    <w:rsid w:val="00285BD4"/>
    <w:rsid w:val="00285EF4"/>
    <w:rsid w:val="002865AF"/>
    <w:rsid w:val="0028665D"/>
    <w:rsid w:val="0028672A"/>
    <w:rsid w:val="00286BE9"/>
    <w:rsid w:val="00286C45"/>
    <w:rsid w:val="00286EF6"/>
    <w:rsid w:val="0028701C"/>
    <w:rsid w:val="0028709C"/>
    <w:rsid w:val="00287362"/>
    <w:rsid w:val="002874C7"/>
    <w:rsid w:val="00287873"/>
    <w:rsid w:val="00287F75"/>
    <w:rsid w:val="0029006B"/>
    <w:rsid w:val="002903C5"/>
    <w:rsid w:val="0029090B"/>
    <w:rsid w:val="00290BA4"/>
    <w:rsid w:val="00290E77"/>
    <w:rsid w:val="0029139F"/>
    <w:rsid w:val="00291524"/>
    <w:rsid w:val="00291B58"/>
    <w:rsid w:val="00291DF0"/>
    <w:rsid w:val="00292285"/>
    <w:rsid w:val="002923D9"/>
    <w:rsid w:val="00292454"/>
    <w:rsid w:val="002925F7"/>
    <w:rsid w:val="00292D09"/>
    <w:rsid w:val="00292D0A"/>
    <w:rsid w:val="00292F91"/>
    <w:rsid w:val="00293343"/>
    <w:rsid w:val="0029374F"/>
    <w:rsid w:val="00293B21"/>
    <w:rsid w:val="00293FCE"/>
    <w:rsid w:val="002940BA"/>
    <w:rsid w:val="0029429D"/>
    <w:rsid w:val="002944AA"/>
    <w:rsid w:val="002949EE"/>
    <w:rsid w:val="00294D9F"/>
    <w:rsid w:val="00294DE3"/>
    <w:rsid w:val="0029516C"/>
    <w:rsid w:val="0029544F"/>
    <w:rsid w:val="00295917"/>
    <w:rsid w:val="00295B33"/>
    <w:rsid w:val="00295E18"/>
    <w:rsid w:val="00296A20"/>
    <w:rsid w:val="00297766"/>
    <w:rsid w:val="00297995"/>
    <w:rsid w:val="00297B68"/>
    <w:rsid w:val="00297C27"/>
    <w:rsid w:val="002A00B3"/>
    <w:rsid w:val="002A00F0"/>
    <w:rsid w:val="002A02BF"/>
    <w:rsid w:val="002A046C"/>
    <w:rsid w:val="002A06A2"/>
    <w:rsid w:val="002A117F"/>
    <w:rsid w:val="002A14AB"/>
    <w:rsid w:val="002A14F9"/>
    <w:rsid w:val="002A1769"/>
    <w:rsid w:val="002A187F"/>
    <w:rsid w:val="002A1C36"/>
    <w:rsid w:val="002A1C85"/>
    <w:rsid w:val="002A2617"/>
    <w:rsid w:val="002A26FB"/>
    <w:rsid w:val="002A2A05"/>
    <w:rsid w:val="002A2ACD"/>
    <w:rsid w:val="002A2ADE"/>
    <w:rsid w:val="002A2D4D"/>
    <w:rsid w:val="002A2D5E"/>
    <w:rsid w:val="002A2F50"/>
    <w:rsid w:val="002A3053"/>
    <w:rsid w:val="002A387B"/>
    <w:rsid w:val="002A3AAB"/>
    <w:rsid w:val="002A3BC5"/>
    <w:rsid w:val="002A411E"/>
    <w:rsid w:val="002A4234"/>
    <w:rsid w:val="002A4359"/>
    <w:rsid w:val="002A43AD"/>
    <w:rsid w:val="002A46EE"/>
    <w:rsid w:val="002A4C8F"/>
    <w:rsid w:val="002A5138"/>
    <w:rsid w:val="002A5AFB"/>
    <w:rsid w:val="002A5EFE"/>
    <w:rsid w:val="002A5FD4"/>
    <w:rsid w:val="002A5FFE"/>
    <w:rsid w:val="002A6416"/>
    <w:rsid w:val="002A6773"/>
    <w:rsid w:val="002A6B09"/>
    <w:rsid w:val="002A70AF"/>
    <w:rsid w:val="002A7943"/>
    <w:rsid w:val="002A7C83"/>
    <w:rsid w:val="002A7D11"/>
    <w:rsid w:val="002A7D80"/>
    <w:rsid w:val="002B0056"/>
    <w:rsid w:val="002B00C0"/>
    <w:rsid w:val="002B00C9"/>
    <w:rsid w:val="002B00F3"/>
    <w:rsid w:val="002B02C9"/>
    <w:rsid w:val="002B034C"/>
    <w:rsid w:val="002B037E"/>
    <w:rsid w:val="002B05A1"/>
    <w:rsid w:val="002B09A4"/>
    <w:rsid w:val="002B0A5F"/>
    <w:rsid w:val="002B0CB6"/>
    <w:rsid w:val="002B117F"/>
    <w:rsid w:val="002B1471"/>
    <w:rsid w:val="002B1BB1"/>
    <w:rsid w:val="002B1C1F"/>
    <w:rsid w:val="002B2073"/>
    <w:rsid w:val="002B22CE"/>
    <w:rsid w:val="002B244F"/>
    <w:rsid w:val="002B265F"/>
    <w:rsid w:val="002B26D1"/>
    <w:rsid w:val="002B2740"/>
    <w:rsid w:val="002B281F"/>
    <w:rsid w:val="002B3055"/>
    <w:rsid w:val="002B3082"/>
    <w:rsid w:val="002B31CB"/>
    <w:rsid w:val="002B3D9E"/>
    <w:rsid w:val="002B4185"/>
    <w:rsid w:val="002B432F"/>
    <w:rsid w:val="002B457F"/>
    <w:rsid w:val="002B48C7"/>
    <w:rsid w:val="002B5134"/>
    <w:rsid w:val="002B5345"/>
    <w:rsid w:val="002B54A8"/>
    <w:rsid w:val="002B553C"/>
    <w:rsid w:val="002B56E0"/>
    <w:rsid w:val="002B56F2"/>
    <w:rsid w:val="002B5913"/>
    <w:rsid w:val="002B5B11"/>
    <w:rsid w:val="002B5B9B"/>
    <w:rsid w:val="002B62B3"/>
    <w:rsid w:val="002B6754"/>
    <w:rsid w:val="002B69E1"/>
    <w:rsid w:val="002B6BA1"/>
    <w:rsid w:val="002B6CCE"/>
    <w:rsid w:val="002B75DB"/>
    <w:rsid w:val="002B7611"/>
    <w:rsid w:val="002B786B"/>
    <w:rsid w:val="002B7998"/>
    <w:rsid w:val="002B79F4"/>
    <w:rsid w:val="002C02C0"/>
    <w:rsid w:val="002C0903"/>
    <w:rsid w:val="002C0AF8"/>
    <w:rsid w:val="002C0D85"/>
    <w:rsid w:val="002C0F7F"/>
    <w:rsid w:val="002C11B4"/>
    <w:rsid w:val="002C1266"/>
    <w:rsid w:val="002C1972"/>
    <w:rsid w:val="002C1A4C"/>
    <w:rsid w:val="002C1D31"/>
    <w:rsid w:val="002C1D4E"/>
    <w:rsid w:val="002C2008"/>
    <w:rsid w:val="002C2255"/>
    <w:rsid w:val="002C22D3"/>
    <w:rsid w:val="002C2510"/>
    <w:rsid w:val="002C2706"/>
    <w:rsid w:val="002C2775"/>
    <w:rsid w:val="002C27C1"/>
    <w:rsid w:val="002C29D2"/>
    <w:rsid w:val="002C2DE6"/>
    <w:rsid w:val="002C302C"/>
    <w:rsid w:val="002C349E"/>
    <w:rsid w:val="002C36E3"/>
    <w:rsid w:val="002C3E38"/>
    <w:rsid w:val="002C3F90"/>
    <w:rsid w:val="002C40CE"/>
    <w:rsid w:val="002C41F0"/>
    <w:rsid w:val="002C47BB"/>
    <w:rsid w:val="002C4867"/>
    <w:rsid w:val="002C5099"/>
    <w:rsid w:val="002C51E1"/>
    <w:rsid w:val="002C5354"/>
    <w:rsid w:val="002C5889"/>
    <w:rsid w:val="002C5DE8"/>
    <w:rsid w:val="002C5E52"/>
    <w:rsid w:val="002C610E"/>
    <w:rsid w:val="002C6227"/>
    <w:rsid w:val="002C656D"/>
    <w:rsid w:val="002C6693"/>
    <w:rsid w:val="002C66D3"/>
    <w:rsid w:val="002C68ED"/>
    <w:rsid w:val="002C6E02"/>
    <w:rsid w:val="002C706B"/>
    <w:rsid w:val="002C7146"/>
    <w:rsid w:val="002C71CE"/>
    <w:rsid w:val="002C7325"/>
    <w:rsid w:val="002C73E9"/>
    <w:rsid w:val="002D011B"/>
    <w:rsid w:val="002D01A4"/>
    <w:rsid w:val="002D01D0"/>
    <w:rsid w:val="002D02B2"/>
    <w:rsid w:val="002D03A9"/>
    <w:rsid w:val="002D08F8"/>
    <w:rsid w:val="002D0B33"/>
    <w:rsid w:val="002D0D90"/>
    <w:rsid w:val="002D10D9"/>
    <w:rsid w:val="002D1198"/>
    <w:rsid w:val="002D127D"/>
    <w:rsid w:val="002D15A8"/>
    <w:rsid w:val="002D17A8"/>
    <w:rsid w:val="002D1B28"/>
    <w:rsid w:val="002D1B63"/>
    <w:rsid w:val="002D327C"/>
    <w:rsid w:val="002D35EE"/>
    <w:rsid w:val="002D3852"/>
    <w:rsid w:val="002D3C73"/>
    <w:rsid w:val="002D3E47"/>
    <w:rsid w:val="002D45EA"/>
    <w:rsid w:val="002D4694"/>
    <w:rsid w:val="002D4707"/>
    <w:rsid w:val="002D4718"/>
    <w:rsid w:val="002D48AC"/>
    <w:rsid w:val="002D4953"/>
    <w:rsid w:val="002D4B47"/>
    <w:rsid w:val="002D4BE2"/>
    <w:rsid w:val="002D4CB3"/>
    <w:rsid w:val="002D50CB"/>
    <w:rsid w:val="002D52EF"/>
    <w:rsid w:val="002D5483"/>
    <w:rsid w:val="002D577C"/>
    <w:rsid w:val="002D57BE"/>
    <w:rsid w:val="002D58DA"/>
    <w:rsid w:val="002D598F"/>
    <w:rsid w:val="002D59E2"/>
    <w:rsid w:val="002D5AD5"/>
    <w:rsid w:val="002D5B33"/>
    <w:rsid w:val="002D5E61"/>
    <w:rsid w:val="002D627B"/>
    <w:rsid w:val="002D64F1"/>
    <w:rsid w:val="002D6573"/>
    <w:rsid w:val="002D6A42"/>
    <w:rsid w:val="002D6B68"/>
    <w:rsid w:val="002D6E69"/>
    <w:rsid w:val="002D72A4"/>
    <w:rsid w:val="002D74B1"/>
    <w:rsid w:val="002D74FD"/>
    <w:rsid w:val="002D7832"/>
    <w:rsid w:val="002D7910"/>
    <w:rsid w:val="002D7ABF"/>
    <w:rsid w:val="002D7DC6"/>
    <w:rsid w:val="002D7F32"/>
    <w:rsid w:val="002E058E"/>
    <w:rsid w:val="002E0D23"/>
    <w:rsid w:val="002E0E92"/>
    <w:rsid w:val="002E0F47"/>
    <w:rsid w:val="002E0F7A"/>
    <w:rsid w:val="002E1071"/>
    <w:rsid w:val="002E11F8"/>
    <w:rsid w:val="002E15B9"/>
    <w:rsid w:val="002E1782"/>
    <w:rsid w:val="002E1CFF"/>
    <w:rsid w:val="002E1D07"/>
    <w:rsid w:val="002E1ED6"/>
    <w:rsid w:val="002E2158"/>
    <w:rsid w:val="002E3335"/>
    <w:rsid w:val="002E3835"/>
    <w:rsid w:val="002E3BF1"/>
    <w:rsid w:val="002E3DAC"/>
    <w:rsid w:val="002E3E83"/>
    <w:rsid w:val="002E4210"/>
    <w:rsid w:val="002E44E1"/>
    <w:rsid w:val="002E45BC"/>
    <w:rsid w:val="002E48BB"/>
    <w:rsid w:val="002E4976"/>
    <w:rsid w:val="002E4C32"/>
    <w:rsid w:val="002E4F02"/>
    <w:rsid w:val="002E4F8C"/>
    <w:rsid w:val="002E53D6"/>
    <w:rsid w:val="002E55B8"/>
    <w:rsid w:val="002E5684"/>
    <w:rsid w:val="002E5C3A"/>
    <w:rsid w:val="002E5FF2"/>
    <w:rsid w:val="002E604B"/>
    <w:rsid w:val="002E60D0"/>
    <w:rsid w:val="002E6312"/>
    <w:rsid w:val="002E6509"/>
    <w:rsid w:val="002E65B1"/>
    <w:rsid w:val="002E6601"/>
    <w:rsid w:val="002E689E"/>
    <w:rsid w:val="002E68ED"/>
    <w:rsid w:val="002E6D3A"/>
    <w:rsid w:val="002E6D6C"/>
    <w:rsid w:val="002E6F3C"/>
    <w:rsid w:val="002E7343"/>
    <w:rsid w:val="002E751E"/>
    <w:rsid w:val="002E76AB"/>
    <w:rsid w:val="002E7722"/>
    <w:rsid w:val="002E77DB"/>
    <w:rsid w:val="002E7C93"/>
    <w:rsid w:val="002E7DA9"/>
    <w:rsid w:val="002F0303"/>
    <w:rsid w:val="002F05B4"/>
    <w:rsid w:val="002F06E5"/>
    <w:rsid w:val="002F06E9"/>
    <w:rsid w:val="002F0774"/>
    <w:rsid w:val="002F07BA"/>
    <w:rsid w:val="002F09D2"/>
    <w:rsid w:val="002F09F4"/>
    <w:rsid w:val="002F0B53"/>
    <w:rsid w:val="002F0DA9"/>
    <w:rsid w:val="002F1014"/>
    <w:rsid w:val="002F1228"/>
    <w:rsid w:val="002F164C"/>
    <w:rsid w:val="002F17FE"/>
    <w:rsid w:val="002F1824"/>
    <w:rsid w:val="002F189D"/>
    <w:rsid w:val="002F1B0D"/>
    <w:rsid w:val="002F1B92"/>
    <w:rsid w:val="002F1E3B"/>
    <w:rsid w:val="002F1E4A"/>
    <w:rsid w:val="002F28FB"/>
    <w:rsid w:val="002F29ED"/>
    <w:rsid w:val="002F2B1F"/>
    <w:rsid w:val="002F2C55"/>
    <w:rsid w:val="002F2F00"/>
    <w:rsid w:val="002F3073"/>
    <w:rsid w:val="002F32F2"/>
    <w:rsid w:val="002F3C3A"/>
    <w:rsid w:val="002F3C7A"/>
    <w:rsid w:val="002F3C84"/>
    <w:rsid w:val="002F3E80"/>
    <w:rsid w:val="002F46B4"/>
    <w:rsid w:val="002F47E5"/>
    <w:rsid w:val="002F4F0D"/>
    <w:rsid w:val="002F54CB"/>
    <w:rsid w:val="002F580E"/>
    <w:rsid w:val="002F583F"/>
    <w:rsid w:val="002F5C7B"/>
    <w:rsid w:val="002F5E8F"/>
    <w:rsid w:val="002F62DF"/>
    <w:rsid w:val="002F6423"/>
    <w:rsid w:val="002F643C"/>
    <w:rsid w:val="002F6479"/>
    <w:rsid w:val="002F66A6"/>
    <w:rsid w:val="002F66B6"/>
    <w:rsid w:val="002F683A"/>
    <w:rsid w:val="002F6A06"/>
    <w:rsid w:val="002F6A1D"/>
    <w:rsid w:val="002F6A36"/>
    <w:rsid w:val="002F71C0"/>
    <w:rsid w:val="002F74F1"/>
    <w:rsid w:val="002F776E"/>
    <w:rsid w:val="002F7B2F"/>
    <w:rsid w:val="0030015E"/>
    <w:rsid w:val="0030020D"/>
    <w:rsid w:val="00300860"/>
    <w:rsid w:val="00300CC3"/>
    <w:rsid w:val="00301017"/>
    <w:rsid w:val="0030155F"/>
    <w:rsid w:val="003017D3"/>
    <w:rsid w:val="00301933"/>
    <w:rsid w:val="003022FA"/>
    <w:rsid w:val="0030250F"/>
    <w:rsid w:val="0030346F"/>
    <w:rsid w:val="0030361B"/>
    <w:rsid w:val="0030364A"/>
    <w:rsid w:val="00303779"/>
    <w:rsid w:val="00303798"/>
    <w:rsid w:val="0030391C"/>
    <w:rsid w:val="003039C8"/>
    <w:rsid w:val="003039D9"/>
    <w:rsid w:val="00304160"/>
    <w:rsid w:val="003043C1"/>
    <w:rsid w:val="00304BEF"/>
    <w:rsid w:val="00304D41"/>
    <w:rsid w:val="00304E62"/>
    <w:rsid w:val="00304E7C"/>
    <w:rsid w:val="003052E8"/>
    <w:rsid w:val="00305341"/>
    <w:rsid w:val="0030587B"/>
    <w:rsid w:val="00305BA2"/>
    <w:rsid w:val="00305BEF"/>
    <w:rsid w:val="00305C40"/>
    <w:rsid w:val="00305C4A"/>
    <w:rsid w:val="00306064"/>
    <w:rsid w:val="003061BF"/>
    <w:rsid w:val="0030633A"/>
    <w:rsid w:val="003066B7"/>
    <w:rsid w:val="00306A17"/>
    <w:rsid w:val="00306A3B"/>
    <w:rsid w:val="00306B9A"/>
    <w:rsid w:val="00306BC5"/>
    <w:rsid w:val="00306C5B"/>
    <w:rsid w:val="00306D42"/>
    <w:rsid w:val="00306D75"/>
    <w:rsid w:val="00306D98"/>
    <w:rsid w:val="003070D3"/>
    <w:rsid w:val="00307401"/>
    <w:rsid w:val="00307585"/>
    <w:rsid w:val="003076F4"/>
    <w:rsid w:val="003076FE"/>
    <w:rsid w:val="0030786C"/>
    <w:rsid w:val="00307E85"/>
    <w:rsid w:val="00310017"/>
    <w:rsid w:val="00310173"/>
    <w:rsid w:val="0031031A"/>
    <w:rsid w:val="003103B7"/>
    <w:rsid w:val="0031050D"/>
    <w:rsid w:val="00310981"/>
    <w:rsid w:val="00310F85"/>
    <w:rsid w:val="003110DC"/>
    <w:rsid w:val="00311120"/>
    <w:rsid w:val="003113F0"/>
    <w:rsid w:val="003117D7"/>
    <w:rsid w:val="00311A15"/>
    <w:rsid w:val="00311A7A"/>
    <w:rsid w:val="00311D9B"/>
    <w:rsid w:val="00311DE5"/>
    <w:rsid w:val="00311E0D"/>
    <w:rsid w:val="00311E62"/>
    <w:rsid w:val="00311F82"/>
    <w:rsid w:val="00312010"/>
    <w:rsid w:val="003121D4"/>
    <w:rsid w:val="003123F3"/>
    <w:rsid w:val="003124D9"/>
    <w:rsid w:val="00312594"/>
    <w:rsid w:val="00312AC3"/>
    <w:rsid w:val="00312E00"/>
    <w:rsid w:val="00312E93"/>
    <w:rsid w:val="003132BA"/>
    <w:rsid w:val="00313736"/>
    <w:rsid w:val="00313782"/>
    <w:rsid w:val="00313803"/>
    <w:rsid w:val="003138F5"/>
    <w:rsid w:val="003139FB"/>
    <w:rsid w:val="00313F0E"/>
    <w:rsid w:val="0031407D"/>
    <w:rsid w:val="0031461C"/>
    <w:rsid w:val="003146B3"/>
    <w:rsid w:val="0031501B"/>
    <w:rsid w:val="00315082"/>
    <w:rsid w:val="003151EA"/>
    <w:rsid w:val="00315498"/>
    <w:rsid w:val="00315579"/>
    <w:rsid w:val="00315623"/>
    <w:rsid w:val="003158DB"/>
    <w:rsid w:val="00315958"/>
    <w:rsid w:val="00315986"/>
    <w:rsid w:val="00315AD3"/>
    <w:rsid w:val="00315E43"/>
    <w:rsid w:val="003160C3"/>
    <w:rsid w:val="003161EC"/>
    <w:rsid w:val="003163FC"/>
    <w:rsid w:val="00316474"/>
    <w:rsid w:val="0031660C"/>
    <w:rsid w:val="00316A74"/>
    <w:rsid w:val="00316D0B"/>
    <w:rsid w:val="00316DA0"/>
    <w:rsid w:val="00316DC4"/>
    <w:rsid w:val="00317548"/>
    <w:rsid w:val="00317774"/>
    <w:rsid w:val="003177DC"/>
    <w:rsid w:val="00317834"/>
    <w:rsid w:val="0032019B"/>
    <w:rsid w:val="003204F8"/>
    <w:rsid w:val="0032052D"/>
    <w:rsid w:val="0032054E"/>
    <w:rsid w:val="00320738"/>
    <w:rsid w:val="00321260"/>
    <w:rsid w:val="003212D1"/>
    <w:rsid w:val="003216CC"/>
    <w:rsid w:val="00321B6B"/>
    <w:rsid w:val="00322107"/>
    <w:rsid w:val="003221F3"/>
    <w:rsid w:val="0032224C"/>
    <w:rsid w:val="00322355"/>
    <w:rsid w:val="00322846"/>
    <w:rsid w:val="00322890"/>
    <w:rsid w:val="003229AA"/>
    <w:rsid w:val="00322F32"/>
    <w:rsid w:val="0032300F"/>
    <w:rsid w:val="003231F3"/>
    <w:rsid w:val="0032333C"/>
    <w:rsid w:val="0032339D"/>
    <w:rsid w:val="003235C9"/>
    <w:rsid w:val="00323758"/>
    <w:rsid w:val="003239EB"/>
    <w:rsid w:val="00323D16"/>
    <w:rsid w:val="00324685"/>
    <w:rsid w:val="00324A49"/>
    <w:rsid w:val="00324AE8"/>
    <w:rsid w:val="00324DE2"/>
    <w:rsid w:val="00324E22"/>
    <w:rsid w:val="00325110"/>
    <w:rsid w:val="0032512F"/>
    <w:rsid w:val="003253E2"/>
    <w:rsid w:val="00325664"/>
    <w:rsid w:val="00325F01"/>
    <w:rsid w:val="00326425"/>
    <w:rsid w:val="00326C69"/>
    <w:rsid w:val="00326DA7"/>
    <w:rsid w:val="003270E4"/>
    <w:rsid w:val="0032735B"/>
    <w:rsid w:val="003276CC"/>
    <w:rsid w:val="00327A7D"/>
    <w:rsid w:val="00327C9C"/>
    <w:rsid w:val="00330166"/>
    <w:rsid w:val="003303FF"/>
    <w:rsid w:val="00330495"/>
    <w:rsid w:val="003304AF"/>
    <w:rsid w:val="00330775"/>
    <w:rsid w:val="00330DAA"/>
    <w:rsid w:val="00330F5C"/>
    <w:rsid w:val="00331CB3"/>
    <w:rsid w:val="00332409"/>
    <w:rsid w:val="0033260C"/>
    <w:rsid w:val="00332810"/>
    <w:rsid w:val="00332A9D"/>
    <w:rsid w:val="003331D0"/>
    <w:rsid w:val="00333543"/>
    <w:rsid w:val="003335F9"/>
    <w:rsid w:val="003339A6"/>
    <w:rsid w:val="00334534"/>
    <w:rsid w:val="0033496E"/>
    <w:rsid w:val="00334D5A"/>
    <w:rsid w:val="00334DE1"/>
    <w:rsid w:val="00335226"/>
    <w:rsid w:val="00335594"/>
    <w:rsid w:val="00335733"/>
    <w:rsid w:val="00335E86"/>
    <w:rsid w:val="00335FC1"/>
    <w:rsid w:val="0033607C"/>
    <w:rsid w:val="00336270"/>
    <w:rsid w:val="003363F1"/>
    <w:rsid w:val="003366C9"/>
    <w:rsid w:val="0033670A"/>
    <w:rsid w:val="00336E4F"/>
    <w:rsid w:val="00336EFC"/>
    <w:rsid w:val="003371B0"/>
    <w:rsid w:val="003371CB"/>
    <w:rsid w:val="003372E6"/>
    <w:rsid w:val="0033751C"/>
    <w:rsid w:val="00337530"/>
    <w:rsid w:val="003378B9"/>
    <w:rsid w:val="003379BE"/>
    <w:rsid w:val="00337DE4"/>
    <w:rsid w:val="0034032F"/>
    <w:rsid w:val="003403F5"/>
    <w:rsid w:val="00340590"/>
    <w:rsid w:val="003406C8"/>
    <w:rsid w:val="003407F2"/>
    <w:rsid w:val="003408BA"/>
    <w:rsid w:val="00340CF9"/>
    <w:rsid w:val="00340D50"/>
    <w:rsid w:val="00340D95"/>
    <w:rsid w:val="00340DF1"/>
    <w:rsid w:val="00340EE3"/>
    <w:rsid w:val="00341461"/>
    <w:rsid w:val="00341D4F"/>
    <w:rsid w:val="00341FF8"/>
    <w:rsid w:val="00342010"/>
    <w:rsid w:val="00342491"/>
    <w:rsid w:val="0034252D"/>
    <w:rsid w:val="00342A25"/>
    <w:rsid w:val="00342AFE"/>
    <w:rsid w:val="00342BB4"/>
    <w:rsid w:val="00342C3D"/>
    <w:rsid w:val="00342D54"/>
    <w:rsid w:val="00342EFB"/>
    <w:rsid w:val="00343173"/>
    <w:rsid w:val="00343C03"/>
    <w:rsid w:val="00343C24"/>
    <w:rsid w:val="00343CCB"/>
    <w:rsid w:val="00343EE4"/>
    <w:rsid w:val="003440B9"/>
    <w:rsid w:val="00344603"/>
    <w:rsid w:val="003448D0"/>
    <w:rsid w:val="00344A11"/>
    <w:rsid w:val="00344A64"/>
    <w:rsid w:val="00344FD1"/>
    <w:rsid w:val="00345351"/>
    <w:rsid w:val="003453F2"/>
    <w:rsid w:val="00345B61"/>
    <w:rsid w:val="00346474"/>
    <w:rsid w:val="003465D3"/>
    <w:rsid w:val="00346AF4"/>
    <w:rsid w:val="003470C0"/>
    <w:rsid w:val="00347505"/>
    <w:rsid w:val="003478EC"/>
    <w:rsid w:val="00347ACA"/>
    <w:rsid w:val="00350122"/>
    <w:rsid w:val="0035089A"/>
    <w:rsid w:val="003512DD"/>
    <w:rsid w:val="0035163C"/>
    <w:rsid w:val="00351676"/>
    <w:rsid w:val="00351678"/>
    <w:rsid w:val="003517F9"/>
    <w:rsid w:val="0035180B"/>
    <w:rsid w:val="003519B0"/>
    <w:rsid w:val="00351BA9"/>
    <w:rsid w:val="00351BD0"/>
    <w:rsid w:val="00351D59"/>
    <w:rsid w:val="00351F6F"/>
    <w:rsid w:val="0035209B"/>
    <w:rsid w:val="00352274"/>
    <w:rsid w:val="0035242A"/>
    <w:rsid w:val="00352432"/>
    <w:rsid w:val="003525F7"/>
    <w:rsid w:val="00352D93"/>
    <w:rsid w:val="00352E93"/>
    <w:rsid w:val="00353554"/>
    <w:rsid w:val="003538DD"/>
    <w:rsid w:val="00353A66"/>
    <w:rsid w:val="00353B8A"/>
    <w:rsid w:val="00353F6F"/>
    <w:rsid w:val="00354468"/>
    <w:rsid w:val="00354728"/>
    <w:rsid w:val="003548C1"/>
    <w:rsid w:val="00354F64"/>
    <w:rsid w:val="00355BD6"/>
    <w:rsid w:val="003561F6"/>
    <w:rsid w:val="0035620E"/>
    <w:rsid w:val="00356293"/>
    <w:rsid w:val="0035653E"/>
    <w:rsid w:val="00356AC5"/>
    <w:rsid w:val="00356BF4"/>
    <w:rsid w:val="00356E5E"/>
    <w:rsid w:val="00356F04"/>
    <w:rsid w:val="0035701E"/>
    <w:rsid w:val="00357294"/>
    <w:rsid w:val="003574BD"/>
    <w:rsid w:val="003575BE"/>
    <w:rsid w:val="00357674"/>
    <w:rsid w:val="00357947"/>
    <w:rsid w:val="0035795D"/>
    <w:rsid w:val="00357965"/>
    <w:rsid w:val="00357A90"/>
    <w:rsid w:val="00357CA3"/>
    <w:rsid w:val="00357F9F"/>
    <w:rsid w:val="003600F1"/>
    <w:rsid w:val="003601D8"/>
    <w:rsid w:val="00360272"/>
    <w:rsid w:val="00360345"/>
    <w:rsid w:val="003606F7"/>
    <w:rsid w:val="00361628"/>
    <w:rsid w:val="00361665"/>
    <w:rsid w:val="00361A05"/>
    <w:rsid w:val="0036239C"/>
    <w:rsid w:val="003624C4"/>
    <w:rsid w:val="003627AC"/>
    <w:rsid w:val="003629D8"/>
    <w:rsid w:val="00362BB1"/>
    <w:rsid w:val="0036307C"/>
    <w:rsid w:val="00363363"/>
    <w:rsid w:val="00363AAC"/>
    <w:rsid w:val="00363B00"/>
    <w:rsid w:val="00363E91"/>
    <w:rsid w:val="00364753"/>
    <w:rsid w:val="00364C94"/>
    <w:rsid w:val="00364CE4"/>
    <w:rsid w:val="00364E22"/>
    <w:rsid w:val="00364FFE"/>
    <w:rsid w:val="003654AC"/>
    <w:rsid w:val="00365B84"/>
    <w:rsid w:val="00365E36"/>
    <w:rsid w:val="00365E6F"/>
    <w:rsid w:val="00365ECA"/>
    <w:rsid w:val="0036603D"/>
    <w:rsid w:val="00366305"/>
    <w:rsid w:val="00366B58"/>
    <w:rsid w:val="00366CB5"/>
    <w:rsid w:val="00366E87"/>
    <w:rsid w:val="00367021"/>
    <w:rsid w:val="003679A5"/>
    <w:rsid w:val="00367FDB"/>
    <w:rsid w:val="00370480"/>
    <w:rsid w:val="003708E9"/>
    <w:rsid w:val="00370E77"/>
    <w:rsid w:val="00370E92"/>
    <w:rsid w:val="003710CF"/>
    <w:rsid w:val="00371343"/>
    <w:rsid w:val="003713BF"/>
    <w:rsid w:val="0037180B"/>
    <w:rsid w:val="0037183E"/>
    <w:rsid w:val="00371885"/>
    <w:rsid w:val="00371945"/>
    <w:rsid w:val="00371AC7"/>
    <w:rsid w:val="00371B3F"/>
    <w:rsid w:val="00371B69"/>
    <w:rsid w:val="00371F6F"/>
    <w:rsid w:val="00372045"/>
    <w:rsid w:val="0037249F"/>
    <w:rsid w:val="00372506"/>
    <w:rsid w:val="003726FC"/>
    <w:rsid w:val="00372BF1"/>
    <w:rsid w:val="00372E55"/>
    <w:rsid w:val="00372EEE"/>
    <w:rsid w:val="00373508"/>
    <w:rsid w:val="0037355C"/>
    <w:rsid w:val="0037358A"/>
    <w:rsid w:val="00373A9A"/>
    <w:rsid w:val="00373C5D"/>
    <w:rsid w:val="00373DC8"/>
    <w:rsid w:val="00373E37"/>
    <w:rsid w:val="00374CD9"/>
    <w:rsid w:val="003750F6"/>
    <w:rsid w:val="00375199"/>
    <w:rsid w:val="003752EE"/>
    <w:rsid w:val="003757BA"/>
    <w:rsid w:val="00375855"/>
    <w:rsid w:val="00375924"/>
    <w:rsid w:val="00375DB6"/>
    <w:rsid w:val="00375DE8"/>
    <w:rsid w:val="00375EDB"/>
    <w:rsid w:val="00375EDE"/>
    <w:rsid w:val="003760FC"/>
    <w:rsid w:val="003763C3"/>
    <w:rsid w:val="00376525"/>
    <w:rsid w:val="00376776"/>
    <w:rsid w:val="0037679C"/>
    <w:rsid w:val="00376B95"/>
    <w:rsid w:val="00376CA5"/>
    <w:rsid w:val="003773EC"/>
    <w:rsid w:val="00377558"/>
    <w:rsid w:val="003779CD"/>
    <w:rsid w:val="0038014D"/>
    <w:rsid w:val="003801BC"/>
    <w:rsid w:val="003802E5"/>
    <w:rsid w:val="00380461"/>
    <w:rsid w:val="003804CD"/>
    <w:rsid w:val="003805BE"/>
    <w:rsid w:val="0038066B"/>
    <w:rsid w:val="00380932"/>
    <w:rsid w:val="00380BE2"/>
    <w:rsid w:val="00380D38"/>
    <w:rsid w:val="00380F13"/>
    <w:rsid w:val="003813F8"/>
    <w:rsid w:val="003815DB"/>
    <w:rsid w:val="003818CD"/>
    <w:rsid w:val="00382030"/>
    <w:rsid w:val="00382550"/>
    <w:rsid w:val="003826BA"/>
    <w:rsid w:val="0038283F"/>
    <w:rsid w:val="00382BDA"/>
    <w:rsid w:val="00382BF9"/>
    <w:rsid w:val="00382D71"/>
    <w:rsid w:val="00383536"/>
    <w:rsid w:val="0038365C"/>
    <w:rsid w:val="0038369B"/>
    <w:rsid w:val="003837BB"/>
    <w:rsid w:val="00383831"/>
    <w:rsid w:val="003839B8"/>
    <w:rsid w:val="00383B72"/>
    <w:rsid w:val="00383B78"/>
    <w:rsid w:val="003840C5"/>
    <w:rsid w:val="00384F18"/>
    <w:rsid w:val="00384FAB"/>
    <w:rsid w:val="0038557B"/>
    <w:rsid w:val="003857BF"/>
    <w:rsid w:val="00385A9D"/>
    <w:rsid w:val="00385B27"/>
    <w:rsid w:val="0038608D"/>
    <w:rsid w:val="003862C9"/>
    <w:rsid w:val="00386B44"/>
    <w:rsid w:val="00387121"/>
    <w:rsid w:val="00387157"/>
    <w:rsid w:val="003872C8"/>
    <w:rsid w:val="00387609"/>
    <w:rsid w:val="003878A5"/>
    <w:rsid w:val="00387BA9"/>
    <w:rsid w:val="00387CB1"/>
    <w:rsid w:val="003902B1"/>
    <w:rsid w:val="003902CF"/>
    <w:rsid w:val="0039031C"/>
    <w:rsid w:val="0039074B"/>
    <w:rsid w:val="00390BD3"/>
    <w:rsid w:val="00390C3C"/>
    <w:rsid w:val="00390F10"/>
    <w:rsid w:val="00391403"/>
    <w:rsid w:val="0039148B"/>
    <w:rsid w:val="0039161E"/>
    <w:rsid w:val="0039179C"/>
    <w:rsid w:val="00391C20"/>
    <w:rsid w:val="00391E3F"/>
    <w:rsid w:val="00391F21"/>
    <w:rsid w:val="00392824"/>
    <w:rsid w:val="0039284E"/>
    <w:rsid w:val="00392AC3"/>
    <w:rsid w:val="00392DEF"/>
    <w:rsid w:val="0039330D"/>
    <w:rsid w:val="0039392E"/>
    <w:rsid w:val="00393AAA"/>
    <w:rsid w:val="00393C7A"/>
    <w:rsid w:val="00393D3C"/>
    <w:rsid w:val="00393EF9"/>
    <w:rsid w:val="00393FF2"/>
    <w:rsid w:val="003941DA"/>
    <w:rsid w:val="0039458D"/>
    <w:rsid w:val="0039481E"/>
    <w:rsid w:val="00394BDF"/>
    <w:rsid w:val="00394D88"/>
    <w:rsid w:val="00395101"/>
    <w:rsid w:val="00395202"/>
    <w:rsid w:val="0039548D"/>
    <w:rsid w:val="00395800"/>
    <w:rsid w:val="0039587D"/>
    <w:rsid w:val="00395AB0"/>
    <w:rsid w:val="00395AC3"/>
    <w:rsid w:val="00395C20"/>
    <w:rsid w:val="00396468"/>
    <w:rsid w:val="00396790"/>
    <w:rsid w:val="0039680A"/>
    <w:rsid w:val="00396896"/>
    <w:rsid w:val="003968A1"/>
    <w:rsid w:val="00396AAD"/>
    <w:rsid w:val="00396EEA"/>
    <w:rsid w:val="00396FD0"/>
    <w:rsid w:val="00397292"/>
    <w:rsid w:val="0039729D"/>
    <w:rsid w:val="00397946"/>
    <w:rsid w:val="00397A2F"/>
    <w:rsid w:val="003A0563"/>
    <w:rsid w:val="003A115D"/>
    <w:rsid w:val="003A118F"/>
    <w:rsid w:val="003A12A2"/>
    <w:rsid w:val="003A1A7A"/>
    <w:rsid w:val="003A1D7A"/>
    <w:rsid w:val="003A1DF9"/>
    <w:rsid w:val="003A1F8F"/>
    <w:rsid w:val="003A218E"/>
    <w:rsid w:val="003A21A8"/>
    <w:rsid w:val="003A22E8"/>
    <w:rsid w:val="003A2392"/>
    <w:rsid w:val="003A260B"/>
    <w:rsid w:val="003A2831"/>
    <w:rsid w:val="003A2863"/>
    <w:rsid w:val="003A2C7E"/>
    <w:rsid w:val="003A2D87"/>
    <w:rsid w:val="003A31D7"/>
    <w:rsid w:val="003A3254"/>
    <w:rsid w:val="003A3642"/>
    <w:rsid w:val="003A3AD0"/>
    <w:rsid w:val="003A3C20"/>
    <w:rsid w:val="003A3C53"/>
    <w:rsid w:val="003A3CB6"/>
    <w:rsid w:val="003A3DE3"/>
    <w:rsid w:val="003A3ED1"/>
    <w:rsid w:val="003A44DB"/>
    <w:rsid w:val="003A46F1"/>
    <w:rsid w:val="003A4A5D"/>
    <w:rsid w:val="003A4C14"/>
    <w:rsid w:val="003A5185"/>
    <w:rsid w:val="003A5543"/>
    <w:rsid w:val="003A5CAB"/>
    <w:rsid w:val="003A5ECD"/>
    <w:rsid w:val="003A6151"/>
    <w:rsid w:val="003A63C1"/>
    <w:rsid w:val="003A67EF"/>
    <w:rsid w:val="003A6A29"/>
    <w:rsid w:val="003A6FA3"/>
    <w:rsid w:val="003A7493"/>
    <w:rsid w:val="003A751D"/>
    <w:rsid w:val="003A7819"/>
    <w:rsid w:val="003A78D0"/>
    <w:rsid w:val="003A7B31"/>
    <w:rsid w:val="003A7DA2"/>
    <w:rsid w:val="003A7DCC"/>
    <w:rsid w:val="003B0194"/>
    <w:rsid w:val="003B0400"/>
    <w:rsid w:val="003B051A"/>
    <w:rsid w:val="003B0682"/>
    <w:rsid w:val="003B0817"/>
    <w:rsid w:val="003B0AED"/>
    <w:rsid w:val="003B1515"/>
    <w:rsid w:val="003B15ED"/>
    <w:rsid w:val="003B16A2"/>
    <w:rsid w:val="003B1817"/>
    <w:rsid w:val="003B1F26"/>
    <w:rsid w:val="003B21A0"/>
    <w:rsid w:val="003B26B5"/>
    <w:rsid w:val="003B2AFB"/>
    <w:rsid w:val="003B3006"/>
    <w:rsid w:val="003B30F6"/>
    <w:rsid w:val="003B3129"/>
    <w:rsid w:val="003B35DC"/>
    <w:rsid w:val="003B3622"/>
    <w:rsid w:val="003B363E"/>
    <w:rsid w:val="003B3963"/>
    <w:rsid w:val="003B3971"/>
    <w:rsid w:val="003B3BEC"/>
    <w:rsid w:val="003B3CD9"/>
    <w:rsid w:val="003B4122"/>
    <w:rsid w:val="003B43DB"/>
    <w:rsid w:val="003B48E1"/>
    <w:rsid w:val="003B4AFC"/>
    <w:rsid w:val="003B4B1B"/>
    <w:rsid w:val="003B5003"/>
    <w:rsid w:val="003B501F"/>
    <w:rsid w:val="003B504A"/>
    <w:rsid w:val="003B5096"/>
    <w:rsid w:val="003B55D1"/>
    <w:rsid w:val="003B56D2"/>
    <w:rsid w:val="003B5713"/>
    <w:rsid w:val="003B57E4"/>
    <w:rsid w:val="003B5A9C"/>
    <w:rsid w:val="003B5B61"/>
    <w:rsid w:val="003B5EBC"/>
    <w:rsid w:val="003B62B5"/>
    <w:rsid w:val="003B6660"/>
    <w:rsid w:val="003B68CC"/>
    <w:rsid w:val="003B6962"/>
    <w:rsid w:val="003B69D0"/>
    <w:rsid w:val="003B6A11"/>
    <w:rsid w:val="003B6C30"/>
    <w:rsid w:val="003B6DE6"/>
    <w:rsid w:val="003B73B0"/>
    <w:rsid w:val="003B7618"/>
    <w:rsid w:val="003B7820"/>
    <w:rsid w:val="003B79A3"/>
    <w:rsid w:val="003C0056"/>
    <w:rsid w:val="003C03E3"/>
    <w:rsid w:val="003C053B"/>
    <w:rsid w:val="003C0765"/>
    <w:rsid w:val="003C09FF"/>
    <w:rsid w:val="003C0B12"/>
    <w:rsid w:val="003C0B8E"/>
    <w:rsid w:val="003C1069"/>
    <w:rsid w:val="003C127B"/>
    <w:rsid w:val="003C12BC"/>
    <w:rsid w:val="003C1654"/>
    <w:rsid w:val="003C1B41"/>
    <w:rsid w:val="003C2432"/>
    <w:rsid w:val="003C2489"/>
    <w:rsid w:val="003C2AFD"/>
    <w:rsid w:val="003C2C20"/>
    <w:rsid w:val="003C30A6"/>
    <w:rsid w:val="003C37E0"/>
    <w:rsid w:val="003C3B11"/>
    <w:rsid w:val="003C3B1C"/>
    <w:rsid w:val="003C3DFD"/>
    <w:rsid w:val="003C4114"/>
    <w:rsid w:val="003C4164"/>
    <w:rsid w:val="003C448B"/>
    <w:rsid w:val="003C4C2C"/>
    <w:rsid w:val="003C4D99"/>
    <w:rsid w:val="003C5542"/>
    <w:rsid w:val="003C5840"/>
    <w:rsid w:val="003C5E06"/>
    <w:rsid w:val="003C5E82"/>
    <w:rsid w:val="003C5E86"/>
    <w:rsid w:val="003C60B8"/>
    <w:rsid w:val="003C60C9"/>
    <w:rsid w:val="003C6A48"/>
    <w:rsid w:val="003C6ACE"/>
    <w:rsid w:val="003C6C5C"/>
    <w:rsid w:val="003C7244"/>
    <w:rsid w:val="003C7549"/>
    <w:rsid w:val="003C75A3"/>
    <w:rsid w:val="003C75C5"/>
    <w:rsid w:val="003C7725"/>
    <w:rsid w:val="003C7938"/>
    <w:rsid w:val="003C7C15"/>
    <w:rsid w:val="003C7D19"/>
    <w:rsid w:val="003C7D2F"/>
    <w:rsid w:val="003C7E70"/>
    <w:rsid w:val="003C7FD5"/>
    <w:rsid w:val="003D013D"/>
    <w:rsid w:val="003D0147"/>
    <w:rsid w:val="003D0C5A"/>
    <w:rsid w:val="003D0E30"/>
    <w:rsid w:val="003D0F18"/>
    <w:rsid w:val="003D1027"/>
    <w:rsid w:val="003D1804"/>
    <w:rsid w:val="003D1828"/>
    <w:rsid w:val="003D1BA2"/>
    <w:rsid w:val="003D1CA6"/>
    <w:rsid w:val="003D1DE4"/>
    <w:rsid w:val="003D1E9A"/>
    <w:rsid w:val="003D21D0"/>
    <w:rsid w:val="003D2422"/>
    <w:rsid w:val="003D258B"/>
    <w:rsid w:val="003D2870"/>
    <w:rsid w:val="003D2992"/>
    <w:rsid w:val="003D29A1"/>
    <w:rsid w:val="003D2FF6"/>
    <w:rsid w:val="003D33A0"/>
    <w:rsid w:val="003D35D4"/>
    <w:rsid w:val="003D371A"/>
    <w:rsid w:val="003D39A1"/>
    <w:rsid w:val="003D3FBF"/>
    <w:rsid w:val="003D4193"/>
    <w:rsid w:val="003D46C8"/>
    <w:rsid w:val="003D4A30"/>
    <w:rsid w:val="003D595F"/>
    <w:rsid w:val="003D5A50"/>
    <w:rsid w:val="003D5D5D"/>
    <w:rsid w:val="003D6326"/>
    <w:rsid w:val="003D6A44"/>
    <w:rsid w:val="003D6C43"/>
    <w:rsid w:val="003D6CE2"/>
    <w:rsid w:val="003D7076"/>
    <w:rsid w:val="003D71EB"/>
    <w:rsid w:val="003D732F"/>
    <w:rsid w:val="003D744A"/>
    <w:rsid w:val="003D7452"/>
    <w:rsid w:val="003D7583"/>
    <w:rsid w:val="003D79BB"/>
    <w:rsid w:val="003D7C98"/>
    <w:rsid w:val="003D7CA2"/>
    <w:rsid w:val="003D7CDE"/>
    <w:rsid w:val="003D7D9D"/>
    <w:rsid w:val="003E004B"/>
    <w:rsid w:val="003E00BC"/>
    <w:rsid w:val="003E0543"/>
    <w:rsid w:val="003E0BFF"/>
    <w:rsid w:val="003E160E"/>
    <w:rsid w:val="003E16C3"/>
    <w:rsid w:val="003E19BD"/>
    <w:rsid w:val="003E1A17"/>
    <w:rsid w:val="003E1A18"/>
    <w:rsid w:val="003E1A95"/>
    <w:rsid w:val="003E1DA6"/>
    <w:rsid w:val="003E1E0A"/>
    <w:rsid w:val="003E2251"/>
    <w:rsid w:val="003E27B3"/>
    <w:rsid w:val="003E295F"/>
    <w:rsid w:val="003E2ECD"/>
    <w:rsid w:val="003E3459"/>
    <w:rsid w:val="003E39FE"/>
    <w:rsid w:val="003E3CEC"/>
    <w:rsid w:val="003E3FFD"/>
    <w:rsid w:val="003E48C0"/>
    <w:rsid w:val="003E4BAE"/>
    <w:rsid w:val="003E4BCA"/>
    <w:rsid w:val="003E4D22"/>
    <w:rsid w:val="003E5113"/>
    <w:rsid w:val="003E5207"/>
    <w:rsid w:val="003E5603"/>
    <w:rsid w:val="003E5675"/>
    <w:rsid w:val="003E5762"/>
    <w:rsid w:val="003E577D"/>
    <w:rsid w:val="003E63F3"/>
    <w:rsid w:val="003E65A9"/>
    <w:rsid w:val="003E65F7"/>
    <w:rsid w:val="003E68FB"/>
    <w:rsid w:val="003E6E54"/>
    <w:rsid w:val="003E749E"/>
    <w:rsid w:val="003E7602"/>
    <w:rsid w:val="003E7648"/>
    <w:rsid w:val="003E7C85"/>
    <w:rsid w:val="003E7C8F"/>
    <w:rsid w:val="003F02D1"/>
    <w:rsid w:val="003F044E"/>
    <w:rsid w:val="003F05D0"/>
    <w:rsid w:val="003F07A2"/>
    <w:rsid w:val="003F0808"/>
    <w:rsid w:val="003F095B"/>
    <w:rsid w:val="003F0FB4"/>
    <w:rsid w:val="003F10B4"/>
    <w:rsid w:val="003F126F"/>
    <w:rsid w:val="003F154D"/>
    <w:rsid w:val="003F1794"/>
    <w:rsid w:val="003F18AB"/>
    <w:rsid w:val="003F2204"/>
    <w:rsid w:val="003F238C"/>
    <w:rsid w:val="003F29CE"/>
    <w:rsid w:val="003F2A6A"/>
    <w:rsid w:val="003F3367"/>
    <w:rsid w:val="003F3917"/>
    <w:rsid w:val="003F3F09"/>
    <w:rsid w:val="003F4156"/>
    <w:rsid w:val="003F42C6"/>
    <w:rsid w:val="003F42D2"/>
    <w:rsid w:val="003F4672"/>
    <w:rsid w:val="003F490A"/>
    <w:rsid w:val="003F4A2B"/>
    <w:rsid w:val="003F4CBD"/>
    <w:rsid w:val="003F4E1F"/>
    <w:rsid w:val="003F50FC"/>
    <w:rsid w:val="003F5209"/>
    <w:rsid w:val="003F5644"/>
    <w:rsid w:val="003F5772"/>
    <w:rsid w:val="003F5ADF"/>
    <w:rsid w:val="003F6242"/>
    <w:rsid w:val="003F6435"/>
    <w:rsid w:val="003F67A1"/>
    <w:rsid w:val="003F682F"/>
    <w:rsid w:val="003F68FE"/>
    <w:rsid w:val="003F6A0F"/>
    <w:rsid w:val="003F6B59"/>
    <w:rsid w:val="003F6D20"/>
    <w:rsid w:val="003F70B5"/>
    <w:rsid w:val="003F70F3"/>
    <w:rsid w:val="003F721D"/>
    <w:rsid w:val="003F766A"/>
    <w:rsid w:val="003F78F0"/>
    <w:rsid w:val="003F79B1"/>
    <w:rsid w:val="0040045A"/>
    <w:rsid w:val="0040048A"/>
    <w:rsid w:val="0040055A"/>
    <w:rsid w:val="00400578"/>
    <w:rsid w:val="0040057F"/>
    <w:rsid w:val="00400991"/>
    <w:rsid w:val="00400B29"/>
    <w:rsid w:val="00400C79"/>
    <w:rsid w:val="00400CAE"/>
    <w:rsid w:val="0040162E"/>
    <w:rsid w:val="00401636"/>
    <w:rsid w:val="00401859"/>
    <w:rsid w:val="00402605"/>
    <w:rsid w:val="00402812"/>
    <w:rsid w:val="00402A4A"/>
    <w:rsid w:val="00402AC6"/>
    <w:rsid w:val="00402CF4"/>
    <w:rsid w:val="00402D66"/>
    <w:rsid w:val="00402E6C"/>
    <w:rsid w:val="0040322A"/>
    <w:rsid w:val="004034CC"/>
    <w:rsid w:val="00403847"/>
    <w:rsid w:val="004039B0"/>
    <w:rsid w:val="00403BB8"/>
    <w:rsid w:val="00404517"/>
    <w:rsid w:val="00404671"/>
    <w:rsid w:val="00404CA1"/>
    <w:rsid w:val="00404D9C"/>
    <w:rsid w:val="00404EA4"/>
    <w:rsid w:val="0040504B"/>
    <w:rsid w:val="004053BA"/>
    <w:rsid w:val="004059F4"/>
    <w:rsid w:val="00405EB4"/>
    <w:rsid w:val="00405F40"/>
    <w:rsid w:val="00405FD9"/>
    <w:rsid w:val="00406D77"/>
    <w:rsid w:val="00407235"/>
    <w:rsid w:val="00407721"/>
    <w:rsid w:val="004077B4"/>
    <w:rsid w:val="0040786A"/>
    <w:rsid w:val="00407BD2"/>
    <w:rsid w:val="00407FE5"/>
    <w:rsid w:val="004101B0"/>
    <w:rsid w:val="00410326"/>
    <w:rsid w:val="00410708"/>
    <w:rsid w:val="0041072D"/>
    <w:rsid w:val="0041098A"/>
    <w:rsid w:val="00410EC7"/>
    <w:rsid w:val="0041102E"/>
    <w:rsid w:val="0041108F"/>
    <w:rsid w:val="00411618"/>
    <w:rsid w:val="00411965"/>
    <w:rsid w:val="00411B18"/>
    <w:rsid w:val="00411B39"/>
    <w:rsid w:val="00411FCF"/>
    <w:rsid w:val="00412126"/>
    <w:rsid w:val="004122A7"/>
    <w:rsid w:val="004127A7"/>
    <w:rsid w:val="00412C17"/>
    <w:rsid w:val="00412E0A"/>
    <w:rsid w:val="004131E7"/>
    <w:rsid w:val="00413225"/>
    <w:rsid w:val="00413A1E"/>
    <w:rsid w:val="004141C3"/>
    <w:rsid w:val="00414405"/>
    <w:rsid w:val="00414476"/>
    <w:rsid w:val="0041469D"/>
    <w:rsid w:val="00414B19"/>
    <w:rsid w:val="00414B27"/>
    <w:rsid w:val="00414C2E"/>
    <w:rsid w:val="004151CF"/>
    <w:rsid w:val="00415458"/>
    <w:rsid w:val="004156CC"/>
    <w:rsid w:val="00415C58"/>
    <w:rsid w:val="00415FB1"/>
    <w:rsid w:val="004160AD"/>
    <w:rsid w:val="00416364"/>
    <w:rsid w:val="00416C56"/>
    <w:rsid w:val="00417058"/>
    <w:rsid w:val="0042012A"/>
    <w:rsid w:val="0042047F"/>
    <w:rsid w:val="00420AA6"/>
    <w:rsid w:val="00420B9F"/>
    <w:rsid w:val="00420CE9"/>
    <w:rsid w:val="0042173D"/>
    <w:rsid w:val="0042192C"/>
    <w:rsid w:val="00421BF4"/>
    <w:rsid w:val="00421D61"/>
    <w:rsid w:val="0042207E"/>
    <w:rsid w:val="00422166"/>
    <w:rsid w:val="00422260"/>
    <w:rsid w:val="004224D5"/>
    <w:rsid w:val="00422600"/>
    <w:rsid w:val="00422891"/>
    <w:rsid w:val="00422930"/>
    <w:rsid w:val="0042295C"/>
    <w:rsid w:val="0042310D"/>
    <w:rsid w:val="0042315C"/>
    <w:rsid w:val="0042340B"/>
    <w:rsid w:val="00423884"/>
    <w:rsid w:val="004239B1"/>
    <w:rsid w:val="00423C94"/>
    <w:rsid w:val="0042403D"/>
    <w:rsid w:val="00424121"/>
    <w:rsid w:val="0042413F"/>
    <w:rsid w:val="00424215"/>
    <w:rsid w:val="004245A8"/>
    <w:rsid w:val="00424761"/>
    <w:rsid w:val="0042497C"/>
    <w:rsid w:val="0042498A"/>
    <w:rsid w:val="00424CF4"/>
    <w:rsid w:val="004256CC"/>
    <w:rsid w:val="00425D84"/>
    <w:rsid w:val="00425EC5"/>
    <w:rsid w:val="00425EDD"/>
    <w:rsid w:val="0042650C"/>
    <w:rsid w:val="0042654D"/>
    <w:rsid w:val="00426746"/>
    <w:rsid w:val="00426B9E"/>
    <w:rsid w:val="00426F0D"/>
    <w:rsid w:val="00426F38"/>
    <w:rsid w:val="0042789E"/>
    <w:rsid w:val="00430218"/>
    <w:rsid w:val="00430236"/>
    <w:rsid w:val="00430588"/>
    <w:rsid w:val="004306B8"/>
    <w:rsid w:val="004307A6"/>
    <w:rsid w:val="00430871"/>
    <w:rsid w:val="0043093B"/>
    <w:rsid w:val="00430BE6"/>
    <w:rsid w:val="00430FA5"/>
    <w:rsid w:val="00431043"/>
    <w:rsid w:val="004312BA"/>
    <w:rsid w:val="00431800"/>
    <w:rsid w:val="0043186B"/>
    <w:rsid w:val="004319F8"/>
    <w:rsid w:val="00431E55"/>
    <w:rsid w:val="00431ED3"/>
    <w:rsid w:val="00431EED"/>
    <w:rsid w:val="00431F22"/>
    <w:rsid w:val="004321F6"/>
    <w:rsid w:val="004326B1"/>
    <w:rsid w:val="0043282D"/>
    <w:rsid w:val="00432913"/>
    <w:rsid w:val="00432A50"/>
    <w:rsid w:val="00432AD2"/>
    <w:rsid w:val="00432FA7"/>
    <w:rsid w:val="00433044"/>
    <w:rsid w:val="0043304C"/>
    <w:rsid w:val="004335E7"/>
    <w:rsid w:val="004335F7"/>
    <w:rsid w:val="00433764"/>
    <w:rsid w:val="00433AB0"/>
    <w:rsid w:val="00433BAA"/>
    <w:rsid w:val="00433CAF"/>
    <w:rsid w:val="00433D39"/>
    <w:rsid w:val="00433D5A"/>
    <w:rsid w:val="00433D6F"/>
    <w:rsid w:val="00433F1A"/>
    <w:rsid w:val="00434088"/>
    <w:rsid w:val="0043465E"/>
    <w:rsid w:val="00434B90"/>
    <w:rsid w:val="004351A9"/>
    <w:rsid w:val="0043524B"/>
    <w:rsid w:val="00435397"/>
    <w:rsid w:val="00435631"/>
    <w:rsid w:val="004357BF"/>
    <w:rsid w:val="00435A3C"/>
    <w:rsid w:val="00435A91"/>
    <w:rsid w:val="00435CF2"/>
    <w:rsid w:val="004361FF"/>
    <w:rsid w:val="004365A5"/>
    <w:rsid w:val="00436730"/>
    <w:rsid w:val="00436B92"/>
    <w:rsid w:val="00436CBD"/>
    <w:rsid w:val="00436D48"/>
    <w:rsid w:val="00436EA2"/>
    <w:rsid w:val="00437167"/>
    <w:rsid w:val="0043756E"/>
    <w:rsid w:val="004375B9"/>
    <w:rsid w:val="004375F8"/>
    <w:rsid w:val="00437809"/>
    <w:rsid w:val="004379D9"/>
    <w:rsid w:val="00437BBD"/>
    <w:rsid w:val="0044040A"/>
    <w:rsid w:val="004405B4"/>
    <w:rsid w:val="00440697"/>
    <w:rsid w:val="00440BF8"/>
    <w:rsid w:val="00440CE9"/>
    <w:rsid w:val="00440DB3"/>
    <w:rsid w:val="00441131"/>
    <w:rsid w:val="0044186F"/>
    <w:rsid w:val="00441A15"/>
    <w:rsid w:val="004421B1"/>
    <w:rsid w:val="0044230B"/>
    <w:rsid w:val="00442467"/>
    <w:rsid w:val="004428D0"/>
    <w:rsid w:val="00442A9A"/>
    <w:rsid w:val="00442C4A"/>
    <w:rsid w:val="00442FEF"/>
    <w:rsid w:val="004431D0"/>
    <w:rsid w:val="00443866"/>
    <w:rsid w:val="00443890"/>
    <w:rsid w:val="00443EC5"/>
    <w:rsid w:val="00444002"/>
    <w:rsid w:val="00444185"/>
    <w:rsid w:val="00444250"/>
    <w:rsid w:val="004443A7"/>
    <w:rsid w:val="0044441A"/>
    <w:rsid w:val="0044442C"/>
    <w:rsid w:val="00444465"/>
    <w:rsid w:val="004445EA"/>
    <w:rsid w:val="00444722"/>
    <w:rsid w:val="00444940"/>
    <w:rsid w:val="004449BB"/>
    <w:rsid w:val="00444E0E"/>
    <w:rsid w:val="004455C0"/>
    <w:rsid w:val="004457A9"/>
    <w:rsid w:val="004457F7"/>
    <w:rsid w:val="00445941"/>
    <w:rsid w:val="00445A69"/>
    <w:rsid w:val="00445ABB"/>
    <w:rsid w:val="00445F0F"/>
    <w:rsid w:val="004464EB"/>
    <w:rsid w:val="00446587"/>
    <w:rsid w:val="00446737"/>
    <w:rsid w:val="004468CB"/>
    <w:rsid w:val="00446CEA"/>
    <w:rsid w:val="004471EA"/>
    <w:rsid w:val="00447549"/>
    <w:rsid w:val="00447A91"/>
    <w:rsid w:val="00447D26"/>
    <w:rsid w:val="00447DE3"/>
    <w:rsid w:val="00447DFC"/>
    <w:rsid w:val="00447EEE"/>
    <w:rsid w:val="0045030D"/>
    <w:rsid w:val="004505F2"/>
    <w:rsid w:val="0045081B"/>
    <w:rsid w:val="0045106B"/>
    <w:rsid w:val="004512D8"/>
    <w:rsid w:val="004513B2"/>
    <w:rsid w:val="00451778"/>
    <w:rsid w:val="00451986"/>
    <w:rsid w:val="00451E42"/>
    <w:rsid w:val="00452489"/>
    <w:rsid w:val="00452951"/>
    <w:rsid w:val="0045313F"/>
    <w:rsid w:val="0045329D"/>
    <w:rsid w:val="004537A1"/>
    <w:rsid w:val="004537B6"/>
    <w:rsid w:val="00453DDF"/>
    <w:rsid w:val="00453E2D"/>
    <w:rsid w:val="00454722"/>
    <w:rsid w:val="00454728"/>
    <w:rsid w:val="00454AC5"/>
    <w:rsid w:val="00454C71"/>
    <w:rsid w:val="00454CB8"/>
    <w:rsid w:val="0045524F"/>
    <w:rsid w:val="0045525A"/>
    <w:rsid w:val="00455401"/>
    <w:rsid w:val="00455407"/>
    <w:rsid w:val="0045557F"/>
    <w:rsid w:val="00455D45"/>
    <w:rsid w:val="00456096"/>
    <w:rsid w:val="004569B4"/>
    <w:rsid w:val="004569F4"/>
    <w:rsid w:val="00456BD8"/>
    <w:rsid w:val="0045729F"/>
    <w:rsid w:val="004573BE"/>
    <w:rsid w:val="0045763E"/>
    <w:rsid w:val="00457895"/>
    <w:rsid w:val="00457CB7"/>
    <w:rsid w:val="00460579"/>
    <w:rsid w:val="00460971"/>
    <w:rsid w:val="00460CEB"/>
    <w:rsid w:val="00460F62"/>
    <w:rsid w:val="00461072"/>
    <w:rsid w:val="00461141"/>
    <w:rsid w:val="00461493"/>
    <w:rsid w:val="00461CDA"/>
    <w:rsid w:val="00461E6B"/>
    <w:rsid w:val="00461FC0"/>
    <w:rsid w:val="004622BE"/>
    <w:rsid w:val="004622D9"/>
    <w:rsid w:val="0046250D"/>
    <w:rsid w:val="004625C4"/>
    <w:rsid w:val="0046260F"/>
    <w:rsid w:val="004626EE"/>
    <w:rsid w:val="004631C8"/>
    <w:rsid w:val="00463417"/>
    <w:rsid w:val="00463457"/>
    <w:rsid w:val="00463792"/>
    <w:rsid w:val="00463898"/>
    <w:rsid w:val="00463E1B"/>
    <w:rsid w:val="00464595"/>
    <w:rsid w:val="004645C3"/>
    <w:rsid w:val="00464740"/>
    <w:rsid w:val="00464D64"/>
    <w:rsid w:val="00464E2B"/>
    <w:rsid w:val="0046511E"/>
    <w:rsid w:val="004653C6"/>
    <w:rsid w:val="00465434"/>
    <w:rsid w:val="0046549A"/>
    <w:rsid w:val="004655C8"/>
    <w:rsid w:val="004656E5"/>
    <w:rsid w:val="0046584A"/>
    <w:rsid w:val="00465856"/>
    <w:rsid w:val="004658B5"/>
    <w:rsid w:val="004660A1"/>
    <w:rsid w:val="0046631C"/>
    <w:rsid w:val="004664B3"/>
    <w:rsid w:val="00466A44"/>
    <w:rsid w:val="00466C4E"/>
    <w:rsid w:val="004676E6"/>
    <w:rsid w:val="00467842"/>
    <w:rsid w:val="00467BB7"/>
    <w:rsid w:val="00467F13"/>
    <w:rsid w:val="0047018C"/>
    <w:rsid w:val="00470208"/>
    <w:rsid w:val="00470424"/>
    <w:rsid w:val="0047080F"/>
    <w:rsid w:val="00470911"/>
    <w:rsid w:val="004712D4"/>
    <w:rsid w:val="00471439"/>
    <w:rsid w:val="004715E9"/>
    <w:rsid w:val="00471692"/>
    <w:rsid w:val="00471DBA"/>
    <w:rsid w:val="00471EA5"/>
    <w:rsid w:val="00471F2E"/>
    <w:rsid w:val="00471F88"/>
    <w:rsid w:val="00472072"/>
    <w:rsid w:val="0047224E"/>
    <w:rsid w:val="004723A2"/>
    <w:rsid w:val="00472625"/>
    <w:rsid w:val="00472A79"/>
    <w:rsid w:val="00472E71"/>
    <w:rsid w:val="00472FDD"/>
    <w:rsid w:val="0047353F"/>
    <w:rsid w:val="00473556"/>
    <w:rsid w:val="00473BA6"/>
    <w:rsid w:val="00473F19"/>
    <w:rsid w:val="004742A0"/>
    <w:rsid w:val="004742D7"/>
    <w:rsid w:val="00474773"/>
    <w:rsid w:val="0047486D"/>
    <w:rsid w:val="00474D55"/>
    <w:rsid w:val="00474F62"/>
    <w:rsid w:val="0047510F"/>
    <w:rsid w:val="004755D1"/>
    <w:rsid w:val="00475859"/>
    <w:rsid w:val="00475A76"/>
    <w:rsid w:val="00475BA4"/>
    <w:rsid w:val="00475BDD"/>
    <w:rsid w:val="00475E22"/>
    <w:rsid w:val="00476202"/>
    <w:rsid w:val="004762E0"/>
    <w:rsid w:val="00477562"/>
    <w:rsid w:val="004775B0"/>
    <w:rsid w:val="0047775E"/>
    <w:rsid w:val="00477CD9"/>
    <w:rsid w:val="00477FBA"/>
    <w:rsid w:val="00480088"/>
    <w:rsid w:val="00480691"/>
    <w:rsid w:val="004806A8"/>
    <w:rsid w:val="004807EE"/>
    <w:rsid w:val="0048088E"/>
    <w:rsid w:val="00480AD6"/>
    <w:rsid w:val="00480E40"/>
    <w:rsid w:val="00480F2B"/>
    <w:rsid w:val="0048126D"/>
    <w:rsid w:val="0048136E"/>
    <w:rsid w:val="00481447"/>
    <w:rsid w:val="004819C5"/>
    <w:rsid w:val="00481A2F"/>
    <w:rsid w:val="00482720"/>
    <w:rsid w:val="00482EC9"/>
    <w:rsid w:val="00483259"/>
    <w:rsid w:val="0048332C"/>
    <w:rsid w:val="004833DA"/>
    <w:rsid w:val="004835E7"/>
    <w:rsid w:val="004838FF"/>
    <w:rsid w:val="00484237"/>
    <w:rsid w:val="0048453C"/>
    <w:rsid w:val="00484BDF"/>
    <w:rsid w:val="00485465"/>
    <w:rsid w:val="004859E1"/>
    <w:rsid w:val="00485A77"/>
    <w:rsid w:val="00485DE7"/>
    <w:rsid w:val="00485FF5"/>
    <w:rsid w:val="00486182"/>
    <w:rsid w:val="004861F9"/>
    <w:rsid w:val="004862BA"/>
    <w:rsid w:val="004867E2"/>
    <w:rsid w:val="00486876"/>
    <w:rsid w:val="00486B23"/>
    <w:rsid w:val="00486BBC"/>
    <w:rsid w:val="00486CE8"/>
    <w:rsid w:val="004870CE"/>
    <w:rsid w:val="0048711D"/>
    <w:rsid w:val="00487343"/>
    <w:rsid w:val="00487874"/>
    <w:rsid w:val="00487A85"/>
    <w:rsid w:val="00487C9C"/>
    <w:rsid w:val="00487E72"/>
    <w:rsid w:val="00490AAB"/>
    <w:rsid w:val="00490B17"/>
    <w:rsid w:val="00490E9E"/>
    <w:rsid w:val="00491233"/>
    <w:rsid w:val="00491572"/>
    <w:rsid w:val="00491649"/>
    <w:rsid w:val="004916A5"/>
    <w:rsid w:val="004916B7"/>
    <w:rsid w:val="0049192D"/>
    <w:rsid w:val="00491B3A"/>
    <w:rsid w:val="00491BF5"/>
    <w:rsid w:val="00491EBD"/>
    <w:rsid w:val="00492180"/>
    <w:rsid w:val="0049224A"/>
    <w:rsid w:val="004926E6"/>
    <w:rsid w:val="00492747"/>
    <w:rsid w:val="00492CFD"/>
    <w:rsid w:val="00492D2E"/>
    <w:rsid w:val="00492F83"/>
    <w:rsid w:val="00493087"/>
    <w:rsid w:val="004930A2"/>
    <w:rsid w:val="00493428"/>
    <w:rsid w:val="00493814"/>
    <w:rsid w:val="00493927"/>
    <w:rsid w:val="00493CB8"/>
    <w:rsid w:val="00493D9B"/>
    <w:rsid w:val="00494127"/>
    <w:rsid w:val="00494207"/>
    <w:rsid w:val="004942DD"/>
    <w:rsid w:val="00494332"/>
    <w:rsid w:val="004944A1"/>
    <w:rsid w:val="00494717"/>
    <w:rsid w:val="0049497E"/>
    <w:rsid w:val="00494A1B"/>
    <w:rsid w:val="00494DD5"/>
    <w:rsid w:val="00494EF8"/>
    <w:rsid w:val="004952BB"/>
    <w:rsid w:val="0049557C"/>
    <w:rsid w:val="00495668"/>
    <w:rsid w:val="00495A2C"/>
    <w:rsid w:val="00495E9A"/>
    <w:rsid w:val="00495F7D"/>
    <w:rsid w:val="00495FF3"/>
    <w:rsid w:val="004960F1"/>
    <w:rsid w:val="00496218"/>
    <w:rsid w:val="004962D2"/>
    <w:rsid w:val="00496456"/>
    <w:rsid w:val="0049686D"/>
    <w:rsid w:val="00497118"/>
    <w:rsid w:val="0049734B"/>
    <w:rsid w:val="004974B3"/>
    <w:rsid w:val="004975C1"/>
    <w:rsid w:val="00497F96"/>
    <w:rsid w:val="004A0BD5"/>
    <w:rsid w:val="004A0C47"/>
    <w:rsid w:val="004A0D87"/>
    <w:rsid w:val="004A0DA1"/>
    <w:rsid w:val="004A1114"/>
    <w:rsid w:val="004A12C1"/>
    <w:rsid w:val="004A13D6"/>
    <w:rsid w:val="004A1515"/>
    <w:rsid w:val="004A17FD"/>
    <w:rsid w:val="004A1917"/>
    <w:rsid w:val="004A1B1B"/>
    <w:rsid w:val="004A1D1E"/>
    <w:rsid w:val="004A2060"/>
    <w:rsid w:val="004A2496"/>
    <w:rsid w:val="004A29A5"/>
    <w:rsid w:val="004A309C"/>
    <w:rsid w:val="004A35CE"/>
    <w:rsid w:val="004A38F2"/>
    <w:rsid w:val="004A3926"/>
    <w:rsid w:val="004A3A5F"/>
    <w:rsid w:val="004A4186"/>
    <w:rsid w:val="004A4448"/>
    <w:rsid w:val="004A4809"/>
    <w:rsid w:val="004A4C98"/>
    <w:rsid w:val="004A52E9"/>
    <w:rsid w:val="004A571F"/>
    <w:rsid w:val="004A58FA"/>
    <w:rsid w:val="004A5CE2"/>
    <w:rsid w:val="004A5CF3"/>
    <w:rsid w:val="004A6040"/>
    <w:rsid w:val="004A60C1"/>
    <w:rsid w:val="004A60ED"/>
    <w:rsid w:val="004A62BC"/>
    <w:rsid w:val="004A6597"/>
    <w:rsid w:val="004A6964"/>
    <w:rsid w:val="004A6CC8"/>
    <w:rsid w:val="004A734C"/>
    <w:rsid w:val="004A77B4"/>
    <w:rsid w:val="004A7848"/>
    <w:rsid w:val="004A793B"/>
    <w:rsid w:val="004A79D3"/>
    <w:rsid w:val="004A7F9C"/>
    <w:rsid w:val="004B0291"/>
    <w:rsid w:val="004B02BA"/>
    <w:rsid w:val="004B0C97"/>
    <w:rsid w:val="004B1314"/>
    <w:rsid w:val="004B156D"/>
    <w:rsid w:val="004B1724"/>
    <w:rsid w:val="004B183A"/>
    <w:rsid w:val="004B193E"/>
    <w:rsid w:val="004B1CB4"/>
    <w:rsid w:val="004B2CE0"/>
    <w:rsid w:val="004B2F18"/>
    <w:rsid w:val="004B3368"/>
    <w:rsid w:val="004B3A5C"/>
    <w:rsid w:val="004B3DDB"/>
    <w:rsid w:val="004B3EF5"/>
    <w:rsid w:val="004B4030"/>
    <w:rsid w:val="004B4066"/>
    <w:rsid w:val="004B40A3"/>
    <w:rsid w:val="004B40B9"/>
    <w:rsid w:val="004B44FD"/>
    <w:rsid w:val="004B4540"/>
    <w:rsid w:val="004B4638"/>
    <w:rsid w:val="004B46B8"/>
    <w:rsid w:val="004B48EE"/>
    <w:rsid w:val="004B4AD9"/>
    <w:rsid w:val="004B4B1A"/>
    <w:rsid w:val="004B4C19"/>
    <w:rsid w:val="004B4F3D"/>
    <w:rsid w:val="004B50A5"/>
    <w:rsid w:val="004B5103"/>
    <w:rsid w:val="004B5755"/>
    <w:rsid w:val="004B5CFC"/>
    <w:rsid w:val="004B5EEB"/>
    <w:rsid w:val="004B5F63"/>
    <w:rsid w:val="004B60A1"/>
    <w:rsid w:val="004B62B8"/>
    <w:rsid w:val="004B6E8A"/>
    <w:rsid w:val="004B6F79"/>
    <w:rsid w:val="004B7041"/>
    <w:rsid w:val="004B74E4"/>
    <w:rsid w:val="004B7569"/>
    <w:rsid w:val="004B76C4"/>
    <w:rsid w:val="004B774D"/>
    <w:rsid w:val="004B79B4"/>
    <w:rsid w:val="004B7A4C"/>
    <w:rsid w:val="004B7B82"/>
    <w:rsid w:val="004C0607"/>
    <w:rsid w:val="004C07F8"/>
    <w:rsid w:val="004C0AAF"/>
    <w:rsid w:val="004C10F4"/>
    <w:rsid w:val="004C13A0"/>
    <w:rsid w:val="004C1824"/>
    <w:rsid w:val="004C1C31"/>
    <w:rsid w:val="004C1C63"/>
    <w:rsid w:val="004C20C7"/>
    <w:rsid w:val="004C214D"/>
    <w:rsid w:val="004C252B"/>
    <w:rsid w:val="004C283B"/>
    <w:rsid w:val="004C2AC2"/>
    <w:rsid w:val="004C3046"/>
    <w:rsid w:val="004C339F"/>
    <w:rsid w:val="004C3680"/>
    <w:rsid w:val="004C36ED"/>
    <w:rsid w:val="004C37D4"/>
    <w:rsid w:val="004C3B02"/>
    <w:rsid w:val="004C3DAE"/>
    <w:rsid w:val="004C3F9A"/>
    <w:rsid w:val="004C417E"/>
    <w:rsid w:val="004C4A1D"/>
    <w:rsid w:val="004C4AED"/>
    <w:rsid w:val="004C4B4A"/>
    <w:rsid w:val="004C5083"/>
    <w:rsid w:val="004C5CA7"/>
    <w:rsid w:val="004C5D93"/>
    <w:rsid w:val="004C5DF4"/>
    <w:rsid w:val="004C662E"/>
    <w:rsid w:val="004C679F"/>
    <w:rsid w:val="004C6C27"/>
    <w:rsid w:val="004C6C54"/>
    <w:rsid w:val="004C7C3E"/>
    <w:rsid w:val="004C7D1A"/>
    <w:rsid w:val="004D016A"/>
    <w:rsid w:val="004D026A"/>
    <w:rsid w:val="004D075F"/>
    <w:rsid w:val="004D0C82"/>
    <w:rsid w:val="004D0D6C"/>
    <w:rsid w:val="004D0F4C"/>
    <w:rsid w:val="004D1588"/>
    <w:rsid w:val="004D1F37"/>
    <w:rsid w:val="004D1FFA"/>
    <w:rsid w:val="004D2082"/>
    <w:rsid w:val="004D2853"/>
    <w:rsid w:val="004D293B"/>
    <w:rsid w:val="004D2C2D"/>
    <w:rsid w:val="004D2FE4"/>
    <w:rsid w:val="004D3164"/>
    <w:rsid w:val="004D34DC"/>
    <w:rsid w:val="004D35E7"/>
    <w:rsid w:val="004D3657"/>
    <w:rsid w:val="004D36A0"/>
    <w:rsid w:val="004D37FB"/>
    <w:rsid w:val="004D3C23"/>
    <w:rsid w:val="004D3E5B"/>
    <w:rsid w:val="004D40F3"/>
    <w:rsid w:val="004D4253"/>
    <w:rsid w:val="004D4577"/>
    <w:rsid w:val="004D471E"/>
    <w:rsid w:val="004D4BF5"/>
    <w:rsid w:val="004D4FC7"/>
    <w:rsid w:val="004D50E5"/>
    <w:rsid w:val="004D5230"/>
    <w:rsid w:val="004D5604"/>
    <w:rsid w:val="004D5720"/>
    <w:rsid w:val="004D5891"/>
    <w:rsid w:val="004D5EC5"/>
    <w:rsid w:val="004D6646"/>
    <w:rsid w:val="004D68CA"/>
    <w:rsid w:val="004D69B5"/>
    <w:rsid w:val="004D6D0F"/>
    <w:rsid w:val="004D7227"/>
    <w:rsid w:val="004D75FC"/>
    <w:rsid w:val="004D7B5E"/>
    <w:rsid w:val="004D7B9F"/>
    <w:rsid w:val="004E0134"/>
    <w:rsid w:val="004E02FC"/>
    <w:rsid w:val="004E0E7F"/>
    <w:rsid w:val="004E0EB8"/>
    <w:rsid w:val="004E0FB2"/>
    <w:rsid w:val="004E1066"/>
    <w:rsid w:val="004E11AC"/>
    <w:rsid w:val="004E13F7"/>
    <w:rsid w:val="004E1794"/>
    <w:rsid w:val="004E18E9"/>
    <w:rsid w:val="004E18FC"/>
    <w:rsid w:val="004E1ACB"/>
    <w:rsid w:val="004E2294"/>
    <w:rsid w:val="004E22AA"/>
    <w:rsid w:val="004E2893"/>
    <w:rsid w:val="004E28BA"/>
    <w:rsid w:val="004E2A72"/>
    <w:rsid w:val="004E2A8A"/>
    <w:rsid w:val="004E2ADC"/>
    <w:rsid w:val="004E2FED"/>
    <w:rsid w:val="004E2FF3"/>
    <w:rsid w:val="004E311C"/>
    <w:rsid w:val="004E36CA"/>
    <w:rsid w:val="004E3B65"/>
    <w:rsid w:val="004E3C5A"/>
    <w:rsid w:val="004E3CCF"/>
    <w:rsid w:val="004E3E80"/>
    <w:rsid w:val="004E3E83"/>
    <w:rsid w:val="004E41ED"/>
    <w:rsid w:val="004E424A"/>
    <w:rsid w:val="004E43B2"/>
    <w:rsid w:val="004E4683"/>
    <w:rsid w:val="004E46AE"/>
    <w:rsid w:val="004E47A6"/>
    <w:rsid w:val="004E4A09"/>
    <w:rsid w:val="004E4EBC"/>
    <w:rsid w:val="004E4F56"/>
    <w:rsid w:val="004E54C5"/>
    <w:rsid w:val="004E5680"/>
    <w:rsid w:val="004E5B94"/>
    <w:rsid w:val="004E66A2"/>
    <w:rsid w:val="004E69B8"/>
    <w:rsid w:val="004E6BC5"/>
    <w:rsid w:val="004E6C63"/>
    <w:rsid w:val="004E70F3"/>
    <w:rsid w:val="004E796A"/>
    <w:rsid w:val="004E7D82"/>
    <w:rsid w:val="004E7EC6"/>
    <w:rsid w:val="004F003B"/>
    <w:rsid w:val="004F00B2"/>
    <w:rsid w:val="004F05DE"/>
    <w:rsid w:val="004F0736"/>
    <w:rsid w:val="004F09A2"/>
    <w:rsid w:val="004F0D5D"/>
    <w:rsid w:val="004F1505"/>
    <w:rsid w:val="004F1C20"/>
    <w:rsid w:val="004F1D02"/>
    <w:rsid w:val="004F2115"/>
    <w:rsid w:val="004F25AD"/>
    <w:rsid w:val="004F2679"/>
    <w:rsid w:val="004F2892"/>
    <w:rsid w:val="004F2D6C"/>
    <w:rsid w:val="004F2EC5"/>
    <w:rsid w:val="004F2EDA"/>
    <w:rsid w:val="004F2EEE"/>
    <w:rsid w:val="004F2F03"/>
    <w:rsid w:val="004F2F21"/>
    <w:rsid w:val="004F3148"/>
    <w:rsid w:val="004F31B6"/>
    <w:rsid w:val="004F3394"/>
    <w:rsid w:val="004F34A6"/>
    <w:rsid w:val="004F3854"/>
    <w:rsid w:val="004F38A9"/>
    <w:rsid w:val="004F3BEE"/>
    <w:rsid w:val="004F3C27"/>
    <w:rsid w:val="004F3DE5"/>
    <w:rsid w:val="004F4245"/>
    <w:rsid w:val="004F44EE"/>
    <w:rsid w:val="004F45C7"/>
    <w:rsid w:val="004F4AA7"/>
    <w:rsid w:val="004F5030"/>
    <w:rsid w:val="004F547E"/>
    <w:rsid w:val="004F5510"/>
    <w:rsid w:val="004F5AF3"/>
    <w:rsid w:val="004F5E2B"/>
    <w:rsid w:val="004F61A8"/>
    <w:rsid w:val="004F6723"/>
    <w:rsid w:val="004F6913"/>
    <w:rsid w:val="004F6A16"/>
    <w:rsid w:val="004F6B08"/>
    <w:rsid w:val="004F6D3A"/>
    <w:rsid w:val="004F6DDB"/>
    <w:rsid w:val="004F74EE"/>
    <w:rsid w:val="004F76DB"/>
    <w:rsid w:val="004F7865"/>
    <w:rsid w:val="004F7CED"/>
    <w:rsid w:val="004F7E43"/>
    <w:rsid w:val="004F7F00"/>
    <w:rsid w:val="005002F2"/>
    <w:rsid w:val="005003A3"/>
    <w:rsid w:val="005008D8"/>
    <w:rsid w:val="00500993"/>
    <w:rsid w:val="00500CD3"/>
    <w:rsid w:val="00501362"/>
    <w:rsid w:val="0050151F"/>
    <w:rsid w:val="00501649"/>
    <w:rsid w:val="0050174E"/>
    <w:rsid w:val="00501854"/>
    <w:rsid w:val="00501FF5"/>
    <w:rsid w:val="0050219B"/>
    <w:rsid w:val="00502603"/>
    <w:rsid w:val="005029E4"/>
    <w:rsid w:val="00502FDE"/>
    <w:rsid w:val="005030FF"/>
    <w:rsid w:val="00503112"/>
    <w:rsid w:val="005032A8"/>
    <w:rsid w:val="00503DCA"/>
    <w:rsid w:val="00503F17"/>
    <w:rsid w:val="00503F3A"/>
    <w:rsid w:val="00504509"/>
    <w:rsid w:val="00504C2B"/>
    <w:rsid w:val="0050506D"/>
    <w:rsid w:val="005055F5"/>
    <w:rsid w:val="00505D10"/>
    <w:rsid w:val="00505DAC"/>
    <w:rsid w:val="005060D9"/>
    <w:rsid w:val="00506404"/>
    <w:rsid w:val="00506545"/>
    <w:rsid w:val="0050659B"/>
    <w:rsid w:val="0050670B"/>
    <w:rsid w:val="00506843"/>
    <w:rsid w:val="00506928"/>
    <w:rsid w:val="00506939"/>
    <w:rsid w:val="00506C3F"/>
    <w:rsid w:val="00506F8F"/>
    <w:rsid w:val="005071A3"/>
    <w:rsid w:val="00507312"/>
    <w:rsid w:val="0050745D"/>
    <w:rsid w:val="005077EF"/>
    <w:rsid w:val="0050788D"/>
    <w:rsid w:val="0050790F"/>
    <w:rsid w:val="00507A43"/>
    <w:rsid w:val="00507D75"/>
    <w:rsid w:val="00507FC4"/>
    <w:rsid w:val="0051044C"/>
    <w:rsid w:val="00510471"/>
    <w:rsid w:val="005104F6"/>
    <w:rsid w:val="0051077B"/>
    <w:rsid w:val="00510940"/>
    <w:rsid w:val="00510BA5"/>
    <w:rsid w:val="00510C9B"/>
    <w:rsid w:val="0051133E"/>
    <w:rsid w:val="0051147A"/>
    <w:rsid w:val="005116E9"/>
    <w:rsid w:val="00511A03"/>
    <w:rsid w:val="00511A17"/>
    <w:rsid w:val="00511AD5"/>
    <w:rsid w:val="00511C6E"/>
    <w:rsid w:val="00511CB2"/>
    <w:rsid w:val="00511DC7"/>
    <w:rsid w:val="00511EFF"/>
    <w:rsid w:val="0051226C"/>
    <w:rsid w:val="0051229E"/>
    <w:rsid w:val="005123DD"/>
    <w:rsid w:val="00512546"/>
    <w:rsid w:val="005127F4"/>
    <w:rsid w:val="0051290E"/>
    <w:rsid w:val="00513465"/>
    <w:rsid w:val="005134DB"/>
    <w:rsid w:val="00513D6E"/>
    <w:rsid w:val="00513EF9"/>
    <w:rsid w:val="00514283"/>
    <w:rsid w:val="005142C5"/>
    <w:rsid w:val="005142C7"/>
    <w:rsid w:val="005142E3"/>
    <w:rsid w:val="0051454B"/>
    <w:rsid w:val="00514607"/>
    <w:rsid w:val="00514753"/>
    <w:rsid w:val="005147D7"/>
    <w:rsid w:val="00514B64"/>
    <w:rsid w:val="0051501B"/>
    <w:rsid w:val="00515111"/>
    <w:rsid w:val="005152B5"/>
    <w:rsid w:val="00515621"/>
    <w:rsid w:val="00515886"/>
    <w:rsid w:val="005158C3"/>
    <w:rsid w:val="00515A1C"/>
    <w:rsid w:val="00515CD0"/>
    <w:rsid w:val="00516056"/>
    <w:rsid w:val="005162B1"/>
    <w:rsid w:val="005163DB"/>
    <w:rsid w:val="00516771"/>
    <w:rsid w:val="00516B46"/>
    <w:rsid w:val="00516FA3"/>
    <w:rsid w:val="005170B5"/>
    <w:rsid w:val="00517136"/>
    <w:rsid w:val="0051738C"/>
    <w:rsid w:val="005175C0"/>
    <w:rsid w:val="00517ADF"/>
    <w:rsid w:val="00517EA4"/>
    <w:rsid w:val="00517F83"/>
    <w:rsid w:val="0052010B"/>
    <w:rsid w:val="005201AB"/>
    <w:rsid w:val="005203AB"/>
    <w:rsid w:val="005208B1"/>
    <w:rsid w:val="005209E1"/>
    <w:rsid w:val="00520F2E"/>
    <w:rsid w:val="00520F93"/>
    <w:rsid w:val="0052123C"/>
    <w:rsid w:val="0052125A"/>
    <w:rsid w:val="00521319"/>
    <w:rsid w:val="00521A84"/>
    <w:rsid w:val="00521EE8"/>
    <w:rsid w:val="00522197"/>
    <w:rsid w:val="00522230"/>
    <w:rsid w:val="005226FA"/>
    <w:rsid w:val="00522B7A"/>
    <w:rsid w:val="00522BC8"/>
    <w:rsid w:val="00523453"/>
    <w:rsid w:val="00523555"/>
    <w:rsid w:val="005236FF"/>
    <w:rsid w:val="00523C28"/>
    <w:rsid w:val="00523F14"/>
    <w:rsid w:val="005240B3"/>
    <w:rsid w:val="00524277"/>
    <w:rsid w:val="0052480B"/>
    <w:rsid w:val="00524891"/>
    <w:rsid w:val="005249D0"/>
    <w:rsid w:val="00524BD4"/>
    <w:rsid w:val="00524CC4"/>
    <w:rsid w:val="00524F21"/>
    <w:rsid w:val="005250D4"/>
    <w:rsid w:val="00525377"/>
    <w:rsid w:val="00525A70"/>
    <w:rsid w:val="00525BA0"/>
    <w:rsid w:val="00526015"/>
    <w:rsid w:val="005261FA"/>
    <w:rsid w:val="005265FC"/>
    <w:rsid w:val="00526AF5"/>
    <w:rsid w:val="00526ED3"/>
    <w:rsid w:val="005273F6"/>
    <w:rsid w:val="00527437"/>
    <w:rsid w:val="00527493"/>
    <w:rsid w:val="005276A3"/>
    <w:rsid w:val="00527AA9"/>
    <w:rsid w:val="005300C9"/>
    <w:rsid w:val="005300DC"/>
    <w:rsid w:val="005308EC"/>
    <w:rsid w:val="00530EC4"/>
    <w:rsid w:val="00530FB8"/>
    <w:rsid w:val="0053130C"/>
    <w:rsid w:val="00531538"/>
    <w:rsid w:val="0053176B"/>
    <w:rsid w:val="0053199B"/>
    <w:rsid w:val="00531B5C"/>
    <w:rsid w:val="005321C1"/>
    <w:rsid w:val="0053234F"/>
    <w:rsid w:val="005326EC"/>
    <w:rsid w:val="005329CE"/>
    <w:rsid w:val="00532B98"/>
    <w:rsid w:val="00532C91"/>
    <w:rsid w:val="00533131"/>
    <w:rsid w:val="00533216"/>
    <w:rsid w:val="0053346E"/>
    <w:rsid w:val="00533768"/>
    <w:rsid w:val="00533B2D"/>
    <w:rsid w:val="00533D23"/>
    <w:rsid w:val="00533E6A"/>
    <w:rsid w:val="005341B3"/>
    <w:rsid w:val="005343E2"/>
    <w:rsid w:val="00534481"/>
    <w:rsid w:val="005348BE"/>
    <w:rsid w:val="0053494E"/>
    <w:rsid w:val="00534B53"/>
    <w:rsid w:val="00535033"/>
    <w:rsid w:val="0053585D"/>
    <w:rsid w:val="00535CAF"/>
    <w:rsid w:val="00535E11"/>
    <w:rsid w:val="00535E94"/>
    <w:rsid w:val="00536152"/>
    <w:rsid w:val="00536F42"/>
    <w:rsid w:val="00537182"/>
    <w:rsid w:val="005371B2"/>
    <w:rsid w:val="005372F6"/>
    <w:rsid w:val="005373DB"/>
    <w:rsid w:val="0053751A"/>
    <w:rsid w:val="00537660"/>
    <w:rsid w:val="00537B0B"/>
    <w:rsid w:val="005403D7"/>
    <w:rsid w:val="00540672"/>
    <w:rsid w:val="00540709"/>
    <w:rsid w:val="00540944"/>
    <w:rsid w:val="005409D1"/>
    <w:rsid w:val="00540A04"/>
    <w:rsid w:val="00540BB8"/>
    <w:rsid w:val="005410A4"/>
    <w:rsid w:val="00541226"/>
    <w:rsid w:val="005412B0"/>
    <w:rsid w:val="0054136F"/>
    <w:rsid w:val="005415F9"/>
    <w:rsid w:val="00541646"/>
    <w:rsid w:val="00541756"/>
    <w:rsid w:val="00541DCF"/>
    <w:rsid w:val="00541EDD"/>
    <w:rsid w:val="005420B3"/>
    <w:rsid w:val="005421B7"/>
    <w:rsid w:val="005422CD"/>
    <w:rsid w:val="00542743"/>
    <w:rsid w:val="00542862"/>
    <w:rsid w:val="00542C2D"/>
    <w:rsid w:val="00542C94"/>
    <w:rsid w:val="00542FCE"/>
    <w:rsid w:val="00543057"/>
    <w:rsid w:val="00543176"/>
    <w:rsid w:val="00543428"/>
    <w:rsid w:val="0054388E"/>
    <w:rsid w:val="005439DA"/>
    <w:rsid w:val="005450D3"/>
    <w:rsid w:val="00545286"/>
    <w:rsid w:val="0054549E"/>
    <w:rsid w:val="00545699"/>
    <w:rsid w:val="00545919"/>
    <w:rsid w:val="00545EDA"/>
    <w:rsid w:val="00545FE4"/>
    <w:rsid w:val="005463A4"/>
    <w:rsid w:val="00546564"/>
    <w:rsid w:val="00546686"/>
    <w:rsid w:val="00546AA5"/>
    <w:rsid w:val="00547371"/>
    <w:rsid w:val="00547473"/>
    <w:rsid w:val="005474D1"/>
    <w:rsid w:val="005478BD"/>
    <w:rsid w:val="00547907"/>
    <w:rsid w:val="0054799B"/>
    <w:rsid w:val="005479E3"/>
    <w:rsid w:val="00547A66"/>
    <w:rsid w:val="0055063E"/>
    <w:rsid w:val="00550869"/>
    <w:rsid w:val="00550C29"/>
    <w:rsid w:val="00550C57"/>
    <w:rsid w:val="00550CE2"/>
    <w:rsid w:val="00550DD3"/>
    <w:rsid w:val="00550E69"/>
    <w:rsid w:val="00550ED1"/>
    <w:rsid w:val="00550F18"/>
    <w:rsid w:val="00551985"/>
    <w:rsid w:val="00551CB6"/>
    <w:rsid w:val="0055216A"/>
    <w:rsid w:val="0055248A"/>
    <w:rsid w:val="00552845"/>
    <w:rsid w:val="00552BD3"/>
    <w:rsid w:val="005530D6"/>
    <w:rsid w:val="005532A0"/>
    <w:rsid w:val="005533E0"/>
    <w:rsid w:val="00553C82"/>
    <w:rsid w:val="00554272"/>
    <w:rsid w:val="005542BB"/>
    <w:rsid w:val="005544C6"/>
    <w:rsid w:val="005546A7"/>
    <w:rsid w:val="00554809"/>
    <w:rsid w:val="00554B85"/>
    <w:rsid w:val="00555109"/>
    <w:rsid w:val="005553EE"/>
    <w:rsid w:val="0055574B"/>
    <w:rsid w:val="00555841"/>
    <w:rsid w:val="0055586E"/>
    <w:rsid w:val="00556182"/>
    <w:rsid w:val="005564CC"/>
    <w:rsid w:val="005567A1"/>
    <w:rsid w:val="00556881"/>
    <w:rsid w:val="00556B35"/>
    <w:rsid w:val="00556CA2"/>
    <w:rsid w:val="00556CAB"/>
    <w:rsid w:val="00556CE2"/>
    <w:rsid w:val="0055741A"/>
    <w:rsid w:val="00557445"/>
    <w:rsid w:val="00557529"/>
    <w:rsid w:val="0055770C"/>
    <w:rsid w:val="0055797B"/>
    <w:rsid w:val="00557A1A"/>
    <w:rsid w:val="00557BE1"/>
    <w:rsid w:val="00557FD7"/>
    <w:rsid w:val="0056013A"/>
    <w:rsid w:val="005602C6"/>
    <w:rsid w:val="0056034C"/>
    <w:rsid w:val="005606DD"/>
    <w:rsid w:val="00560AF0"/>
    <w:rsid w:val="00560CF8"/>
    <w:rsid w:val="005611B7"/>
    <w:rsid w:val="0056175B"/>
    <w:rsid w:val="00561880"/>
    <w:rsid w:val="005618D4"/>
    <w:rsid w:val="00561925"/>
    <w:rsid w:val="00562346"/>
    <w:rsid w:val="00562797"/>
    <w:rsid w:val="0056286D"/>
    <w:rsid w:val="00562EC2"/>
    <w:rsid w:val="005634DF"/>
    <w:rsid w:val="00563BF5"/>
    <w:rsid w:val="00563F63"/>
    <w:rsid w:val="00563FA0"/>
    <w:rsid w:val="005640E0"/>
    <w:rsid w:val="00564228"/>
    <w:rsid w:val="00564517"/>
    <w:rsid w:val="00564867"/>
    <w:rsid w:val="00564A2D"/>
    <w:rsid w:val="00564DAD"/>
    <w:rsid w:val="00564E99"/>
    <w:rsid w:val="00565600"/>
    <w:rsid w:val="00565648"/>
    <w:rsid w:val="0056569F"/>
    <w:rsid w:val="00565C76"/>
    <w:rsid w:val="00565C79"/>
    <w:rsid w:val="00565CCB"/>
    <w:rsid w:val="00565DF0"/>
    <w:rsid w:val="0056605E"/>
    <w:rsid w:val="005661E8"/>
    <w:rsid w:val="0056666F"/>
    <w:rsid w:val="00566773"/>
    <w:rsid w:val="00566878"/>
    <w:rsid w:val="0056696F"/>
    <w:rsid w:val="00567038"/>
    <w:rsid w:val="005670CA"/>
    <w:rsid w:val="00567139"/>
    <w:rsid w:val="0056716A"/>
    <w:rsid w:val="00567C59"/>
    <w:rsid w:val="0057035D"/>
    <w:rsid w:val="00570C05"/>
    <w:rsid w:val="00570CEC"/>
    <w:rsid w:val="0057138E"/>
    <w:rsid w:val="005713CE"/>
    <w:rsid w:val="00571734"/>
    <w:rsid w:val="005718E3"/>
    <w:rsid w:val="00571DBB"/>
    <w:rsid w:val="00571EF5"/>
    <w:rsid w:val="00572102"/>
    <w:rsid w:val="00572243"/>
    <w:rsid w:val="00572269"/>
    <w:rsid w:val="0057244A"/>
    <w:rsid w:val="00572871"/>
    <w:rsid w:val="00572A6C"/>
    <w:rsid w:val="00572F26"/>
    <w:rsid w:val="00573A68"/>
    <w:rsid w:val="005741F1"/>
    <w:rsid w:val="0057430D"/>
    <w:rsid w:val="005745DC"/>
    <w:rsid w:val="00574816"/>
    <w:rsid w:val="005750C5"/>
    <w:rsid w:val="005752DE"/>
    <w:rsid w:val="00575309"/>
    <w:rsid w:val="005753B9"/>
    <w:rsid w:val="005755AA"/>
    <w:rsid w:val="00575D60"/>
    <w:rsid w:val="00575D8D"/>
    <w:rsid w:val="00575E31"/>
    <w:rsid w:val="00575E63"/>
    <w:rsid w:val="00576107"/>
    <w:rsid w:val="00576972"/>
    <w:rsid w:val="00576BB0"/>
    <w:rsid w:val="00576CE7"/>
    <w:rsid w:val="00576D2B"/>
    <w:rsid w:val="00577154"/>
    <w:rsid w:val="00577248"/>
    <w:rsid w:val="005775AF"/>
    <w:rsid w:val="0057793A"/>
    <w:rsid w:val="00577B2F"/>
    <w:rsid w:val="00577D85"/>
    <w:rsid w:val="00577E2C"/>
    <w:rsid w:val="0058054F"/>
    <w:rsid w:val="005808B5"/>
    <w:rsid w:val="005809B3"/>
    <w:rsid w:val="00580DDB"/>
    <w:rsid w:val="00581C76"/>
    <w:rsid w:val="005820B5"/>
    <w:rsid w:val="005821E4"/>
    <w:rsid w:val="0058280E"/>
    <w:rsid w:val="00582C00"/>
    <w:rsid w:val="00582D4F"/>
    <w:rsid w:val="00582F92"/>
    <w:rsid w:val="00583223"/>
    <w:rsid w:val="00583458"/>
    <w:rsid w:val="005834F3"/>
    <w:rsid w:val="00583699"/>
    <w:rsid w:val="0058386C"/>
    <w:rsid w:val="00583ADE"/>
    <w:rsid w:val="00583D0E"/>
    <w:rsid w:val="00583D55"/>
    <w:rsid w:val="00583EC6"/>
    <w:rsid w:val="00583F38"/>
    <w:rsid w:val="00583F74"/>
    <w:rsid w:val="00583FF2"/>
    <w:rsid w:val="00584271"/>
    <w:rsid w:val="005843A9"/>
    <w:rsid w:val="005844D4"/>
    <w:rsid w:val="005846AF"/>
    <w:rsid w:val="00584991"/>
    <w:rsid w:val="00584A6A"/>
    <w:rsid w:val="005853F7"/>
    <w:rsid w:val="005854BC"/>
    <w:rsid w:val="00585CDD"/>
    <w:rsid w:val="00585ED4"/>
    <w:rsid w:val="00585FD1"/>
    <w:rsid w:val="0058635C"/>
    <w:rsid w:val="00586755"/>
    <w:rsid w:val="005869AB"/>
    <w:rsid w:val="00586AFC"/>
    <w:rsid w:val="00586AFE"/>
    <w:rsid w:val="00586DDB"/>
    <w:rsid w:val="00586EC6"/>
    <w:rsid w:val="00587058"/>
    <w:rsid w:val="00587091"/>
    <w:rsid w:val="00587148"/>
    <w:rsid w:val="005871D5"/>
    <w:rsid w:val="005879E3"/>
    <w:rsid w:val="00587AB1"/>
    <w:rsid w:val="00587F6F"/>
    <w:rsid w:val="0059000B"/>
    <w:rsid w:val="00591005"/>
    <w:rsid w:val="0059132A"/>
    <w:rsid w:val="0059133B"/>
    <w:rsid w:val="005913EC"/>
    <w:rsid w:val="0059145C"/>
    <w:rsid w:val="00591957"/>
    <w:rsid w:val="00592035"/>
    <w:rsid w:val="005920B9"/>
    <w:rsid w:val="005927C0"/>
    <w:rsid w:val="00592B15"/>
    <w:rsid w:val="00592D9C"/>
    <w:rsid w:val="00592FE6"/>
    <w:rsid w:val="0059304F"/>
    <w:rsid w:val="00593143"/>
    <w:rsid w:val="005938C8"/>
    <w:rsid w:val="00593D9F"/>
    <w:rsid w:val="00593E4D"/>
    <w:rsid w:val="00593E7A"/>
    <w:rsid w:val="00593F99"/>
    <w:rsid w:val="00594E4F"/>
    <w:rsid w:val="00594E59"/>
    <w:rsid w:val="00594F11"/>
    <w:rsid w:val="00595343"/>
    <w:rsid w:val="005953E7"/>
    <w:rsid w:val="005954BF"/>
    <w:rsid w:val="00595525"/>
    <w:rsid w:val="00595564"/>
    <w:rsid w:val="00595BB3"/>
    <w:rsid w:val="005963FE"/>
    <w:rsid w:val="00596563"/>
    <w:rsid w:val="005967B3"/>
    <w:rsid w:val="00596A60"/>
    <w:rsid w:val="00596B88"/>
    <w:rsid w:val="005972FD"/>
    <w:rsid w:val="0059748C"/>
    <w:rsid w:val="00597696"/>
    <w:rsid w:val="00597BF9"/>
    <w:rsid w:val="00597CD8"/>
    <w:rsid w:val="00597F2B"/>
    <w:rsid w:val="005A05F1"/>
    <w:rsid w:val="005A0AA0"/>
    <w:rsid w:val="005A0B10"/>
    <w:rsid w:val="005A0C11"/>
    <w:rsid w:val="005A0C8F"/>
    <w:rsid w:val="005A1136"/>
    <w:rsid w:val="005A1556"/>
    <w:rsid w:val="005A1578"/>
    <w:rsid w:val="005A1CAF"/>
    <w:rsid w:val="005A1E59"/>
    <w:rsid w:val="005A21AA"/>
    <w:rsid w:val="005A2985"/>
    <w:rsid w:val="005A2D46"/>
    <w:rsid w:val="005A3030"/>
    <w:rsid w:val="005A309A"/>
    <w:rsid w:val="005A32E4"/>
    <w:rsid w:val="005A3524"/>
    <w:rsid w:val="005A373D"/>
    <w:rsid w:val="005A3803"/>
    <w:rsid w:val="005A42D2"/>
    <w:rsid w:val="005A42DF"/>
    <w:rsid w:val="005A4DF8"/>
    <w:rsid w:val="005A5737"/>
    <w:rsid w:val="005A5B3F"/>
    <w:rsid w:val="005A5DB1"/>
    <w:rsid w:val="005A5F1F"/>
    <w:rsid w:val="005A60C6"/>
    <w:rsid w:val="005A6B13"/>
    <w:rsid w:val="005A6D4A"/>
    <w:rsid w:val="005A6E53"/>
    <w:rsid w:val="005A705A"/>
    <w:rsid w:val="005A71B5"/>
    <w:rsid w:val="005A75EF"/>
    <w:rsid w:val="005A7660"/>
    <w:rsid w:val="005B00C0"/>
    <w:rsid w:val="005B0436"/>
    <w:rsid w:val="005B0B58"/>
    <w:rsid w:val="005B1228"/>
    <w:rsid w:val="005B1379"/>
    <w:rsid w:val="005B23CB"/>
    <w:rsid w:val="005B2703"/>
    <w:rsid w:val="005B2888"/>
    <w:rsid w:val="005B2B18"/>
    <w:rsid w:val="005B2B5F"/>
    <w:rsid w:val="005B2C04"/>
    <w:rsid w:val="005B2EA4"/>
    <w:rsid w:val="005B333B"/>
    <w:rsid w:val="005B3576"/>
    <w:rsid w:val="005B39A9"/>
    <w:rsid w:val="005B3BFB"/>
    <w:rsid w:val="005B3EF6"/>
    <w:rsid w:val="005B4483"/>
    <w:rsid w:val="005B484F"/>
    <w:rsid w:val="005B496E"/>
    <w:rsid w:val="005B4E53"/>
    <w:rsid w:val="005B51C1"/>
    <w:rsid w:val="005B5518"/>
    <w:rsid w:val="005B5857"/>
    <w:rsid w:val="005B5AB0"/>
    <w:rsid w:val="005B5BB4"/>
    <w:rsid w:val="005B5C75"/>
    <w:rsid w:val="005B624A"/>
    <w:rsid w:val="005B684C"/>
    <w:rsid w:val="005B6874"/>
    <w:rsid w:val="005B7045"/>
    <w:rsid w:val="005B72B6"/>
    <w:rsid w:val="005B7712"/>
    <w:rsid w:val="005B785E"/>
    <w:rsid w:val="005B7A4F"/>
    <w:rsid w:val="005C04A5"/>
    <w:rsid w:val="005C083A"/>
    <w:rsid w:val="005C0D39"/>
    <w:rsid w:val="005C19C4"/>
    <w:rsid w:val="005C1B83"/>
    <w:rsid w:val="005C2373"/>
    <w:rsid w:val="005C25FF"/>
    <w:rsid w:val="005C2789"/>
    <w:rsid w:val="005C2988"/>
    <w:rsid w:val="005C2D55"/>
    <w:rsid w:val="005C2D94"/>
    <w:rsid w:val="005C2DEB"/>
    <w:rsid w:val="005C33A0"/>
    <w:rsid w:val="005C3421"/>
    <w:rsid w:val="005C346B"/>
    <w:rsid w:val="005C3561"/>
    <w:rsid w:val="005C36EE"/>
    <w:rsid w:val="005C3C09"/>
    <w:rsid w:val="005C4052"/>
    <w:rsid w:val="005C4676"/>
    <w:rsid w:val="005C4837"/>
    <w:rsid w:val="005C48AB"/>
    <w:rsid w:val="005C5410"/>
    <w:rsid w:val="005C5ABC"/>
    <w:rsid w:val="005C5DC4"/>
    <w:rsid w:val="005C5FE4"/>
    <w:rsid w:val="005C62AA"/>
    <w:rsid w:val="005C640E"/>
    <w:rsid w:val="005C64EB"/>
    <w:rsid w:val="005C6669"/>
    <w:rsid w:val="005C6FEF"/>
    <w:rsid w:val="005C7070"/>
    <w:rsid w:val="005C70EA"/>
    <w:rsid w:val="005C7138"/>
    <w:rsid w:val="005C78CD"/>
    <w:rsid w:val="005C79E6"/>
    <w:rsid w:val="005C7EED"/>
    <w:rsid w:val="005D044D"/>
    <w:rsid w:val="005D04B9"/>
    <w:rsid w:val="005D04BC"/>
    <w:rsid w:val="005D06CE"/>
    <w:rsid w:val="005D0ABD"/>
    <w:rsid w:val="005D0AF4"/>
    <w:rsid w:val="005D1418"/>
    <w:rsid w:val="005D1840"/>
    <w:rsid w:val="005D18AD"/>
    <w:rsid w:val="005D246D"/>
    <w:rsid w:val="005D24B4"/>
    <w:rsid w:val="005D26B4"/>
    <w:rsid w:val="005D2ADF"/>
    <w:rsid w:val="005D2DC9"/>
    <w:rsid w:val="005D30B1"/>
    <w:rsid w:val="005D351C"/>
    <w:rsid w:val="005D39DD"/>
    <w:rsid w:val="005D3D22"/>
    <w:rsid w:val="005D3F64"/>
    <w:rsid w:val="005D4263"/>
    <w:rsid w:val="005D4653"/>
    <w:rsid w:val="005D467C"/>
    <w:rsid w:val="005D48F4"/>
    <w:rsid w:val="005D4962"/>
    <w:rsid w:val="005D530C"/>
    <w:rsid w:val="005D58DB"/>
    <w:rsid w:val="005D5ED7"/>
    <w:rsid w:val="005D62CE"/>
    <w:rsid w:val="005D660F"/>
    <w:rsid w:val="005D6704"/>
    <w:rsid w:val="005D6E8A"/>
    <w:rsid w:val="005D70CC"/>
    <w:rsid w:val="005D7313"/>
    <w:rsid w:val="005D7520"/>
    <w:rsid w:val="005D7614"/>
    <w:rsid w:val="005D769F"/>
    <w:rsid w:val="005D7759"/>
    <w:rsid w:val="005D7D3B"/>
    <w:rsid w:val="005E06EA"/>
    <w:rsid w:val="005E07FE"/>
    <w:rsid w:val="005E1330"/>
    <w:rsid w:val="005E174C"/>
    <w:rsid w:val="005E1988"/>
    <w:rsid w:val="005E1995"/>
    <w:rsid w:val="005E1A5B"/>
    <w:rsid w:val="005E1A8E"/>
    <w:rsid w:val="005E1CCD"/>
    <w:rsid w:val="005E1F67"/>
    <w:rsid w:val="005E22AB"/>
    <w:rsid w:val="005E25E6"/>
    <w:rsid w:val="005E2637"/>
    <w:rsid w:val="005E2BC7"/>
    <w:rsid w:val="005E2E48"/>
    <w:rsid w:val="005E312D"/>
    <w:rsid w:val="005E3354"/>
    <w:rsid w:val="005E335F"/>
    <w:rsid w:val="005E34FB"/>
    <w:rsid w:val="005E3538"/>
    <w:rsid w:val="005E3748"/>
    <w:rsid w:val="005E379B"/>
    <w:rsid w:val="005E390E"/>
    <w:rsid w:val="005E398E"/>
    <w:rsid w:val="005E3EB3"/>
    <w:rsid w:val="005E3F1D"/>
    <w:rsid w:val="005E3F94"/>
    <w:rsid w:val="005E40D5"/>
    <w:rsid w:val="005E4243"/>
    <w:rsid w:val="005E4897"/>
    <w:rsid w:val="005E4909"/>
    <w:rsid w:val="005E4B0A"/>
    <w:rsid w:val="005E4E1A"/>
    <w:rsid w:val="005E4F2E"/>
    <w:rsid w:val="005E4F75"/>
    <w:rsid w:val="005E530B"/>
    <w:rsid w:val="005E5531"/>
    <w:rsid w:val="005E5548"/>
    <w:rsid w:val="005E5D68"/>
    <w:rsid w:val="005E67B1"/>
    <w:rsid w:val="005E6CBC"/>
    <w:rsid w:val="005E72FF"/>
    <w:rsid w:val="005E73C0"/>
    <w:rsid w:val="005E7909"/>
    <w:rsid w:val="005F07ED"/>
    <w:rsid w:val="005F0D16"/>
    <w:rsid w:val="005F1C5D"/>
    <w:rsid w:val="005F1E2E"/>
    <w:rsid w:val="005F1FFC"/>
    <w:rsid w:val="005F219D"/>
    <w:rsid w:val="005F230B"/>
    <w:rsid w:val="005F2706"/>
    <w:rsid w:val="005F290A"/>
    <w:rsid w:val="005F2A49"/>
    <w:rsid w:val="005F2BF8"/>
    <w:rsid w:val="005F2D98"/>
    <w:rsid w:val="005F33DD"/>
    <w:rsid w:val="005F35C2"/>
    <w:rsid w:val="005F3769"/>
    <w:rsid w:val="005F3A92"/>
    <w:rsid w:val="005F3AF4"/>
    <w:rsid w:val="005F3F2D"/>
    <w:rsid w:val="005F3F5D"/>
    <w:rsid w:val="005F456B"/>
    <w:rsid w:val="005F47E0"/>
    <w:rsid w:val="005F4A61"/>
    <w:rsid w:val="005F4A8D"/>
    <w:rsid w:val="005F4AA1"/>
    <w:rsid w:val="005F4B14"/>
    <w:rsid w:val="005F5033"/>
    <w:rsid w:val="005F58DD"/>
    <w:rsid w:val="005F5FF3"/>
    <w:rsid w:val="005F68E0"/>
    <w:rsid w:val="005F6A8F"/>
    <w:rsid w:val="005F6B73"/>
    <w:rsid w:val="005F6BB7"/>
    <w:rsid w:val="005F6D9E"/>
    <w:rsid w:val="005F6E53"/>
    <w:rsid w:val="005F7098"/>
    <w:rsid w:val="005F7513"/>
    <w:rsid w:val="005F7588"/>
    <w:rsid w:val="005F7D90"/>
    <w:rsid w:val="00600140"/>
    <w:rsid w:val="006011D2"/>
    <w:rsid w:val="0060197A"/>
    <w:rsid w:val="00601B3F"/>
    <w:rsid w:val="0060207E"/>
    <w:rsid w:val="00602227"/>
    <w:rsid w:val="0060227F"/>
    <w:rsid w:val="00602493"/>
    <w:rsid w:val="00602557"/>
    <w:rsid w:val="006025EA"/>
    <w:rsid w:val="006026EC"/>
    <w:rsid w:val="0060289B"/>
    <w:rsid w:val="006028D3"/>
    <w:rsid w:val="00602ED2"/>
    <w:rsid w:val="006030DA"/>
    <w:rsid w:val="00603593"/>
    <w:rsid w:val="006036FF"/>
    <w:rsid w:val="006037CE"/>
    <w:rsid w:val="00603CB8"/>
    <w:rsid w:val="00603D1E"/>
    <w:rsid w:val="00603DB9"/>
    <w:rsid w:val="00603F38"/>
    <w:rsid w:val="00604041"/>
    <w:rsid w:val="006043AD"/>
    <w:rsid w:val="0060443B"/>
    <w:rsid w:val="0060477A"/>
    <w:rsid w:val="00604A49"/>
    <w:rsid w:val="00604DFE"/>
    <w:rsid w:val="006052BF"/>
    <w:rsid w:val="0060567C"/>
    <w:rsid w:val="006057ED"/>
    <w:rsid w:val="00605ADC"/>
    <w:rsid w:val="00605B61"/>
    <w:rsid w:val="00605EA4"/>
    <w:rsid w:val="006062DF"/>
    <w:rsid w:val="00606427"/>
    <w:rsid w:val="00606534"/>
    <w:rsid w:val="00606BBE"/>
    <w:rsid w:val="00606D32"/>
    <w:rsid w:val="00606FBA"/>
    <w:rsid w:val="00607517"/>
    <w:rsid w:val="00607669"/>
    <w:rsid w:val="006076F4"/>
    <w:rsid w:val="00607AFD"/>
    <w:rsid w:val="00607D2F"/>
    <w:rsid w:val="006101ED"/>
    <w:rsid w:val="00610329"/>
    <w:rsid w:val="0061044C"/>
    <w:rsid w:val="00610572"/>
    <w:rsid w:val="0061060F"/>
    <w:rsid w:val="006116E6"/>
    <w:rsid w:val="00611785"/>
    <w:rsid w:val="00611B12"/>
    <w:rsid w:val="00611CDF"/>
    <w:rsid w:val="0061205E"/>
    <w:rsid w:val="0061220C"/>
    <w:rsid w:val="006127E1"/>
    <w:rsid w:val="0061288F"/>
    <w:rsid w:val="006128ED"/>
    <w:rsid w:val="00612C37"/>
    <w:rsid w:val="00612C6E"/>
    <w:rsid w:val="00612F97"/>
    <w:rsid w:val="006130A3"/>
    <w:rsid w:val="00613109"/>
    <w:rsid w:val="00613221"/>
    <w:rsid w:val="0061345D"/>
    <w:rsid w:val="0061373F"/>
    <w:rsid w:val="006139C9"/>
    <w:rsid w:val="00613A66"/>
    <w:rsid w:val="0061438A"/>
    <w:rsid w:val="00614428"/>
    <w:rsid w:val="006145F0"/>
    <w:rsid w:val="00615362"/>
    <w:rsid w:val="006153A6"/>
    <w:rsid w:val="0061549B"/>
    <w:rsid w:val="006157AF"/>
    <w:rsid w:val="0061598D"/>
    <w:rsid w:val="00615A0F"/>
    <w:rsid w:val="00615AD3"/>
    <w:rsid w:val="00615BBD"/>
    <w:rsid w:val="00616802"/>
    <w:rsid w:val="0061695F"/>
    <w:rsid w:val="00616BA0"/>
    <w:rsid w:val="00616FDD"/>
    <w:rsid w:val="00617241"/>
    <w:rsid w:val="006172DD"/>
    <w:rsid w:val="00617E12"/>
    <w:rsid w:val="00617E45"/>
    <w:rsid w:val="0062005A"/>
    <w:rsid w:val="00620243"/>
    <w:rsid w:val="00620C25"/>
    <w:rsid w:val="006213FE"/>
    <w:rsid w:val="00621477"/>
    <w:rsid w:val="00621ADA"/>
    <w:rsid w:val="006224F0"/>
    <w:rsid w:val="00622A3C"/>
    <w:rsid w:val="00622A8D"/>
    <w:rsid w:val="00622CBF"/>
    <w:rsid w:val="00622E6D"/>
    <w:rsid w:val="00622ECA"/>
    <w:rsid w:val="00622F88"/>
    <w:rsid w:val="006231E4"/>
    <w:rsid w:val="0062373A"/>
    <w:rsid w:val="0062380A"/>
    <w:rsid w:val="00623819"/>
    <w:rsid w:val="00623EB8"/>
    <w:rsid w:val="00623EEE"/>
    <w:rsid w:val="00623F7B"/>
    <w:rsid w:val="006240EE"/>
    <w:rsid w:val="006241FA"/>
    <w:rsid w:val="00624893"/>
    <w:rsid w:val="00624BD4"/>
    <w:rsid w:val="00624DC6"/>
    <w:rsid w:val="006250D2"/>
    <w:rsid w:val="00625326"/>
    <w:rsid w:val="006259C7"/>
    <w:rsid w:val="00625BEE"/>
    <w:rsid w:val="00625C60"/>
    <w:rsid w:val="00625C81"/>
    <w:rsid w:val="00626137"/>
    <w:rsid w:val="00626340"/>
    <w:rsid w:val="00626811"/>
    <w:rsid w:val="00626A36"/>
    <w:rsid w:val="00626DA2"/>
    <w:rsid w:val="00626F72"/>
    <w:rsid w:val="0062704D"/>
    <w:rsid w:val="00627592"/>
    <w:rsid w:val="00627852"/>
    <w:rsid w:val="00627A5C"/>
    <w:rsid w:val="00627D54"/>
    <w:rsid w:val="006304EB"/>
    <w:rsid w:val="00630889"/>
    <w:rsid w:val="006308DE"/>
    <w:rsid w:val="00630F16"/>
    <w:rsid w:val="00630F3D"/>
    <w:rsid w:val="0063158F"/>
    <w:rsid w:val="006315C3"/>
    <w:rsid w:val="00631700"/>
    <w:rsid w:val="00631805"/>
    <w:rsid w:val="006319A5"/>
    <w:rsid w:val="00631D6B"/>
    <w:rsid w:val="00631E17"/>
    <w:rsid w:val="00631EDD"/>
    <w:rsid w:val="00632032"/>
    <w:rsid w:val="00632183"/>
    <w:rsid w:val="006323D6"/>
    <w:rsid w:val="00632740"/>
    <w:rsid w:val="00632A97"/>
    <w:rsid w:val="00632B9D"/>
    <w:rsid w:val="00632D93"/>
    <w:rsid w:val="006330A1"/>
    <w:rsid w:val="006330AE"/>
    <w:rsid w:val="006331DB"/>
    <w:rsid w:val="0063330D"/>
    <w:rsid w:val="0063359B"/>
    <w:rsid w:val="00633A7D"/>
    <w:rsid w:val="00633E24"/>
    <w:rsid w:val="006340F5"/>
    <w:rsid w:val="0063463C"/>
    <w:rsid w:val="0063479F"/>
    <w:rsid w:val="00634A74"/>
    <w:rsid w:val="00634EC5"/>
    <w:rsid w:val="006350AE"/>
    <w:rsid w:val="006353F0"/>
    <w:rsid w:val="006357B5"/>
    <w:rsid w:val="00635F7B"/>
    <w:rsid w:val="00636058"/>
    <w:rsid w:val="006364A1"/>
    <w:rsid w:val="006365CF"/>
    <w:rsid w:val="0063678E"/>
    <w:rsid w:val="00636917"/>
    <w:rsid w:val="0063691D"/>
    <w:rsid w:val="0063694B"/>
    <w:rsid w:val="00636CF6"/>
    <w:rsid w:val="00636EEA"/>
    <w:rsid w:val="00637234"/>
    <w:rsid w:val="006373BB"/>
    <w:rsid w:val="00637473"/>
    <w:rsid w:val="006375FF"/>
    <w:rsid w:val="00637AF7"/>
    <w:rsid w:val="00637B8D"/>
    <w:rsid w:val="00637BFD"/>
    <w:rsid w:val="00637C50"/>
    <w:rsid w:val="00637C5C"/>
    <w:rsid w:val="00637CB3"/>
    <w:rsid w:val="00637D88"/>
    <w:rsid w:val="00637F61"/>
    <w:rsid w:val="006407FE"/>
    <w:rsid w:val="00640917"/>
    <w:rsid w:val="00640995"/>
    <w:rsid w:val="006409BA"/>
    <w:rsid w:val="006409F4"/>
    <w:rsid w:val="0064127C"/>
    <w:rsid w:val="00641C4E"/>
    <w:rsid w:val="00641FB3"/>
    <w:rsid w:val="0064206B"/>
    <w:rsid w:val="006420C1"/>
    <w:rsid w:val="0064212D"/>
    <w:rsid w:val="006422B0"/>
    <w:rsid w:val="006427D1"/>
    <w:rsid w:val="00642D65"/>
    <w:rsid w:val="0064313D"/>
    <w:rsid w:val="00643421"/>
    <w:rsid w:val="00643620"/>
    <w:rsid w:val="00643C53"/>
    <w:rsid w:val="0064434C"/>
    <w:rsid w:val="00644C17"/>
    <w:rsid w:val="00645394"/>
    <w:rsid w:val="00645489"/>
    <w:rsid w:val="006456DE"/>
    <w:rsid w:val="00645960"/>
    <w:rsid w:val="00645A99"/>
    <w:rsid w:val="00645DCC"/>
    <w:rsid w:val="006463EA"/>
    <w:rsid w:val="006471CC"/>
    <w:rsid w:val="006471F8"/>
    <w:rsid w:val="0064724D"/>
    <w:rsid w:val="006472FE"/>
    <w:rsid w:val="006473DD"/>
    <w:rsid w:val="006474D9"/>
    <w:rsid w:val="0064769A"/>
    <w:rsid w:val="00647A29"/>
    <w:rsid w:val="00647DA0"/>
    <w:rsid w:val="00647E5F"/>
    <w:rsid w:val="00647EF7"/>
    <w:rsid w:val="00647F77"/>
    <w:rsid w:val="00647F7B"/>
    <w:rsid w:val="00650131"/>
    <w:rsid w:val="006501C4"/>
    <w:rsid w:val="006501C9"/>
    <w:rsid w:val="00650292"/>
    <w:rsid w:val="006502D9"/>
    <w:rsid w:val="006504F4"/>
    <w:rsid w:val="0065079F"/>
    <w:rsid w:val="00650DED"/>
    <w:rsid w:val="00650E47"/>
    <w:rsid w:val="00650F18"/>
    <w:rsid w:val="00650FB3"/>
    <w:rsid w:val="0065149B"/>
    <w:rsid w:val="00651E04"/>
    <w:rsid w:val="006520F9"/>
    <w:rsid w:val="00652169"/>
    <w:rsid w:val="0065218B"/>
    <w:rsid w:val="006521CD"/>
    <w:rsid w:val="00652A28"/>
    <w:rsid w:val="00652D54"/>
    <w:rsid w:val="00652F71"/>
    <w:rsid w:val="00653201"/>
    <w:rsid w:val="006533B9"/>
    <w:rsid w:val="0065379F"/>
    <w:rsid w:val="006538BB"/>
    <w:rsid w:val="00653E7A"/>
    <w:rsid w:val="00653F51"/>
    <w:rsid w:val="00653FBD"/>
    <w:rsid w:val="00654284"/>
    <w:rsid w:val="00654328"/>
    <w:rsid w:val="006543F0"/>
    <w:rsid w:val="00654626"/>
    <w:rsid w:val="0065462C"/>
    <w:rsid w:val="00654835"/>
    <w:rsid w:val="006549A4"/>
    <w:rsid w:val="00654A3C"/>
    <w:rsid w:val="00654B97"/>
    <w:rsid w:val="00654F9B"/>
    <w:rsid w:val="00654FC8"/>
    <w:rsid w:val="0065509D"/>
    <w:rsid w:val="006550E9"/>
    <w:rsid w:val="0065511E"/>
    <w:rsid w:val="006552D2"/>
    <w:rsid w:val="006553B9"/>
    <w:rsid w:val="006553C2"/>
    <w:rsid w:val="00655708"/>
    <w:rsid w:val="00655C73"/>
    <w:rsid w:val="00655EC6"/>
    <w:rsid w:val="006560C2"/>
    <w:rsid w:val="00656188"/>
    <w:rsid w:val="0065621B"/>
    <w:rsid w:val="00656723"/>
    <w:rsid w:val="00656785"/>
    <w:rsid w:val="006568F2"/>
    <w:rsid w:val="00656D2F"/>
    <w:rsid w:val="00656FB7"/>
    <w:rsid w:val="0065715A"/>
    <w:rsid w:val="0065756A"/>
    <w:rsid w:val="0065762E"/>
    <w:rsid w:val="00657D32"/>
    <w:rsid w:val="00657E01"/>
    <w:rsid w:val="00660094"/>
    <w:rsid w:val="006601E2"/>
    <w:rsid w:val="006605AE"/>
    <w:rsid w:val="006605EA"/>
    <w:rsid w:val="00660C71"/>
    <w:rsid w:val="006610F1"/>
    <w:rsid w:val="00661460"/>
    <w:rsid w:val="00661618"/>
    <w:rsid w:val="006616FC"/>
    <w:rsid w:val="00661709"/>
    <w:rsid w:val="006617FA"/>
    <w:rsid w:val="006619EF"/>
    <w:rsid w:val="00661C6B"/>
    <w:rsid w:val="00661E12"/>
    <w:rsid w:val="00662018"/>
    <w:rsid w:val="0066237B"/>
    <w:rsid w:val="00662D3E"/>
    <w:rsid w:val="00663025"/>
    <w:rsid w:val="006634FC"/>
    <w:rsid w:val="006638CA"/>
    <w:rsid w:val="00663FEF"/>
    <w:rsid w:val="00664008"/>
    <w:rsid w:val="00664142"/>
    <w:rsid w:val="00664328"/>
    <w:rsid w:val="006644F6"/>
    <w:rsid w:val="00664887"/>
    <w:rsid w:val="00664C15"/>
    <w:rsid w:val="006650CB"/>
    <w:rsid w:val="006650D7"/>
    <w:rsid w:val="00665167"/>
    <w:rsid w:val="006652A9"/>
    <w:rsid w:val="00665397"/>
    <w:rsid w:val="006655A8"/>
    <w:rsid w:val="00665896"/>
    <w:rsid w:val="00665C33"/>
    <w:rsid w:val="00666251"/>
    <w:rsid w:val="00666D34"/>
    <w:rsid w:val="00666E4D"/>
    <w:rsid w:val="00667160"/>
    <w:rsid w:val="0066749D"/>
    <w:rsid w:val="0066759F"/>
    <w:rsid w:val="00667BE3"/>
    <w:rsid w:val="00667FA6"/>
    <w:rsid w:val="00670194"/>
    <w:rsid w:val="00670CFA"/>
    <w:rsid w:val="00670ECB"/>
    <w:rsid w:val="00671004"/>
    <w:rsid w:val="00671FBC"/>
    <w:rsid w:val="00672025"/>
    <w:rsid w:val="0067226B"/>
    <w:rsid w:val="0067240C"/>
    <w:rsid w:val="00672629"/>
    <w:rsid w:val="00672646"/>
    <w:rsid w:val="006727D5"/>
    <w:rsid w:val="00673138"/>
    <w:rsid w:val="00673551"/>
    <w:rsid w:val="006737D8"/>
    <w:rsid w:val="00673C55"/>
    <w:rsid w:val="00673EAE"/>
    <w:rsid w:val="00673EEF"/>
    <w:rsid w:val="00674466"/>
    <w:rsid w:val="006748CF"/>
    <w:rsid w:val="00674986"/>
    <w:rsid w:val="00674E42"/>
    <w:rsid w:val="00674E49"/>
    <w:rsid w:val="00674F61"/>
    <w:rsid w:val="006755B9"/>
    <w:rsid w:val="0067575A"/>
    <w:rsid w:val="006758D7"/>
    <w:rsid w:val="00675C48"/>
    <w:rsid w:val="00675C73"/>
    <w:rsid w:val="006760D4"/>
    <w:rsid w:val="0067624D"/>
    <w:rsid w:val="00676563"/>
    <w:rsid w:val="0067656C"/>
    <w:rsid w:val="0067669B"/>
    <w:rsid w:val="006767B8"/>
    <w:rsid w:val="0067684A"/>
    <w:rsid w:val="0067725A"/>
    <w:rsid w:val="00677443"/>
    <w:rsid w:val="006775D4"/>
    <w:rsid w:val="00677952"/>
    <w:rsid w:val="00677E8D"/>
    <w:rsid w:val="00677EE1"/>
    <w:rsid w:val="00677F44"/>
    <w:rsid w:val="00677FA5"/>
    <w:rsid w:val="006800C1"/>
    <w:rsid w:val="00680515"/>
    <w:rsid w:val="006806B6"/>
    <w:rsid w:val="006806F3"/>
    <w:rsid w:val="00680942"/>
    <w:rsid w:val="00680C45"/>
    <w:rsid w:val="0068123B"/>
    <w:rsid w:val="006813F8"/>
    <w:rsid w:val="006815E3"/>
    <w:rsid w:val="00681611"/>
    <w:rsid w:val="00681B06"/>
    <w:rsid w:val="00681D2F"/>
    <w:rsid w:val="00682023"/>
    <w:rsid w:val="00682112"/>
    <w:rsid w:val="00682859"/>
    <w:rsid w:val="006829D5"/>
    <w:rsid w:val="00682BA6"/>
    <w:rsid w:val="00682D8F"/>
    <w:rsid w:val="00682DF0"/>
    <w:rsid w:val="00682EF5"/>
    <w:rsid w:val="00683693"/>
    <w:rsid w:val="00683AC0"/>
    <w:rsid w:val="00683C55"/>
    <w:rsid w:val="006843EA"/>
    <w:rsid w:val="00684627"/>
    <w:rsid w:val="00684877"/>
    <w:rsid w:val="00684DBB"/>
    <w:rsid w:val="006857F4"/>
    <w:rsid w:val="00685AC6"/>
    <w:rsid w:val="00685BFA"/>
    <w:rsid w:val="00685F69"/>
    <w:rsid w:val="00686077"/>
    <w:rsid w:val="0068657D"/>
    <w:rsid w:val="006867C3"/>
    <w:rsid w:val="00686957"/>
    <w:rsid w:val="00686CA0"/>
    <w:rsid w:val="00686E66"/>
    <w:rsid w:val="00686F8B"/>
    <w:rsid w:val="006872BA"/>
    <w:rsid w:val="006874B3"/>
    <w:rsid w:val="0068755D"/>
    <w:rsid w:val="00687E8C"/>
    <w:rsid w:val="0069021F"/>
    <w:rsid w:val="0069043B"/>
    <w:rsid w:val="00690639"/>
    <w:rsid w:val="00690696"/>
    <w:rsid w:val="006906F8"/>
    <w:rsid w:val="00690792"/>
    <w:rsid w:val="00690795"/>
    <w:rsid w:val="00690C5B"/>
    <w:rsid w:val="00690D6E"/>
    <w:rsid w:val="00691135"/>
    <w:rsid w:val="00691583"/>
    <w:rsid w:val="00691648"/>
    <w:rsid w:val="006917D7"/>
    <w:rsid w:val="00691BFB"/>
    <w:rsid w:val="006920DB"/>
    <w:rsid w:val="006921F4"/>
    <w:rsid w:val="006924AC"/>
    <w:rsid w:val="00692746"/>
    <w:rsid w:val="00692797"/>
    <w:rsid w:val="00692D9E"/>
    <w:rsid w:val="006933A6"/>
    <w:rsid w:val="006937AF"/>
    <w:rsid w:val="00693C1B"/>
    <w:rsid w:val="00693C31"/>
    <w:rsid w:val="00693C4C"/>
    <w:rsid w:val="00693C8E"/>
    <w:rsid w:val="00693EBA"/>
    <w:rsid w:val="0069434B"/>
    <w:rsid w:val="0069434C"/>
    <w:rsid w:val="006943A7"/>
    <w:rsid w:val="006947CF"/>
    <w:rsid w:val="00694806"/>
    <w:rsid w:val="00694A17"/>
    <w:rsid w:val="00694B6F"/>
    <w:rsid w:val="00694F44"/>
    <w:rsid w:val="00695458"/>
    <w:rsid w:val="00695555"/>
    <w:rsid w:val="006955EC"/>
    <w:rsid w:val="006957A3"/>
    <w:rsid w:val="00695940"/>
    <w:rsid w:val="00695A5B"/>
    <w:rsid w:val="00695DD8"/>
    <w:rsid w:val="00695E8A"/>
    <w:rsid w:val="0069660E"/>
    <w:rsid w:val="00696EF9"/>
    <w:rsid w:val="00696F51"/>
    <w:rsid w:val="00696FAA"/>
    <w:rsid w:val="006978B0"/>
    <w:rsid w:val="006979A5"/>
    <w:rsid w:val="006A016F"/>
    <w:rsid w:val="006A0792"/>
    <w:rsid w:val="006A0D0D"/>
    <w:rsid w:val="006A0DF7"/>
    <w:rsid w:val="006A1101"/>
    <w:rsid w:val="006A11DC"/>
    <w:rsid w:val="006A1241"/>
    <w:rsid w:val="006A13C2"/>
    <w:rsid w:val="006A1491"/>
    <w:rsid w:val="006A19CF"/>
    <w:rsid w:val="006A215C"/>
    <w:rsid w:val="006A21FF"/>
    <w:rsid w:val="006A2347"/>
    <w:rsid w:val="006A2572"/>
    <w:rsid w:val="006A2699"/>
    <w:rsid w:val="006A2E11"/>
    <w:rsid w:val="006A2FDD"/>
    <w:rsid w:val="006A323F"/>
    <w:rsid w:val="006A3291"/>
    <w:rsid w:val="006A360F"/>
    <w:rsid w:val="006A3694"/>
    <w:rsid w:val="006A3B90"/>
    <w:rsid w:val="006A3BC5"/>
    <w:rsid w:val="006A3D1D"/>
    <w:rsid w:val="006A3D4C"/>
    <w:rsid w:val="006A4321"/>
    <w:rsid w:val="006A43D9"/>
    <w:rsid w:val="006A44FF"/>
    <w:rsid w:val="006A52B9"/>
    <w:rsid w:val="006A567F"/>
    <w:rsid w:val="006A56D3"/>
    <w:rsid w:val="006A62A3"/>
    <w:rsid w:val="006A62DD"/>
    <w:rsid w:val="006A6AA6"/>
    <w:rsid w:val="006A6B1E"/>
    <w:rsid w:val="006A6B99"/>
    <w:rsid w:val="006A6BA5"/>
    <w:rsid w:val="006A6EC7"/>
    <w:rsid w:val="006A7254"/>
    <w:rsid w:val="006A752A"/>
    <w:rsid w:val="006A7919"/>
    <w:rsid w:val="006A793B"/>
    <w:rsid w:val="006A7C4B"/>
    <w:rsid w:val="006A7E5F"/>
    <w:rsid w:val="006B0809"/>
    <w:rsid w:val="006B0D1A"/>
    <w:rsid w:val="006B1133"/>
    <w:rsid w:val="006B14AB"/>
    <w:rsid w:val="006B1ACD"/>
    <w:rsid w:val="006B1D3D"/>
    <w:rsid w:val="006B1FB0"/>
    <w:rsid w:val="006B1FF1"/>
    <w:rsid w:val="006B23A9"/>
    <w:rsid w:val="006B23D0"/>
    <w:rsid w:val="006B258C"/>
    <w:rsid w:val="006B261B"/>
    <w:rsid w:val="006B2933"/>
    <w:rsid w:val="006B2C90"/>
    <w:rsid w:val="006B2F29"/>
    <w:rsid w:val="006B35E6"/>
    <w:rsid w:val="006B3A1E"/>
    <w:rsid w:val="006B465A"/>
    <w:rsid w:val="006B46A3"/>
    <w:rsid w:val="006B4826"/>
    <w:rsid w:val="006B4920"/>
    <w:rsid w:val="006B4AFF"/>
    <w:rsid w:val="006B4D01"/>
    <w:rsid w:val="006B4D4F"/>
    <w:rsid w:val="006B4F3A"/>
    <w:rsid w:val="006B4FD7"/>
    <w:rsid w:val="006B5191"/>
    <w:rsid w:val="006B533D"/>
    <w:rsid w:val="006B5616"/>
    <w:rsid w:val="006B64C4"/>
    <w:rsid w:val="006B69CE"/>
    <w:rsid w:val="006B6A2F"/>
    <w:rsid w:val="006B6D47"/>
    <w:rsid w:val="006B6D94"/>
    <w:rsid w:val="006B6DD0"/>
    <w:rsid w:val="006B6E9E"/>
    <w:rsid w:val="006B716D"/>
    <w:rsid w:val="006B7279"/>
    <w:rsid w:val="006B72A2"/>
    <w:rsid w:val="006B73DB"/>
    <w:rsid w:val="006B781B"/>
    <w:rsid w:val="006B7AA3"/>
    <w:rsid w:val="006B7B4D"/>
    <w:rsid w:val="006C00A6"/>
    <w:rsid w:val="006C022A"/>
    <w:rsid w:val="006C0399"/>
    <w:rsid w:val="006C0536"/>
    <w:rsid w:val="006C07AF"/>
    <w:rsid w:val="006C08C0"/>
    <w:rsid w:val="006C0DC0"/>
    <w:rsid w:val="006C0ECE"/>
    <w:rsid w:val="006C139B"/>
    <w:rsid w:val="006C1554"/>
    <w:rsid w:val="006C1650"/>
    <w:rsid w:val="006C16D3"/>
    <w:rsid w:val="006C1B95"/>
    <w:rsid w:val="006C1CF2"/>
    <w:rsid w:val="006C1DC1"/>
    <w:rsid w:val="006C229D"/>
    <w:rsid w:val="006C23EB"/>
    <w:rsid w:val="006C2860"/>
    <w:rsid w:val="006C2913"/>
    <w:rsid w:val="006C2A8E"/>
    <w:rsid w:val="006C3255"/>
    <w:rsid w:val="006C340F"/>
    <w:rsid w:val="006C3432"/>
    <w:rsid w:val="006C3750"/>
    <w:rsid w:val="006C37D2"/>
    <w:rsid w:val="006C3E50"/>
    <w:rsid w:val="006C3E56"/>
    <w:rsid w:val="006C3F26"/>
    <w:rsid w:val="006C3F81"/>
    <w:rsid w:val="006C40F2"/>
    <w:rsid w:val="006C421D"/>
    <w:rsid w:val="006C43D7"/>
    <w:rsid w:val="006C4905"/>
    <w:rsid w:val="006C4BBB"/>
    <w:rsid w:val="006C4C53"/>
    <w:rsid w:val="006C5251"/>
    <w:rsid w:val="006C5591"/>
    <w:rsid w:val="006C5979"/>
    <w:rsid w:val="006C62D8"/>
    <w:rsid w:val="006C6AA3"/>
    <w:rsid w:val="006C6AD5"/>
    <w:rsid w:val="006C6B8A"/>
    <w:rsid w:val="006C6EC4"/>
    <w:rsid w:val="006C727B"/>
    <w:rsid w:val="006C74B2"/>
    <w:rsid w:val="006C76C2"/>
    <w:rsid w:val="006C7AFB"/>
    <w:rsid w:val="006C7BC5"/>
    <w:rsid w:val="006D01B9"/>
    <w:rsid w:val="006D02EE"/>
    <w:rsid w:val="006D03FD"/>
    <w:rsid w:val="006D0A48"/>
    <w:rsid w:val="006D0A77"/>
    <w:rsid w:val="006D0D15"/>
    <w:rsid w:val="006D0D17"/>
    <w:rsid w:val="006D125C"/>
    <w:rsid w:val="006D1FAF"/>
    <w:rsid w:val="006D2325"/>
    <w:rsid w:val="006D2964"/>
    <w:rsid w:val="006D2A8E"/>
    <w:rsid w:val="006D2CE8"/>
    <w:rsid w:val="006D2D1F"/>
    <w:rsid w:val="006D32D6"/>
    <w:rsid w:val="006D341A"/>
    <w:rsid w:val="006D3850"/>
    <w:rsid w:val="006D3C12"/>
    <w:rsid w:val="006D3C7D"/>
    <w:rsid w:val="006D4353"/>
    <w:rsid w:val="006D43AE"/>
    <w:rsid w:val="006D4409"/>
    <w:rsid w:val="006D44DD"/>
    <w:rsid w:val="006D45A8"/>
    <w:rsid w:val="006D4659"/>
    <w:rsid w:val="006D486C"/>
    <w:rsid w:val="006D4937"/>
    <w:rsid w:val="006D4A68"/>
    <w:rsid w:val="006D4A99"/>
    <w:rsid w:val="006D4C1E"/>
    <w:rsid w:val="006D4D1E"/>
    <w:rsid w:val="006D5074"/>
    <w:rsid w:val="006D56BF"/>
    <w:rsid w:val="006D5CB2"/>
    <w:rsid w:val="006D5D5F"/>
    <w:rsid w:val="006D5F7A"/>
    <w:rsid w:val="006D600C"/>
    <w:rsid w:val="006D6228"/>
    <w:rsid w:val="006D6244"/>
    <w:rsid w:val="006D65FD"/>
    <w:rsid w:val="006D68D5"/>
    <w:rsid w:val="006D68FB"/>
    <w:rsid w:val="006D7475"/>
    <w:rsid w:val="006D74AF"/>
    <w:rsid w:val="006D74D0"/>
    <w:rsid w:val="006D74D9"/>
    <w:rsid w:val="006D7BF6"/>
    <w:rsid w:val="006E018A"/>
    <w:rsid w:val="006E0905"/>
    <w:rsid w:val="006E0F33"/>
    <w:rsid w:val="006E11B5"/>
    <w:rsid w:val="006E16E5"/>
    <w:rsid w:val="006E1D63"/>
    <w:rsid w:val="006E205A"/>
    <w:rsid w:val="006E21F9"/>
    <w:rsid w:val="006E2493"/>
    <w:rsid w:val="006E25DB"/>
    <w:rsid w:val="006E2868"/>
    <w:rsid w:val="006E2B5E"/>
    <w:rsid w:val="006E2DB3"/>
    <w:rsid w:val="006E2F28"/>
    <w:rsid w:val="006E2F2D"/>
    <w:rsid w:val="006E30BA"/>
    <w:rsid w:val="006E349D"/>
    <w:rsid w:val="006E3791"/>
    <w:rsid w:val="006E39B1"/>
    <w:rsid w:val="006E423D"/>
    <w:rsid w:val="006E4576"/>
    <w:rsid w:val="006E4670"/>
    <w:rsid w:val="006E46A5"/>
    <w:rsid w:val="006E46DC"/>
    <w:rsid w:val="006E497C"/>
    <w:rsid w:val="006E4A1A"/>
    <w:rsid w:val="006E4D3D"/>
    <w:rsid w:val="006E4D91"/>
    <w:rsid w:val="006E4DBD"/>
    <w:rsid w:val="006E4DD9"/>
    <w:rsid w:val="006E4E53"/>
    <w:rsid w:val="006E5676"/>
    <w:rsid w:val="006E6626"/>
    <w:rsid w:val="006E6E4F"/>
    <w:rsid w:val="006E6F82"/>
    <w:rsid w:val="006E6FB0"/>
    <w:rsid w:val="006E71BC"/>
    <w:rsid w:val="006E7360"/>
    <w:rsid w:val="006E7649"/>
    <w:rsid w:val="006E76A2"/>
    <w:rsid w:val="006E7880"/>
    <w:rsid w:val="006E7E90"/>
    <w:rsid w:val="006F0A51"/>
    <w:rsid w:val="006F112C"/>
    <w:rsid w:val="006F15F7"/>
    <w:rsid w:val="006F1A62"/>
    <w:rsid w:val="006F1CEB"/>
    <w:rsid w:val="006F1D89"/>
    <w:rsid w:val="006F1E74"/>
    <w:rsid w:val="006F20EA"/>
    <w:rsid w:val="006F215A"/>
    <w:rsid w:val="006F24CA"/>
    <w:rsid w:val="006F28E2"/>
    <w:rsid w:val="006F2C52"/>
    <w:rsid w:val="006F2FD7"/>
    <w:rsid w:val="006F306C"/>
    <w:rsid w:val="006F36A0"/>
    <w:rsid w:val="006F3A9F"/>
    <w:rsid w:val="006F3ECA"/>
    <w:rsid w:val="006F434F"/>
    <w:rsid w:val="006F43C6"/>
    <w:rsid w:val="006F4631"/>
    <w:rsid w:val="006F47AA"/>
    <w:rsid w:val="006F48DE"/>
    <w:rsid w:val="006F4B85"/>
    <w:rsid w:val="006F5000"/>
    <w:rsid w:val="006F5089"/>
    <w:rsid w:val="006F512C"/>
    <w:rsid w:val="006F55C5"/>
    <w:rsid w:val="006F56CB"/>
    <w:rsid w:val="006F56FC"/>
    <w:rsid w:val="006F5DDC"/>
    <w:rsid w:val="006F6194"/>
    <w:rsid w:val="006F6318"/>
    <w:rsid w:val="006F63A5"/>
    <w:rsid w:val="006F649A"/>
    <w:rsid w:val="006F6929"/>
    <w:rsid w:val="006F6C98"/>
    <w:rsid w:val="006F6DBB"/>
    <w:rsid w:val="006F7085"/>
    <w:rsid w:val="006F70D3"/>
    <w:rsid w:val="006F722D"/>
    <w:rsid w:val="006F7494"/>
    <w:rsid w:val="006F7877"/>
    <w:rsid w:val="00700225"/>
    <w:rsid w:val="00700476"/>
    <w:rsid w:val="0070080E"/>
    <w:rsid w:val="00700BED"/>
    <w:rsid w:val="00700E1B"/>
    <w:rsid w:val="00700E6F"/>
    <w:rsid w:val="00701168"/>
    <w:rsid w:val="0070142B"/>
    <w:rsid w:val="00701781"/>
    <w:rsid w:val="00701A26"/>
    <w:rsid w:val="00701B36"/>
    <w:rsid w:val="00701F80"/>
    <w:rsid w:val="00702577"/>
    <w:rsid w:val="0070276E"/>
    <w:rsid w:val="007028CC"/>
    <w:rsid w:val="00702B4F"/>
    <w:rsid w:val="00702BCA"/>
    <w:rsid w:val="00702F8F"/>
    <w:rsid w:val="00702F99"/>
    <w:rsid w:val="00703271"/>
    <w:rsid w:val="00703557"/>
    <w:rsid w:val="00703689"/>
    <w:rsid w:val="00703A0F"/>
    <w:rsid w:val="00703A1F"/>
    <w:rsid w:val="00703AB5"/>
    <w:rsid w:val="00703B2C"/>
    <w:rsid w:val="00703C65"/>
    <w:rsid w:val="00703C89"/>
    <w:rsid w:val="00703EB9"/>
    <w:rsid w:val="00703F98"/>
    <w:rsid w:val="007046F8"/>
    <w:rsid w:val="0070479B"/>
    <w:rsid w:val="007048EB"/>
    <w:rsid w:val="00704AC1"/>
    <w:rsid w:val="00704E31"/>
    <w:rsid w:val="00704E79"/>
    <w:rsid w:val="0070502F"/>
    <w:rsid w:val="0070537C"/>
    <w:rsid w:val="007055A3"/>
    <w:rsid w:val="00705966"/>
    <w:rsid w:val="00705B41"/>
    <w:rsid w:val="00705C86"/>
    <w:rsid w:val="00705D37"/>
    <w:rsid w:val="0070625C"/>
    <w:rsid w:val="00706694"/>
    <w:rsid w:val="0070674E"/>
    <w:rsid w:val="007067CF"/>
    <w:rsid w:val="00706E74"/>
    <w:rsid w:val="00706F52"/>
    <w:rsid w:val="00706FE0"/>
    <w:rsid w:val="007070DB"/>
    <w:rsid w:val="00707512"/>
    <w:rsid w:val="00707646"/>
    <w:rsid w:val="007079FC"/>
    <w:rsid w:val="00707B26"/>
    <w:rsid w:val="00707DE9"/>
    <w:rsid w:val="00707E1B"/>
    <w:rsid w:val="0071033A"/>
    <w:rsid w:val="00710360"/>
    <w:rsid w:val="00710460"/>
    <w:rsid w:val="007109E9"/>
    <w:rsid w:val="00710BAF"/>
    <w:rsid w:val="00710C1F"/>
    <w:rsid w:val="00710DE4"/>
    <w:rsid w:val="00710E6C"/>
    <w:rsid w:val="00711173"/>
    <w:rsid w:val="0071151F"/>
    <w:rsid w:val="0071152E"/>
    <w:rsid w:val="007119BD"/>
    <w:rsid w:val="00711A22"/>
    <w:rsid w:val="00711A31"/>
    <w:rsid w:val="00711A36"/>
    <w:rsid w:val="00711F3C"/>
    <w:rsid w:val="007120AB"/>
    <w:rsid w:val="007123D2"/>
    <w:rsid w:val="007125D3"/>
    <w:rsid w:val="0071264E"/>
    <w:rsid w:val="00712B9B"/>
    <w:rsid w:val="00712E08"/>
    <w:rsid w:val="00713411"/>
    <w:rsid w:val="0071343C"/>
    <w:rsid w:val="007136B3"/>
    <w:rsid w:val="007139B6"/>
    <w:rsid w:val="00713D1B"/>
    <w:rsid w:val="0071404F"/>
    <w:rsid w:val="0071405A"/>
    <w:rsid w:val="00714087"/>
    <w:rsid w:val="00714731"/>
    <w:rsid w:val="007149BE"/>
    <w:rsid w:val="007149E5"/>
    <w:rsid w:val="00714A06"/>
    <w:rsid w:val="00714C26"/>
    <w:rsid w:val="00714ED6"/>
    <w:rsid w:val="00714EF9"/>
    <w:rsid w:val="0071529C"/>
    <w:rsid w:val="0071545E"/>
    <w:rsid w:val="00715A3C"/>
    <w:rsid w:val="00715B90"/>
    <w:rsid w:val="0071620A"/>
    <w:rsid w:val="0071638E"/>
    <w:rsid w:val="00716A3B"/>
    <w:rsid w:val="00716B03"/>
    <w:rsid w:val="00716C75"/>
    <w:rsid w:val="00716D07"/>
    <w:rsid w:val="00716D13"/>
    <w:rsid w:val="00717000"/>
    <w:rsid w:val="00717078"/>
    <w:rsid w:val="007170DA"/>
    <w:rsid w:val="007172AD"/>
    <w:rsid w:val="00717492"/>
    <w:rsid w:val="00717546"/>
    <w:rsid w:val="00717C52"/>
    <w:rsid w:val="00717DB3"/>
    <w:rsid w:val="00720533"/>
    <w:rsid w:val="00720777"/>
    <w:rsid w:val="00720801"/>
    <w:rsid w:val="00720935"/>
    <w:rsid w:val="00720FB7"/>
    <w:rsid w:val="007212BC"/>
    <w:rsid w:val="0072142C"/>
    <w:rsid w:val="00721820"/>
    <w:rsid w:val="00722AC2"/>
    <w:rsid w:val="00722B1B"/>
    <w:rsid w:val="00722F2D"/>
    <w:rsid w:val="007231BF"/>
    <w:rsid w:val="00723211"/>
    <w:rsid w:val="0072360B"/>
    <w:rsid w:val="00723C50"/>
    <w:rsid w:val="00723F0D"/>
    <w:rsid w:val="00723F1A"/>
    <w:rsid w:val="0072416F"/>
    <w:rsid w:val="00724250"/>
    <w:rsid w:val="00724269"/>
    <w:rsid w:val="00724295"/>
    <w:rsid w:val="0072446D"/>
    <w:rsid w:val="00724681"/>
    <w:rsid w:val="007246E2"/>
    <w:rsid w:val="00724AD2"/>
    <w:rsid w:val="00724C94"/>
    <w:rsid w:val="00725071"/>
    <w:rsid w:val="00725155"/>
    <w:rsid w:val="007258AB"/>
    <w:rsid w:val="0072656F"/>
    <w:rsid w:val="007268DE"/>
    <w:rsid w:val="00726A1D"/>
    <w:rsid w:val="0072776A"/>
    <w:rsid w:val="00727A29"/>
    <w:rsid w:val="00727C94"/>
    <w:rsid w:val="00727E84"/>
    <w:rsid w:val="00730032"/>
    <w:rsid w:val="007306A3"/>
    <w:rsid w:val="00730717"/>
    <w:rsid w:val="00730B63"/>
    <w:rsid w:val="00730CCD"/>
    <w:rsid w:val="00730E32"/>
    <w:rsid w:val="00731052"/>
    <w:rsid w:val="0073117F"/>
    <w:rsid w:val="007313F9"/>
    <w:rsid w:val="0073145C"/>
    <w:rsid w:val="0073153E"/>
    <w:rsid w:val="00731B0A"/>
    <w:rsid w:val="00731BA9"/>
    <w:rsid w:val="00731E85"/>
    <w:rsid w:val="00731EAE"/>
    <w:rsid w:val="007324A4"/>
    <w:rsid w:val="00732B89"/>
    <w:rsid w:val="00732EB7"/>
    <w:rsid w:val="00733047"/>
    <w:rsid w:val="00733073"/>
    <w:rsid w:val="00733A2F"/>
    <w:rsid w:val="00733D7C"/>
    <w:rsid w:val="00733E6F"/>
    <w:rsid w:val="00733F73"/>
    <w:rsid w:val="00734087"/>
    <w:rsid w:val="00734120"/>
    <w:rsid w:val="0073418C"/>
    <w:rsid w:val="00734717"/>
    <w:rsid w:val="00734BEC"/>
    <w:rsid w:val="00735033"/>
    <w:rsid w:val="007350F8"/>
    <w:rsid w:val="00735116"/>
    <w:rsid w:val="00735328"/>
    <w:rsid w:val="007354A2"/>
    <w:rsid w:val="00735599"/>
    <w:rsid w:val="00735644"/>
    <w:rsid w:val="007358BE"/>
    <w:rsid w:val="00735A23"/>
    <w:rsid w:val="00735FF3"/>
    <w:rsid w:val="007362CA"/>
    <w:rsid w:val="00736451"/>
    <w:rsid w:val="0073685B"/>
    <w:rsid w:val="00736ABD"/>
    <w:rsid w:val="00736AC1"/>
    <w:rsid w:val="00736C8A"/>
    <w:rsid w:val="007375C9"/>
    <w:rsid w:val="00737618"/>
    <w:rsid w:val="00737757"/>
    <w:rsid w:val="0073782F"/>
    <w:rsid w:val="00737C5E"/>
    <w:rsid w:val="00737ECF"/>
    <w:rsid w:val="007401CF"/>
    <w:rsid w:val="0074025C"/>
    <w:rsid w:val="00740398"/>
    <w:rsid w:val="00740736"/>
    <w:rsid w:val="0074094B"/>
    <w:rsid w:val="00740EE9"/>
    <w:rsid w:val="00741196"/>
    <w:rsid w:val="0074127E"/>
    <w:rsid w:val="007415A3"/>
    <w:rsid w:val="00741A26"/>
    <w:rsid w:val="007420ED"/>
    <w:rsid w:val="00742704"/>
    <w:rsid w:val="0074274C"/>
    <w:rsid w:val="00742C7A"/>
    <w:rsid w:val="00742D2B"/>
    <w:rsid w:val="0074357C"/>
    <w:rsid w:val="0074368B"/>
    <w:rsid w:val="0074395B"/>
    <w:rsid w:val="007439C5"/>
    <w:rsid w:val="00743A6D"/>
    <w:rsid w:val="00743A78"/>
    <w:rsid w:val="00743F8C"/>
    <w:rsid w:val="00744256"/>
    <w:rsid w:val="00744285"/>
    <w:rsid w:val="00744836"/>
    <w:rsid w:val="007448B1"/>
    <w:rsid w:val="007448EA"/>
    <w:rsid w:val="007449BF"/>
    <w:rsid w:val="00745332"/>
    <w:rsid w:val="00745469"/>
    <w:rsid w:val="0074578A"/>
    <w:rsid w:val="00745FA8"/>
    <w:rsid w:val="007460F9"/>
    <w:rsid w:val="007463FE"/>
    <w:rsid w:val="007464CB"/>
    <w:rsid w:val="007465CF"/>
    <w:rsid w:val="007465D0"/>
    <w:rsid w:val="00746758"/>
    <w:rsid w:val="007468C4"/>
    <w:rsid w:val="00746A71"/>
    <w:rsid w:val="00746B3C"/>
    <w:rsid w:val="00746BC0"/>
    <w:rsid w:val="00746DB3"/>
    <w:rsid w:val="0074715D"/>
    <w:rsid w:val="0074725D"/>
    <w:rsid w:val="007475EC"/>
    <w:rsid w:val="00747BD7"/>
    <w:rsid w:val="00747DBC"/>
    <w:rsid w:val="0075030D"/>
    <w:rsid w:val="007509BF"/>
    <w:rsid w:val="00750C46"/>
    <w:rsid w:val="007510B4"/>
    <w:rsid w:val="007510F1"/>
    <w:rsid w:val="007512C7"/>
    <w:rsid w:val="00751337"/>
    <w:rsid w:val="0075151B"/>
    <w:rsid w:val="00751643"/>
    <w:rsid w:val="00751B18"/>
    <w:rsid w:val="00751C39"/>
    <w:rsid w:val="00751D29"/>
    <w:rsid w:val="00752142"/>
    <w:rsid w:val="007523F9"/>
    <w:rsid w:val="0075252F"/>
    <w:rsid w:val="00752937"/>
    <w:rsid w:val="0075343F"/>
    <w:rsid w:val="0075357E"/>
    <w:rsid w:val="007538F5"/>
    <w:rsid w:val="00753B29"/>
    <w:rsid w:val="00753E50"/>
    <w:rsid w:val="007540EA"/>
    <w:rsid w:val="007544CA"/>
    <w:rsid w:val="00754FA4"/>
    <w:rsid w:val="00755585"/>
    <w:rsid w:val="007555AD"/>
    <w:rsid w:val="007555B6"/>
    <w:rsid w:val="007555F2"/>
    <w:rsid w:val="00755E5D"/>
    <w:rsid w:val="007566AA"/>
    <w:rsid w:val="007569B9"/>
    <w:rsid w:val="00756A01"/>
    <w:rsid w:val="00756C16"/>
    <w:rsid w:val="007572E5"/>
    <w:rsid w:val="007572F3"/>
    <w:rsid w:val="007573E8"/>
    <w:rsid w:val="007579C3"/>
    <w:rsid w:val="007579CF"/>
    <w:rsid w:val="00757F3B"/>
    <w:rsid w:val="0075C528"/>
    <w:rsid w:val="00760280"/>
    <w:rsid w:val="00760385"/>
    <w:rsid w:val="00760511"/>
    <w:rsid w:val="00760C4E"/>
    <w:rsid w:val="00760DF7"/>
    <w:rsid w:val="00760EA8"/>
    <w:rsid w:val="00760F9E"/>
    <w:rsid w:val="0076100C"/>
    <w:rsid w:val="007615CE"/>
    <w:rsid w:val="007616E6"/>
    <w:rsid w:val="00761B39"/>
    <w:rsid w:val="00761B7F"/>
    <w:rsid w:val="00761C4F"/>
    <w:rsid w:val="00762465"/>
    <w:rsid w:val="00762577"/>
    <w:rsid w:val="007625D8"/>
    <w:rsid w:val="00762776"/>
    <w:rsid w:val="007627BE"/>
    <w:rsid w:val="00762BC9"/>
    <w:rsid w:val="00762C2D"/>
    <w:rsid w:val="00762D71"/>
    <w:rsid w:val="00762EB5"/>
    <w:rsid w:val="0076307F"/>
    <w:rsid w:val="00763266"/>
    <w:rsid w:val="007632A9"/>
    <w:rsid w:val="007633A1"/>
    <w:rsid w:val="00763680"/>
    <w:rsid w:val="007637B6"/>
    <w:rsid w:val="00763B1D"/>
    <w:rsid w:val="00763B6E"/>
    <w:rsid w:val="00763C2C"/>
    <w:rsid w:val="00763C79"/>
    <w:rsid w:val="00763E7D"/>
    <w:rsid w:val="00763F65"/>
    <w:rsid w:val="007646FA"/>
    <w:rsid w:val="00764BF3"/>
    <w:rsid w:val="00764F03"/>
    <w:rsid w:val="00765585"/>
    <w:rsid w:val="00765A6D"/>
    <w:rsid w:val="00765B1A"/>
    <w:rsid w:val="00765B5C"/>
    <w:rsid w:val="00765C35"/>
    <w:rsid w:val="00765DC1"/>
    <w:rsid w:val="00766395"/>
    <w:rsid w:val="00766534"/>
    <w:rsid w:val="007666E7"/>
    <w:rsid w:val="00766733"/>
    <w:rsid w:val="007669C6"/>
    <w:rsid w:val="00766C9D"/>
    <w:rsid w:val="00766DC1"/>
    <w:rsid w:val="00766E31"/>
    <w:rsid w:val="00766F24"/>
    <w:rsid w:val="007678CC"/>
    <w:rsid w:val="00767C0D"/>
    <w:rsid w:val="00767E2F"/>
    <w:rsid w:val="00767E3C"/>
    <w:rsid w:val="00767E88"/>
    <w:rsid w:val="00767FFA"/>
    <w:rsid w:val="0077061A"/>
    <w:rsid w:val="0077074D"/>
    <w:rsid w:val="0077084E"/>
    <w:rsid w:val="00770BC3"/>
    <w:rsid w:val="00770F0E"/>
    <w:rsid w:val="00770F4D"/>
    <w:rsid w:val="00771510"/>
    <w:rsid w:val="0077162E"/>
    <w:rsid w:val="00771B3C"/>
    <w:rsid w:val="00771B49"/>
    <w:rsid w:val="00771B7E"/>
    <w:rsid w:val="00772350"/>
    <w:rsid w:val="007724FC"/>
    <w:rsid w:val="007725D9"/>
    <w:rsid w:val="00772782"/>
    <w:rsid w:val="007729F7"/>
    <w:rsid w:val="00773105"/>
    <w:rsid w:val="00773128"/>
    <w:rsid w:val="007732BF"/>
    <w:rsid w:val="00773417"/>
    <w:rsid w:val="007737F6"/>
    <w:rsid w:val="007737FE"/>
    <w:rsid w:val="007739E7"/>
    <w:rsid w:val="00773E40"/>
    <w:rsid w:val="0077421F"/>
    <w:rsid w:val="00774361"/>
    <w:rsid w:val="00774FA7"/>
    <w:rsid w:val="0077586E"/>
    <w:rsid w:val="00775925"/>
    <w:rsid w:val="00775A14"/>
    <w:rsid w:val="00775DAA"/>
    <w:rsid w:val="00775EAB"/>
    <w:rsid w:val="00775F66"/>
    <w:rsid w:val="00776787"/>
    <w:rsid w:val="00776A29"/>
    <w:rsid w:val="00776A53"/>
    <w:rsid w:val="00776B97"/>
    <w:rsid w:val="00776FD3"/>
    <w:rsid w:val="00776FE8"/>
    <w:rsid w:val="007771EE"/>
    <w:rsid w:val="007772CD"/>
    <w:rsid w:val="00777335"/>
    <w:rsid w:val="007773CE"/>
    <w:rsid w:val="0077768C"/>
    <w:rsid w:val="0077768F"/>
    <w:rsid w:val="00777B37"/>
    <w:rsid w:val="00777D68"/>
    <w:rsid w:val="00780085"/>
    <w:rsid w:val="007801E7"/>
    <w:rsid w:val="007804E6"/>
    <w:rsid w:val="00780534"/>
    <w:rsid w:val="0078078F"/>
    <w:rsid w:val="00780961"/>
    <w:rsid w:val="00780B43"/>
    <w:rsid w:val="00781102"/>
    <w:rsid w:val="00781358"/>
    <w:rsid w:val="007815DC"/>
    <w:rsid w:val="00781C7D"/>
    <w:rsid w:val="00781CFA"/>
    <w:rsid w:val="00781EAB"/>
    <w:rsid w:val="00781EB1"/>
    <w:rsid w:val="00781F13"/>
    <w:rsid w:val="007820AE"/>
    <w:rsid w:val="00782145"/>
    <w:rsid w:val="007821EB"/>
    <w:rsid w:val="00782266"/>
    <w:rsid w:val="00782B3B"/>
    <w:rsid w:val="00782B8F"/>
    <w:rsid w:val="0078305C"/>
    <w:rsid w:val="00783B30"/>
    <w:rsid w:val="0078413A"/>
    <w:rsid w:val="007843F2"/>
    <w:rsid w:val="007845F5"/>
    <w:rsid w:val="007846FA"/>
    <w:rsid w:val="00784ACF"/>
    <w:rsid w:val="0078522D"/>
    <w:rsid w:val="007854CE"/>
    <w:rsid w:val="00785A9F"/>
    <w:rsid w:val="00785B19"/>
    <w:rsid w:val="00786035"/>
    <w:rsid w:val="0078606B"/>
    <w:rsid w:val="00786227"/>
    <w:rsid w:val="00786376"/>
    <w:rsid w:val="0078658A"/>
    <w:rsid w:val="007865BF"/>
    <w:rsid w:val="00786891"/>
    <w:rsid w:val="0078710D"/>
    <w:rsid w:val="00787243"/>
    <w:rsid w:val="00787367"/>
    <w:rsid w:val="007875D1"/>
    <w:rsid w:val="007879BD"/>
    <w:rsid w:val="007879FF"/>
    <w:rsid w:val="00787D2C"/>
    <w:rsid w:val="00787E63"/>
    <w:rsid w:val="0079001A"/>
    <w:rsid w:val="00790A44"/>
    <w:rsid w:val="00790BB3"/>
    <w:rsid w:val="007916D5"/>
    <w:rsid w:val="00791B04"/>
    <w:rsid w:val="00791CEB"/>
    <w:rsid w:val="007925DF"/>
    <w:rsid w:val="00792975"/>
    <w:rsid w:val="007931B7"/>
    <w:rsid w:val="00793260"/>
    <w:rsid w:val="007934D4"/>
    <w:rsid w:val="00794012"/>
    <w:rsid w:val="00794233"/>
    <w:rsid w:val="00795011"/>
    <w:rsid w:val="00795105"/>
    <w:rsid w:val="00795226"/>
    <w:rsid w:val="007954AE"/>
    <w:rsid w:val="0079589D"/>
    <w:rsid w:val="00796068"/>
    <w:rsid w:val="00796263"/>
    <w:rsid w:val="0079634E"/>
    <w:rsid w:val="00796D40"/>
    <w:rsid w:val="00796E5C"/>
    <w:rsid w:val="00796EE9"/>
    <w:rsid w:val="007971DD"/>
    <w:rsid w:val="007976F4"/>
    <w:rsid w:val="00797D12"/>
    <w:rsid w:val="007A0382"/>
    <w:rsid w:val="007A08AA"/>
    <w:rsid w:val="007A0A12"/>
    <w:rsid w:val="007A1187"/>
    <w:rsid w:val="007A132D"/>
    <w:rsid w:val="007A1345"/>
    <w:rsid w:val="007A13F3"/>
    <w:rsid w:val="007A1425"/>
    <w:rsid w:val="007A1984"/>
    <w:rsid w:val="007A19FE"/>
    <w:rsid w:val="007A2168"/>
    <w:rsid w:val="007A2186"/>
    <w:rsid w:val="007A249E"/>
    <w:rsid w:val="007A254A"/>
    <w:rsid w:val="007A2741"/>
    <w:rsid w:val="007A2905"/>
    <w:rsid w:val="007A2BC9"/>
    <w:rsid w:val="007A2DDB"/>
    <w:rsid w:val="007A34FF"/>
    <w:rsid w:val="007A3511"/>
    <w:rsid w:val="007A35C4"/>
    <w:rsid w:val="007A404A"/>
    <w:rsid w:val="007A4709"/>
    <w:rsid w:val="007A484B"/>
    <w:rsid w:val="007A489E"/>
    <w:rsid w:val="007A48A9"/>
    <w:rsid w:val="007A492D"/>
    <w:rsid w:val="007A4C3F"/>
    <w:rsid w:val="007A4E00"/>
    <w:rsid w:val="007A4ED6"/>
    <w:rsid w:val="007A5577"/>
    <w:rsid w:val="007A597D"/>
    <w:rsid w:val="007A5A43"/>
    <w:rsid w:val="007A5A53"/>
    <w:rsid w:val="007A5D13"/>
    <w:rsid w:val="007A5DEE"/>
    <w:rsid w:val="007A5EB6"/>
    <w:rsid w:val="007A617C"/>
    <w:rsid w:val="007A657D"/>
    <w:rsid w:val="007A6ACE"/>
    <w:rsid w:val="007A6AD9"/>
    <w:rsid w:val="007A6C73"/>
    <w:rsid w:val="007A6F1A"/>
    <w:rsid w:val="007A700A"/>
    <w:rsid w:val="007A70BA"/>
    <w:rsid w:val="007A766C"/>
    <w:rsid w:val="007A778A"/>
    <w:rsid w:val="007A79A6"/>
    <w:rsid w:val="007A79C8"/>
    <w:rsid w:val="007A7FA3"/>
    <w:rsid w:val="007B0014"/>
    <w:rsid w:val="007B039F"/>
    <w:rsid w:val="007B03E4"/>
    <w:rsid w:val="007B0597"/>
    <w:rsid w:val="007B05D8"/>
    <w:rsid w:val="007B06AA"/>
    <w:rsid w:val="007B080C"/>
    <w:rsid w:val="007B0860"/>
    <w:rsid w:val="007B0D68"/>
    <w:rsid w:val="007B0E0B"/>
    <w:rsid w:val="007B0F81"/>
    <w:rsid w:val="007B11B1"/>
    <w:rsid w:val="007B158C"/>
    <w:rsid w:val="007B16BF"/>
    <w:rsid w:val="007B1725"/>
    <w:rsid w:val="007B181A"/>
    <w:rsid w:val="007B1A17"/>
    <w:rsid w:val="007B1DDC"/>
    <w:rsid w:val="007B21AF"/>
    <w:rsid w:val="007B251D"/>
    <w:rsid w:val="007B2866"/>
    <w:rsid w:val="007B286A"/>
    <w:rsid w:val="007B2923"/>
    <w:rsid w:val="007B2CA2"/>
    <w:rsid w:val="007B340E"/>
    <w:rsid w:val="007B34B7"/>
    <w:rsid w:val="007B3533"/>
    <w:rsid w:val="007B3D41"/>
    <w:rsid w:val="007B3E95"/>
    <w:rsid w:val="007B408F"/>
    <w:rsid w:val="007B4339"/>
    <w:rsid w:val="007B48FF"/>
    <w:rsid w:val="007B49B0"/>
    <w:rsid w:val="007B49F7"/>
    <w:rsid w:val="007B4CD2"/>
    <w:rsid w:val="007B4D44"/>
    <w:rsid w:val="007B4F58"/>
    <w:rsid w:val="007B528D"/>
    <w:rsid w:val="007B54E6"/>
    <w:rsid w:val="007B58E1"/>
    <w:rsid w:val="007B5CFB"/>
    <w:rsid w:val="007B63CA"/>
    <w:rsid w:val="007B6461"/>
    <w:rsid w:val="007B6519"/>
    <w:rsid w:val="007B6699"/>
    <w:rsid w:val="007B68ED"/>
    <w:rsid w:val="007B6DE5"/>
    <w:rsid w:val="007B6EBD"/>
    <w:rsid w:val="007B77D1"/>
    <w:rsid w:val="007C0349"/>
    <w:rsid w:val="007C04F5"/>
    <w:rsid w:val="007C061D"/>
    <w:rsid w:val="007C0724"/>
    <w:rsid w:val="007C07C7"/>
    <w:rsid w:val="007C0B38"/>
    <w:rsid w:val="007C0EC1"/>
    <w:rsid w:val="007C13D7"/>
    <w:rsid w:val="007C1953"/>
    <w:rsid w:val="007C19BA"/>
    <w:rsid w:val="007C1ACE"/>
    <w:rsid w:val="007C1AF2"/>
    <w:rsid w:val="007C1CD9"/>
    <w:rsid w:val="007C1E14"/>
    <w:rsid w:val="007C1F36"/>
    <w:rsid w:val="007C1FBB"/>
    <w:rsid w:val="007C249D"/>
    <w:rsid w:val="007C307D"/>
    <w:rsid w:val="007C316A"/>
    <w:rsid w:val="007C318D"/>
    <w:rsid w:val="007C32D6"/>
    <w:rsid w:val="007C32EF"/>
    <w:rsid w:val="007C35C7"/>
    <w:rsid w:val="007C361D"/>
    <w:rsid w:val="007C37B2"/>
    <w:rsid w:val="007C3BC3"/>
    <w:rsid w:val="007C3E96"/>
    <w:rsid w:val="007C416F"/>
    <w:rsid w:val="007C41E5"/>
    <w:rsid w:val="007C4226"/>
    <w:rsid w:val="007C423A"/>
    <w:rsid w:val="007C450D"/>
    <w:rsid w:val="007C48B8"/>
    <w:rsid w:val="007C4B84"/>
    <w:rsid w:val="007C4CF5"/>
    <w:rsid w:val="007C4E59"/>
    <w:rsid w:val="007C5A7A"/>
    <w:rsid w:val="007C6577"/>
    <w:rsid w:val="007C6D73"/>
    <w:rsid w:val="007C6FAA"/>
    <w:rsid w:val="007C70FF"/>
    <w:rsid w:val="007C721B"/>
    <w:rsid w:val="007C76D2"/>
    <w:rsid w:val="007C7C25"/>
    <w:rsid w:val="007C7D43"/>
    <w:rsid w:val="007D004F"/>
    <w:rsid w:val="007D0229"/>
    <w:rsid w:val="007D024F"/>
    <w:rsid w:val="007D035F"/>
    <w:rsid w:val="007D05AD"/>
    <w:rsid w:val="007D06B2"/>
    <w:rsid w:val="007D0729"/>
    <w:rsid w:val="007D09CE"/>
    <w:rsid w:val="007D0A94"/>
    <w:rsid w:val="007D0B38"/>
    <w:rsid w:val="007D0E89"/>
    <w:rsid w:val="007D16A5"/>
    <w:rsid w:val="007D1BF9"/>
    <w:rsid w:val="007D1C31"/>
    <w:rsid w:val="007D1E85"/>
    <w:rsid w:val="007D23F6"/>
    <w:rsid w:val="007D2592"/>
    <w:rsid w:val="007D25F2"/>
    <w:rsid w:val="007D2956"/>
    <w:rsid w:val="007D2965"/>
    <w:rsid w:val="007D2E1F"/>
    <w:rsid w:val="007D32B0"/>
    <w:rsid w:val="007D33EB"/>
    <w:rsid w:val="007D3783"/>
    <w:rsid w:val="007D3BB4"/>
    <w:rsid w:val="007D3D18"/>
    <w:rsid w:val="007D3F37"/>
    <w:rsid w:val="007D425E"/>
    <w:rsid w:val="007D4335"/>
    <w:rsid w:val="007D4373"/>
    <w:rsid w:val="007D4377"/>
    <w:rsid w:val="007D451E"/>
    <w:rsid w:val="007D4696"/>
    <w:rsid w:val="007D46AE"/>
    <w:rsid w:val="007D4A0E"/>
    <w:rsid w:val="007D4B9B"/>
    <w:rsid w:val="007D4C90"/>
    <w:rsid w:val="007D4E31"/>
    <w:rsid w:val="007D50EA"/>
    <w:rsid w:val="007D5440"/>
    <w:rsid w:val="007D5A38"/>
    <w:rsid w:val="007D6139"/>
    <w:rsid w:val="007D6267"/>
    <w:rsid w:val="007D649B"/>
    <w:rsid w:val="007D65C9"/>
    <w:rsid w:val="007D678A"/>
    <w:rsid w:val="007D69EB"/>
    <w:rsid w:val="007D6DC3"/>
    <w:rsid w:val="007D7100"/>
    <w:rsid w:val="007D7541"/>
    <w:rsid w:val="007D7B1D"/>
    <w:rsid w:val="007D7D1D"/>
    <w:rsid w:val="007E02F2"/>
    <w:rsid w:val="007E0990"/>
    <w:rsid w:val="007E0B00"/>
    <w:rsid w:val="007E0CB9"/>
    <w:rsid w:val="007E1108"/>
    <w:rsid w:val="007E128F"/>
    <w:rsid w:val="007E1801"/>
    <w:rsid w:val="007E18A7"/>
    <w:rsid w:val="007E1A0A"/>
    <w:rsid w:val="007E23D8"/>
    <w:rsid w:val="007E2A7A"/>
    <w:rsid w:val="007E2FCE"/>
    <w:rsid w:val="007E3051"/>
    <w:rsid w:val="007E348A"/>
    <w:rsid w:val="007E36CE"/>
    <w:rsid w:val="007E3FFE"/>
    <w:rsid w:val="007E4258"/>
    <w:rsid w:val="007E4556"/>
    <w:rsid w:val="007E466B"/>
    <w:rsid w:val="007E471E"/>
    <w:rsid w:val="007E4921"/>
    <w:rsid w:val="007E49A4"/>
    <w:rsid w:val="007E50CA"/>
    <w:rsid w:val="007E5154"/>
    <w:rsid w:val="007E52B7"/>
    <w:rsid w:val="007E532C"/>
    <w:rsid w:val="007E58C0"/>
    <w:rsid w:val="007E58C6"/>
    <w:rsid w:val="007E5D88"/>
    <w:rsid w:val="007E6192"/>
    <w:rsid w:val="007E6339"/>
    <w:rsid w:val="007E6398"/>
    <w:rsid w:val="007E644C"/>
    <w:rsid w:val="007E66D5"/>
    <w:rsid w:val="007E6A7B"/>
    <w:rsid w:val="007E6C17"/>
    <w:rsid w:val="007E6D9A"/>
    <w:rsid w:val="007E6E62"/>
    <w:rsid w:val="007E701A"/>
    <w:rsid w:val="007E73D3"/>
    <w:rsid w:val="007E7926"/>
    <w:rsid w:val="007E7FB7"/>
    <w:rsid w:val="007F0119"/>
    <w:rsid w:val="007F014B"/>
    <w:rsid w:val="007F05D3"/>
    <w:rsid w:val="007F08A9"/>
    <w:rsid w:val="007F0944"/>
    <w:rsid w:val="007F0C70"/>
    <w:rsid w:val="007F0C8F"/>
    <w:rsid w:val="007F0F18"/>
    <w:rsid w:val="007F0FF5"/>
    <w:rsid w:val="007F1017"/>
    <w:rsid w:val="007F15D2"/>
    <w:rsid w:val="007F1963"/>
    <w:rsid w:val="007F1BEA"/>
    <w:rsid w:val="007F1DC2"/>
    <w:rsid w:val="007F200E"/>
    <w:rsid w:val="007F2141"/>
    <w:rsid w:val="007F215A"/>
    <w:rsid w:val="007F2182"/>
    <w:rsid w:val="007F2769"/>
    <w:rsid w:val="007F2794"/>
    <w:rsid w:val="007F2BE9"/>
    <w:rsid w:val="007F3393"/>
    <w:rsid w:val="007F3499"/>
    <w:rsid w:val="007F3646"/>
    <w:rsid w:val="007F3BA1"/>
    <w:rsid w:val="007F3FFC"/>
    <w:rsid w:val="007F4856"/>
    <w:rsid w:val="007F4A3F"/>
    <w:rsid w:val="007F4A61"/>
    <w:rsid w:val="007F4CBE"/>
    <w:rsid w:val="007F5255"/>
    <w:rsid w:val="007F53C0"/>
    <w:rsid w:val="007F53C8"/>
    <w:rsid w:val="007F5405"/>
    <w:rsid w:val="007F54C5"/>
    <w:rsid w:val="007F56B2"/>
    <w:rsid w:val="007F56CC"/>
    <w:rsid w:val="007F6132"/>
    <w:rsid w:val="007F6182"/>
    <w:rsid w:val="007F61C2"/>
    <w:rsid w:val="007F6263"/>
    <w:rsid w:val="007F6500"/>
    <w:rsid w:val="007F6555"/>
    <w:rsid w:val="007F657F"/>
    <w:rsid w:val="007F6B41"/>
    <w:rsid w:val="007F6BC8"/>
    <w:rsid w:val="007F6DA6"/>
    <w:rsid w:val="007F700F"/>
    <w:rsid w:val="007F7081"/>
    <w:rsid w:val="007F7379"/>
    <w:rsid w:val="007F7623"/>
    <w:rsid w:val="007F77B8"/>
    <w:rsid w:val="007F785F"/>
    <w:rsid w:val="007F7E44"/>
    <w:rsid w:val="008000F3"/>
    <w:rsid w:val="00800496"/>
    <w:rsid w:val="0080060D"/>
    <w:rsid w:val="00800882"/>
    <w:rsid w:val="00800B14"/>
    <w:rsid w:val="00800C41"/>
    <w:rsid w:val="00800FB5"/>
    <w:rsid w:val="008012E7"/>
    <w:rsid w:val="008013D5"/>
    <w:rsid w:val="00801414"/>
    <w:rsid w:val="00801521"/>
    <w:rsid w:val="00801569"/>
    <w:rsid w:val="008019A5"/>
    <w:rsid w:val="00802251"/>
    <w:rsid w:val="0080231C"/>
    <w:rsid w:val="008027CA"/>
    <w:rsid w:val="008027E2"/>
    <w:rsid w:val="00802B14"/>
    <w:rsid w:val="0080357C"/>
    <w:rsid w:val="008036CE"/>
    <w:rsid w:val="00803765"/>
    <w:rsid w:val="00803AB6"/>
    <w:rsid w:val="0080432B"/>
    <w:rsid w:val="008043B9"/>
    <w:rsid w:val="008045D4"/>
    <w:rsid w:val="00804658"/>
    <w:rsid w:val="0080466C"/>
    <w:rsid w:val="008046C3"/>
    <w:rsid w:val="00804B97"/>
    <w:rsid w:val="00805101"/>
    <w:rsid w:val="00805142"/>
    <w:rsid w:val="008052D1"/>
    <w:rsid w:val="0080550B"/>
    <w:rsid w:val="0080566B"/>
    <w:rsid w:val="00805FCE"/>
    <w:rsid w:val="00806218"/>
    <w:rsid w:val="00806874"/>
    <w:rsid w:val="008068E2"/>
    <w:rsid w:val="008069EE"/>
    <w:rsid w:val="00806EF9"/>
    <w:rsid w:val="008070A0"/>
    <w:rsid w:val="00807147"/>
    <w:rsid w:val="00807288"/>
    <w:rsid w:val="00807501"/>
    <w:rsid w:val="00807A8B"/>
    <w:rsid w:val="008102C7"/>
    <w:rsid w:val="008103BA"/>
    <w:rsid w:val="00810957"/>
    <w:rsid w:val="00810F16"/>
    <w:rsid w:val="00811383"/>
    <w:rsid w:val="00811520"/>
    <w:rsid w:val="008115C4"/>
    <w:rsid w:val="00811611"/>
    <w:rsid w:val="00811648"/>
    <w:rsid w:val="00811A99"/>
    <w:rsid w:val="00811BAE"/>
    <w:rsid w:val="00811F44"/>
    <w:rsid w:val="00812149"/>
    <w:rsid w:val="00812C78"/>
    <w:rsid w:val="00812CAC"/>
    <w:rsid w:val="008130D2"/>
    <w:rsid w:val="00813733"/>
    <w:rsid w:val="008141D8"/>
    <w:rsid w:val="00814248"/>
    <w:rsid w:val="00814B9F"/>
    <w:rsid w:val="00814C1A"/>
    <w:rsid w:val="0081501B"/>
    <w:rsid w:val="008150A8"/>
    <w:rsid w:val="00815275"/>
    <w:rsid w:val="008154D8"/>
    <w:rsid w:val="00815738"/>
    <w:rsid w:val="00815BB7"/>
    <w:rsid w:val="00816361"/>
    <w:rsid w:val="008166EF"/>
    <w:rsid w:val="00816778"/>
    <w:rsid w:val="0081686C"/>
    <w:rsid w:val="00816A72"/>
    <w:rsid w:val="00816ED2"/>
    <w:rsid w:val="00816FEF"/>
    <w:rsid w:val="00817888"/>
    <w:rsid w:val="0082008B"/>
    <w:rsid w:val="00820343"/>
    <w:rsid w:val="00820538"/>
    <w:rsid w:val="008205A5"/>
    <w:rsid w:val="008207B7"/>
    <w:rsid w:val="00820A8C"/>
    <w:rsid w:val="008215FB"/>
    <w:rsid w:val="0082165D"/>
    <w:rsid w:val="00821A52"/>
    <w:rsid w:val="00821B43"/>
    <w:rsid w:val="00821BC2"/>
    <w:rsid w:val="00821BEC"/>
    <w:rsid w:val="00821C72"/>
    <w:rsid w:val="008220CC"/>
    <w:rsid w:val="008220EB"/>
    <w:rsid w:val="00822279"/>
    <w:rsid w:val="00822326"/>
    <w:rsid w:val="008223E7"/>
    <w:rsid w:val="00822522"/>
    <w:rsid w:val="00822931"/>
    <w:rsid w:val="00822C5E"/>
    <w:rsid w:val="00822DCA"/>
    <w:rsid w:val="00822E56"/>
    <w:rsid w:val="00823174"/>
    <w:rsid w:val="00823944"/>
    <w:rsid w:val="00823F79"/>
    <w:rsid w:val="00823F7E"/>
    <w:rsid w:val="00824259"/>
    <w:rsid w:val="00824290"/>
    <w:rsid w:val="00824305"/>
    <w:rsid w:val="00824344"/>
    <w:rsid w:val="0082435B"/>
    <w:rsid w:val="00824C5F"/>
    <w:rsid w:val="00824D3A"/>
    <w:rsid w:val="0082511D"/>
    <w:rsid w:val="008253F7"/>
    <w:rsid w:val="008253FD"/>
    <w:rsid w:val="00825588"/>
    <w:rsid w:val="00825751"/>
    <w:rsid w:val="008257AA"/>
    <w:rsid w:val="0082597A"/>
    <w:rsid w:val="00825C4D"/>
    <w:rsid w:val="00825F90"/>
    <w:rsid w:val="008264EB"/>
    <w:rsid w:val="008265DA"/>
    <w:rsid w:val="00826818"/>
    <w:rsid w:val="008268CE"/>
    <w:rsid w:val="00826965"/>
    <w:rsid w:val="00826983"/>
    <w:rsid w:val="00826A47"/>
    <w:rsid w:val="00826B85"/>
    <w:rsid w:val="00826CB5"/>
    <w:rsid w:val="008270DA"/>
    <w:rsid w:val="00827296"/>
    <w:rsid w:val="00827875"/>
    <w:rsid w:val="00827C23"/>
    <w:rsid w:val="00827FCA"/>
    <w:rsid w:val="0083027F"/>
    <w:rsid w:val="008306AF"/>
    <w:rsid w:val="008309A4"/>
    <w:rsid w:val="008309BF"/>
    <w:rsid w:val="008309CE"/>
    <w:rsid w:val="008309EB"/>
    <w:rsid w:val="00830D1B"/>
    <w:rsid w:val="00830DC0"/>
    <w:rsid w:val="00830E73"/>
    <w:rsid w:val="0083118B"/>
    <w:rsid w:val="0083118E"/>
    <w:rsid w:val="008314FA"/>
    <w:rsid w:val="0083158F"/>
    <w:rsid w:val="008315FA"/>
    <w:rsid w:val="00831749"/>
    <w:rsid w:val="00831A39"/>
    <w:rsid w:val="00831C75"/>
    <w:rsid w:val="008324CF"/>
    <w:rsid w:val="008329EB"/>
    <w:rsid w:val="00833439"/>
    <w:rsid w:val="00833744"/>
    <w:rsid w:val="008339A4"/>
    <w:rsid w:val="00833AA2"/>
    <w:rsid w:val="00833B05"/>
    <w:rsid w:val="0083422D"/>
    <w:rsid w:val="008342C6"/>
    <w:rsid w:val="008343DC"/>
    <w:rsid w:val="00834896"/>
    <w:rsid w:val="00834DC7"/>
    <w:rsid w:val="0083516D"/>
    <w:rsid w:val="008352FA"/>
    <w:rsid w:val="00835839"/>
    <w:rsid w:val="008359B4"/>
    <w:rsid w:val="00835A27"/>
    <w:rsid w:val="00835BA3"/>
    <w:rsid w:val="0083607F"/>
    <w:rsid w:val="008362B4"/>
    <w:rsid w:val="008368AF"/>
    <w:rsid w:val="008368B7"/>
    <w:rsid w:val="00836BCF"/>
    <w:rsid w:val="00836EE2"/>
    <w:rsid w:val="00837230"/>
    <w:rsid w:val="008374E6"/>
    <w:rsid w:val="00837C69"/>
    <w:rsid w:val="00840063"/>
    <w:rsid w:val="00840362"/>
    <w:rsid w:val="00840443"/>
    <w:rsid w:val="008405C7"/>
    <w:rsid w:val="00840CA2"/>
    <w:rsid w:val="00840D4E"/>
    <w:rsid w:val="0084118D"/>
    <w:rsid w:val="008412EA"/>
    <w:rsid w:val="008414F3"/>
    <w:rsid w:val="00841782"/>
    <w:rsid w:val="00841EF5"/>
    <w:rsid w:val="008420C8"/>
    <w:rsid w:val="0084214E"/>
    <w:rsid w:val="00842181"/>
    <w:rsid w:val="00842626"/>
    <w:rsid w:val="0084264E"/>
    <w:rsid w:val="00842A31"/>
    <w:rsid w:val="00842CE4"/>
    <w:rsid w:val="008434E9"/>
    <w:rsid w:val="008436D2"/>
    <w:rsid w:val="0084374F"/>
    <w:rsid w:val="00843915"/>
    <w:rsid w:val="00843B95"/>
    <w:rsid w:val="00843E23"/>
    <w:rsid w:val="008441E5"/>
    <w:rsid w:val="00844715"/>
    <w:rsid w:val="00844A22"/>
    <w:rsid w:val="00844D32"/>
    <w:rsid w:val="00844F25"/>
    <w:rsid w:val="00844F72"/>
    <w:rsid w:val="008457B6"/>
    <w:rsid w:val="00845905"/>
    <w:rsid w:val="00845DB7"/>
    <w:rsid w:val="00846110"/>
    <w:rsid w:val="00846784"/>
    <w:rsid w:val="00846AB0"/>
    <w:rsid w:val="00846C2D"/>
    <w:rsid w:val="00846E96"/>
    <w:rsid w:val="00846F2D"/>
    <w:rsid w:val="0084767B"/>
    <w:rsid w:val="00847682"/>
    <w:rsid w:val="00847703"/>
    <w:rsid w:val="00847CE0"/>
    <w:rsid w:val="00847D05"/>
    <w:rsid w:val="00847DC5"/>
    <w:rsid w:val="00847DF5"/>
    <w:rsid w:val="008500AF"/>
    <w:rsid w:val="008502AF"/>
    <w:rsid w:val="00850376"/>
    <w:rsid w:val="008503B3"/>
    <w:rsid w:val="00850437"/>
    <w:rsid w:val="0085045D"/>
    <w:rsid w:val="00850638"/>
    <w:rsid w:val="00850A42"/>
    <w:rsid w:val="00850DC8"/>
    <w:rsid w:val="00850E59"/>
    <w:rsid w:val="008511F2"/>
    <w:rsid w:val="00851533"/>
    <w:rsid w:val="00851812"/>
    <w:rsid w:val="00851D59"/>
    <w:rsid w:val="00851E85"/>
    <w:rsid w:val="0085290C"/>
    <w:rsid w:val="008529D7"/>
    <w:rsid w:val="00852A0E"/>
    <w:rsid w:val="00853006"/>
    <w:rsid w:val="0085309D"/>
    <w:rsid w:val="008536B1"/>
    <w:rsid w:val="00853A1B"/>
    <w:rsid w:val="008544B1"/>
    <w:rsid w:val="00854F91"/>
    <w:rsid w:val="008551A1"/>
    <w:rsid w:val="008553D4"/>
    <w:rsid w:val="008555BD"/>
    <w:rsid w:val="008556CD"/>
    <w:rsid w:val="00855769"/>
    <w:rsid w:val="0085615C"/>
    <w:rsid w:val="00856897"/>
    <w:rsid w:val="008568DA"/>
    <w:rsid w:val="00856A4A"/>
    <w:rsid w:val="00856B27"/>
    <w:rsid w:val="00856C61"/>
    <w:rsid w:val="00856E9A"/>
    <w:rsid w:val="008576FD"/>
    <w:rsid w:val="0085780A"/>
    <w:rsid w:val="008600E3"/>
    <w:rsid w:val="00860264"/>
    <w:rsid w:val="00860727"/>
    <w:rsid w:val="0086075D"/>
    <w:rsid w:val="008609C9"/>
    <w:rsid w:val="00860A7F"/>
    <w:rsid w:val="00860DD7"/>
    <w:rsid w:val="00861102"/>
    <w:rsid w:val="00861139"/>
    <w:rsid w:val="00861404"/>
    <w:rsid w:val="008615F4"/>
    <w:rsid w:val="00862502"/>
    <w:rsid w:val="00862946"/>
    <w:rsid w:val="00862BEA"/>
    <w:rsid w:val="00862BEC"/>
    <w:rsid w:val="00862CA7"/>
    <w:rsid w:val="00862CC1"/>
    <w:rsid w:val="00862E31"/>
    <w:rsid w:val="00863698"/>
    <w:rsid w:val="00863BDD"/>
    <w:rsid w:val="00863E6C"/>
    <w:rsid w:val="008642A7"/>
    <w:rsid w:val="00864301"/>
    <w:rsid w:val="008643DD"/>
    <w:rsid w:val="00864BAF"/>
    <w:rsid w:val="00864F62"/>
    <w:rsid w:val="00865042"/>
    <w:rsid w:val="00865152"/>
    <w:rsid w:val="008653B5"/>
    <w:rsid w:val="008658EF"/>
    <w:rsid w:val="00865AAA"/>
    <w:rsid w:val="00865D3E"/>
    <w:rsid w:val="00865E7B"/>
    <w:rsid w:val="008660D4"/>
    <w:rsid w:val="00866319"/>
    <w:rsid w:val="008664A4"/>
    <w:rsid w:val="008664EA"/>
    <w:rsid w:val="008667B0"/>
    <w:rsid w:val="00866CD1"/>
    <w:rsid w:val="00866DCC"/>
    <w:rsid w:val="008670F0"/>
    <w:rsid w:val="008678D0"/>
    <w:rsid w:val="00867B2C"/>
    <w:rsid w:val="00867C37"/>
    <w:rsid w:val="00867C97"/>
    <w:rsid w:val="00867F45"/>
    <w:rsid w:val="00870174"/>
    <w:rsid w:val="00870367"/>
    <w:rsid w:val="008705AF"/>
    <w:rsid w:val="008705E2"/>
    <w:rsid w:val="0087070A"/>
    <w:rsid w:val="00870C88"/>
    <w:rsid w:val="00871161"/>
    <w:rsid w:val="0087122D"/>
    <w:rsid w:val="00871762"/>
    <w:rsid w:val="00871829"/>
    <w:rsid w:val="008718B2"/>
    <w:rsid w:val="008719E8"/>
    <w:rsid w:val="00871BDB"/>
    <w:rsid w:val="00871C40"/>
    <w:rsid w:val="00871FA9"/>
    <w:rsid w:val="008720C0"/>
    <w:rsid w:val="008720D6"/>
    <w:rsid w:val="008721A4"/>
    <w:rsid w:val="0087286D"/>
    <w:rsid w:val="008728E9"/>
    <w:rsid w:val="00872948"/>
    <w:rsid w:val="00873093"/>
    <w:rsid w:val="0087387F"/>
    <w:rsid w:val="008738EF"/>
    <w:rsid w:val="00873E3D"/>
    <w:rsid w:val="008745A4"/>
    <w:rsid w:val="008746E8"/>
    <w:rsid w:val="0087502C"/>
    <w:rsid w:val="008753F0"/>
    <w:rsid w:val="00875A12"/>
    <w:rsid w:val="00875E78"/>
    <w:rsid w:val="00875EE0"/>
    <w:rsid w:val="0087610D"/>
    <w:rsid w:val="0087643C"/>
    <w:rsid w:val="00876593"/>
    <w:rsid w:val="0087698F"/>
    <w:rsid w:val="00876CA5"/>
    <w:rsid w:val="008771D0"/>
    <w:rsid w:val="008778BB"/>
    <w:rsid w:val="00877CE6"/>
    <w:rsid w:val="008808A1"/>
    <w:rsid w:val="00880A29"/>
    <w:rsid w:val="00880DCF"/>
    <w:rsid w:val="008810C0"/>
    <w:rsid w:val="00881233"/>
    <w:rsid w:val="00881423"/>
    <w:rsid w:val="00881475"/>
    <w:rsid w:val="008819D8"/>
    <w:rsid w:val="00881C76"/>
    <w:rsid w:val="00881C89"/>
    <w:rsid w:val="00881ED5"/>
    <w:rsid w:val="0088205B"/>
    <w:rsid w:val="0088229F"/>
    <w:rsid w:val="00882483"/>
    <w:rsid w:val="00882843"/>
    <w:rsid w:val="00882874"/>
    <w:rsid w:val="008828C9"/>
    <w:rsid w:val="0088297F"/>
    <w:rsid w:val="00882E3C"/>
    <w:rsid w:val="0088308A"/>
    <w:rsid w:val="00883197"/>
    <w:rsid w:val="00883771"/>
    <w:rsid w:val="00883787"/>
    <w:rsid w:val="00883C17"/>
    <w:rsid w:val="00883D89"/>
    <w:rsid w:val="00883ED0"/>
    <w:rsid w:val="008845E6"/>
    <w:rsid w:val="008848A3"/>
    <w:rsid w:val="00884A10"/>
    <w:rsid w:val="00884F77"/>
    <w:rsid w:val="00884FCD"/>
    <w:rsid w:val="008853E6"/>
    <w:rsid w:val="0088550E"/>
    <w:rsid w:val="008855E4"/>
    <w:rsid w:val="00885606"/>
    <w:rsid w:val="00885B4B"/>
    <w:rsid w:val="00885BCB"/>
    <w:rsid w:val="00885F30"/>
    <w:rsid w:val="008860A8"/>
    <w:rsid w:val="008867BF"/>
    <w:rsid w:val="0088687F"/>
    <w:rsid w:val="00886964"/>
    <w:rsid w:val="00886A24"/>
    <w:rsid w:val="00886CD2"/>
    <w:rsid w:val="0088704E"/>
    <w:rsid w:val="00887068"/>
    <w:rsid w:val="008871B3"/>
    <w:rsid w:val="008874E0"/>
    <w:rsid w:val="00887590"/>
    <w:rsid w:val="008876C0"/>
    <w:rsid w:val="0088773D"/>
    <w:rsid w:val="00887CC6"/>
    <w:rsid w:val="00887DE2"/>
    <w:rsid w:val="00887F74"/>
    <w:rsid w:val="0089000D"/>
    <w:rsid w:val="00890C0E"/>
    <w:rsid w:val="00891A68"/>
    <w:rsid w:val="00891E10"/>
    <w:rsid w:val="00891E6F"/>
    <w:rsid w:val="00891FE5"/>
    <w:rsid w:val="008922A7"/>
    <w:rsid w:val="0089235C"/>
    <w:rsid w:val="00892399"/>
    <w:rsid w:val="0089275D"/>
    <w:rsid w:val="00892A36"/>
    <w:rsid w:val="00892CC6"/>
    <w:rsid w:val="008931B7"/>
    <w:rsid w:val="00893239"/>
    <w:rsid w:val="0089357F"/>
    <w:rsid w:val="00893867"/>
    <w:rsid w:val="00893AB5"/>
    <w:rsid w:val="008940B6"/>
    <w:rsid w:val="0089420E"/>
    <w:rsid w:val="00894489"/>
    <w:rsid w:val="00894653"/>
    <w:rsid w:val="00894720"/>
    <w:rsid w:val="00894AB6"/>
    <w:rsid w:val="00894CD6"/>
    <w:rsid w:val="00894E34"/>
    <w:rsid w:val="00894E46"/>
    <w:rsid w:val="00894F45"/>
    <w:rsid w:val="00894F80"/>
    <w:rsid w:val="0089541A"/>
    <w:rsid w:val="00895AC3"/>
    <w:rsid w:val="00895E8A"/>
    <w:rsid w:val="008963A5"/>
    <w:rsid w:val="0089653D"/>
    <w:rsid w:val="008967D5"/>
    <w:rsid w:val="008968CE"/>
    <w:rsid w:val="00896A57"/>
    <w:rsid w:val="00896B03"/>
    <w:rsid w:val="00896D5D"/>
    <w:rsid w:val="0089703E"/>
    <w:rsid w:val="00897076"/>
    <w:rsid w:val="00897486"/>
    <w:rsid w:val="00897DC4"/>
    <w:rsid w:val="008A012F"/>
    <w:rsid w:val="008A0138"/>
    <w:rsid w:val="008A02F6"/>
    <w:rsid w:val="008A05CB"/>
    <w:rsid w:val="008A05E6"/>
    <w:rsid w:val="008A0F17"/>
    <w:rsid w:val="008A0F48"/>
    <w:rsid w:val="008A1352"/>
    <w:rsid w:val="008A181D"/>
    <w:rsid w:val="008A1C2E"/>
    <w:rsid w:val="008A2486"/>
    <w:rsid w:val="008A2509"/>
    <w:rsid w:val="008A290B"/>
    <w:rsid w:val="008A2D35"/>
    <w:rsid w:val="008A3158"/>
    <w:rsid w:val="008A326A"/>
    <w:rsid w:val="008A3363"/>
    <w:rsid w:val="008A3371"/>
    <w:rsid w:val="008A3425"/>
    <w:rsid w:val="008A39D3"/>
    <w:rsid w:val="008A3C3E"/>
    <w:rsid w:val="008A3CE9"/>
    <w:rsid w:val="008A3D1C"/>
    <w:rsid w:val="008A3D3D"/>
    <w:rsid w:val="008A3EB6"/>
    <w:rsid w:val="008A41B4"/>
    <w:rsid w:val="008A4490"/>
    <w:rsid w:val="008A461A"/>
    <w:rsid w:val="008A4730"/>
    <w:rsid w:val="008A4BA6"/>
    <w:rsid w:val="008A4C3F"/>
    <w:rsid w:val="008A4E3D"/>
    <w:rsid w:val="008A4ED4"/>
    <w:rsid w:val="008A51A6"/>
    <w:rsid w:val="008A557A"/>
    <w:rsid w:val="008A557B"/>
    <w:rsid w:val="008A56A6"/>
    <w:rsid w:val="008A5DCC"/>
    <w:rsid w:val="008A610D"/>
    <w:rsid w:val="008A661D"/>
    <w:rsid w:val="008A6634"/>
    <w:rsid w:val="008A6717"/>
    <w:rsid w:val="008A6729"/>
    <w:rsid w:val="008A69AE"/>
    <w:rsid w:val="008A6ECD"/>
    <w:rsid w:val="008A6EE6"/>
    <w:rsid w:val="008A6F89"/>
    <w:rsid w:val="008A7285"/>
    <w:rsid w:val="008A744D"/>
    <w:rsid w:val="008A74FB"/>
    <w:rsid w:val="008A79DE"/>
    <w:rsid w:val="008A7F1B"/>
    <w:rsid w:val="008B000F"/>
    <w:rsid w:val="008B00A9"/>
    <w:rsid w:val="008B042D"/>
    <w:rsid w:val="008B05FF"/>
    <w:rsid w:val="008B070F"/>
    <w:rsid w:val="008B0E1A"/>
    <w:rsid w:val="008B1201"/>
    <w:rsid w:val="008B120C"/>
    <w:rsid w:val="008B134A"/>
    <w:rsid w:val="008B1757"/>
    <w:rsid w:val="008B1AF1"/>
    <w:rsid w:val="008B1C33"/>
    <w:rsid w:val="008B1C65"/>
    <w:rsid w:val="008B2105"/>
    <w:rsid w:val="008B2402"/>
    <w:rsid w:val="008B249A"/>
    <w:rsid w:val="008B263A"/>
    <w:rsid w:val="008B2F95"/>
    <w:rsid w:val="008B3161"/>
    <w:rsid w:val="008B3750"/>
    <w:rsid w:val="008B3798"/>
    <w:rsid w:val="008B37BE"/>
    <w:rsid w:val="008B3829"/>
    <w:rsid w:val="008B3907"/>
    <w:rsid w:val="008B44F4"/>
    <w:rsid w:val="008B4AF4"/>
    <w:rsid w:val="008B4B6F"/>
    <w:rsid w:val="008B4C53"/>
    <w:rsid w:val="008B4F69"/>
    <w:rsid w:val="008B50F5"/>
    <w:rsid w:val="008B55F7"/>
    <w:rsid w:val="008B596C"/>
    <w:rsid w:val="008B5C90"/>
    <w:rsid w:val="008B5E6E"/>
    <w:rsid w:val="008B61FC"/>
    <w:rsid w:val="008B6259"/>
    <w:rsid w:val="008B6309"/>
    <w:rsid w:val="008B6334"/>
    <w:rsid w:val="008B6340"/>
    <w:rsid w:val="008B656C"/>
    <w:rsid w:val="008B698B"/>
    <w:rsid w:val="008B6A30"/>
    <w:rsid w:val="008B6ED6"/>
    <w:rsid w:val="008B707D"/>
    <w:rsid w:val="008B78F7"/>
    <w:rsid w:val="008B7992"/>
    <w:rsid w:val="008B79B5"/>
    <w:rsid w:val="008B7BB0"/>
    <w:rsid w:val="008B7D7E"/>
    <w:rsid w:val="008B7FED"/>
    <w:rsid w:val="008C06E7"/>
    <w:rsid w:val="008C0814"/>
    <w:rsid w:val="008C0D18"/>
    <w:rsid w:val="008C0DE4"/>
    <w:rsid w:val="008C0DF6"/>
    <w:rsid w:val="008C113B"/>
    <w:rsid w:val="008C1275"/>
    <w:rsid w:val="008C1487"/>
    <w:rsid w:val="008C155F"/>
    <w:rsid w:val="008C1618"/>
    <w:rsid w:val="008C16A8"/>
    <w:rsid w:val="008C17FB"/>
    <w:rsid w:val="008C1B14"/>
    <w:rsid w:val="008C1E00"/>
    <w:rsid w:val="008C221B"/>
    <w:rsid w:val="008C259C"/>
    <w:rsid w:val="008C25DA"/>
    <w:rsid w:val="008C261A"/>
    <w:rsid w:val="008C26BA"/>
    <w:rsid w:val="008C270B"/>
    <w:rsid w:val="008C2AB3"/>
    <w:rsid w:val="008C2C8C"/>
    <w:rsid w:val="008C3012"/>
    <w:rsid w:val="008C3102"/>
    <w:rsid w:val="008C3192"/>
    <w:rsid w:val="008C32AA"/>
    <w:rsid w:val="008C36CF"/>
    <w:rsid w:val="008C3D32"/>
    <w:rsid w:val="008C3FC2"/>
    <w:rsid w:val="008C4408"/>
    <w:rsid w:val="008C45FE"/>
    <w:rsid w:val="008C4762"/>
    <w:rsid w:val="008C4791"/>
    <w:rsid w:val="008C4B0B"/>
    <w:rsid w:val="008C50EE"/>
    <w:rsid w:val="008C5284"/>
    <w:rsid w:val="008C5583"/>
    <w:rsid w:val="008C5610"/>
    <w:rsid w:val="008C5739"/>
    <w:rsid w:val="008C57A0"/>
    <w:rsid w:val="008C5B80"/>
    <w:rsid w:val="008C5CA6"/>
    <w:rsid w:val="008C5EBA"/>
    <w:rsid w:val="008C60BC"/>
    <w:rsid w:val="008C6306"/>
    <w:rsid w:val="008C681D"/>
    <w:rsid w:val="008C6843"/>
    <w:rsid w:val="008C6890"/>
    <w:rsid w:val="008C724C"/>
    <w:rsid w:val="008C7282"/>
    <w:rsid w:val="008C765C"/>
    <w:rsid w:val="008C7741"/>
    <w:rsid w:val="008C7AEF"/>
    <w:rsid w:val="008C7B2B"/>
    <w:rsid w:val="008C7ECB"/>
    <w:rsid w:val="008D010E"/>
    <w:rsid w:val="008D02AE"/>
    <w:rsid w:val="008D0552"/>
    <w:rsid w:val="008D07FF"/>
    <w:rsid w:val="008D0831"/>
    <w:rsid w:val="008D0A88"/>
    <w:rsid w:val="008D1223"/>
    <w:rsid w:val="008D13AB"/>
    <w:rsid w:val="008D1485"/>
    <w:rsid w:val="008D1532"/>
    <w:rsid w:val="008D2227"/>
    <w:rsid w:val="008D3B86"/>
    <w:rsid w:val="008D3C0E"/>
    <w:rsid w:val="008D3C4D"/>
    <w:rsid w:val="008D4034"/>
    <w:rsid w:val="008D409E"/>
    <w:rsid w:val="008D415C"/>
    <w:rsid w:val="008D43FD"/>
    <w:rsid w:val="008D4755"/>
    <w:rsid w:val="008D49D6"/>
    <w:rsid w:val="008D4C3D"/>
    <w:rsid w:val="008D4C9A"/>
    <w:rsid w:val="008D4D67"/>
    <w:rsid w:val="008D4DB2"/>
    <w:rsid w:val="008D5092"/>
    <w:rsid w:val="008D5246"/>
    <w:rsid w:val="008D5262"/>
    <w:rsid w:val="008D5B3B"/>
    <w:rsid w:val="008D6123"/>
    <w:rsid w:val="008D6652"/>
    <w:rsid w:val="008D695C"/>
    <w:rsid w:val="008D6B63"/>
    <w:rsid w:val="008D6BA2"/>
    <w:rsid w:val="008D728A"/>
    <w:rsid w:val="008D743C"/>
    <w:rsid w:val="008D7677"/>
    <w:rsid w:val="008D7719"/>
    <w:rsid w:val="008D7E2D"/>
    <w:rsid w:val="008E002D"/>
    <w:rsid w:val="008E0079"/>
    <w:rsid w:val="008E0407"/>
    <w:rsid w:val="008E0CC9"/>
    <w:rsid w:val="008E0D3C"/>
    <w:rsid w:val="008E0E98"/>
    <w:rsid w:val="008E14CB"/>
    <w:rsid w:val="008E1B0D"/>
    <w:rsid w:val="008E1B9E"/>
    <w:rsid w:val="008E1C38"/>
    <w:rsid w:val="008E1D68"/>
    <w:rsid w:val="008E1F5F"/>
    <w:rsid w:val="008E203C"/>
    <w:rsid w:val="008E224B"/>
    <w:rsid w:val="008E267F"/>
    <w:rsid w:val="008E27C1"/>
    <w:rsid w:val="008E2DC3"/>
    <w:rsid w:val="008E3436"/>
    <w:rsid w:val="008E38B4"/>
    <w:rsid w:val="008E3EC3"/>
    <w:rsid w:val="008E3EEA"/>
    <w:rsid w:val="008E4017"/>
    <w:rsid w:val="008E43C8"/>
    <w:rsid w:val="008E49EA"/>
    <w:rsid w:val="008E5265"/>
    <w:rsid w:val="008E53E3"/>
    <w:rsid w:val="008E5437"/>
    <w:rsid w:val="008E55AB"/>
    <w:rsid w:val="008E568B"/>
    <w:rsid w:val="008E5701"/>
    <w:rsid w:val="008E5740"/>
    <w:rsid w:val="008E5A35"/>
    <w:rsid w:val="008E5A89"/>
    <w:rsid w:val="008E5D6C"/>
    <w:rsid w:val="008E61B1"/>
    <w:rsid w:val="008E6393"/>
    <w:rsid w:val="008E64F0"/>
    <w:rsid w:val="008E692F"/>
    <w:rsid w:val="008E6D93"/>
    <w:rsid w:val="008E725F"/>
    <w:rsid w:val="008E748A"/>
    <w:rsid w:val="008E7828"/>
    <w:rsid w:val="008E7AF5"/>
    <w:rsid w:val="008F005C"/>
    <w:rsid w:val="008F0E9B"/>
    <w:rsid w:val="008F0FF1"/>
    <w:rsid w:val="008F1176"/>
    <w:rsid w:val="008F120A"/>
    <w:rsid w:val="008F178C"/>
    <w:rsid w:val="008F1BB0"/>
    <w:rsid w:val="008F2104"/>
    <w:rsid w:val="008F2684"/>
    <w:rsid w:val="008F272B"/>
    <w:rsid w:val="008F27E0"/>
    <w:rsid w:val="008F2A35"/>
    <w:rsid w:val="008F2BD4"/>
    <w:rsid w:val="008F31DC"/>
    <w:rsid w:val="008F3AF2"/>
    <w:rsid w:val="008F3D82"/>
    <w:rsid w:val="008F3EBF"/>
    <w:rsid w:val="008F48EB"/>
    <w:rsid w:val="008F4B67"/>
    <w:rsid w:val="008F4C2D"/>
    <w:rsid w:val="008F4F0B"/>
    <w:rsid w:val="008F4F37"/>
    <w:rsid w:val="008F50D0"/>
    <w:rsid w:val="008F51B1"/>
    <w:rsid w:val="008F5207"/>
    <w:rsid w:val="008F5775"/>
    <w:rsid w:val="008F5BFC"/>
    <w:rsid w:val="008F6212"/>
    <w:rsid w:val="008F63D2"/>
    <w:rsid w:val="008F670B"/>
    <w:rsid w:val="008F67D0"/>
    <w:rsid w:val="008F692C"/>
    <w:rsid w:val="008F7115"/>
    <w:rsid w:val="008F721E"/>
    <w:rsid w:val="008F7670"/>
    <w:rsid w:val="008F76B1"/>
    <w:rsid w:val="008F7832"/>
    <w:rsid w:val="008F7A1F"/>
    <w:rsid w:val="008F7BAE"/>
    <w:rsid w:val="009002F5"/>
    <w:rsid w:val="009007AA"/>
    <w:rsid w:val="009009BB"/>
    <w:rsid w:val="00900A53"/>
    <w:rsid w:val="00900B32"/>
    <w:rsid w:val="00900F74"/>
    <w:rsid w:val="00901125"/>
    <w:rsid w:val="00901129"/>
    <w:rsid w:val="009012DB"/>
    <w:rsid w:val="00901423"/>
    <w:rsid w:val="00901780"/>
    <w:rsid w:val="009018FE"/>
    <w:rsid w:val="00901D53"/>
    <w:rsid w:val="00901DCB"/>
    <w:rsid w:val="00902FD1"/>
    <w:rsid w:val="009036D3"/>
    <w:rsid w:val="009038D5"/>
    <w:rsid w:val="009043C5"/>
    <w:rsid w:val="009046C4"/>
    <w:rsid w:val="00904A8F"/>
    <w:rsid w:val="00904E12"/>
    <w:rsid w:val="00904E51"/>
    <w:rsid w:val="00904FBA"/>
    <w:rsid w:val="009050D9"/>
    <w:rsid w:val="00905207"/>
    <w:rsid w:val="00905636"/>
    <w:rsid w:val="009058C4"/>
    <w:rsid w:val="00905A3A"/>
    <w:rsid w:val="00905E8C"/>
    <w:rsid w:val="00906096"/>
    <w:rsid w:val="009060AD"/>
    <w:rsid w:val="009061BD"/>
    <w:rsid w:val="009062A5"/>
    <w:rsid w:val="009062D8"/>
    <w:rsid w:val="0090636B"/>
    <w:rsid w:val="009064C5"/>
    <w:rsid w:val="0090652B"/>
    <w:rsid w:val="009066E7"/>
    <w:rsid w:val="00906815"/>
    <w:rsid w:val="009068ED"/>
    <w:rsid w:val="00906BCA"/>
    <w:rsid w:val="00906DE0"/>
    <w:rsid w:val="00906F36"/>
    <w:rsid w:val="00907699"/>
    <w:rsid w:val="00907C85"/>
    <w:rsid w:val="009102FB"/>
    <w:rsid w:val="00910402"/>
    <w:rsid w:val="00910478"/>
    <w:rsid w:val="00910AFD"/>
    <w:rsid w:val="00910C5F"/>
    <w:rsid w:val="00910EA1"/>
    <w:rsid w:val="00910EB0"/>
    <w:rsid w:val="00910FA7"/>
    <w:rsid w:val="00911272"/>
    <w:rsid w:val="00911339"/>
    <w:rsid w:val="009115F2"/>
    <w:rsid w:val="00911B2D"/>
    <w:rsid w:val="00911B42"/>
    <w:rsid w:val="00911D29"/>
    <w:rsid w:val="00911DE3"/>
    <w:rsid w:val="0091221B"/>
    <w:rsid w:val="009123E3"/>
    <w:rsid w:val="009124A4"/>
    <w:rsid w:val="009124AF"/>
    <w:rsid w:val="009124E9"/>
    <w:rsid w:val="0091271E"/>
    <w:rsid w:val="0091272D"/>
    <w:rsid w:val="00912778"/>
    <w:rsid w:val="00912C22"/>
    <w:rsid w:val="00912FC4"/>
    <w:rsid w:val="009130D9"/>
    <w:rsid w:val="00913162"/>
    <w:rsid w:val="009135D6"/>
    <w:rsid w:val="009140B9"/>
    <w:rsid w:val="0091413B"/>
    <w:rsid w:val="009142DC"/>
    <w:rsid w:val="009147F6"/>
    <w:rsid w:val="00914C5A"/>
    <w:rsid w:val="00914C77"/>
    <w:rsid w:val="00914EF8"/>
    <w:rsid w:val="00915168"/>
    <w:rsid w:val="00915988"/>
    <w:rsid w:val="00915D65"/>
    <w:rsid w:val="0091636E"/>
    <w:rsid w:val="009164B6"/>
    <w:rsid w:val="009164CF"/>
    <w:rsid w:val="0091672C"/>
    <w:rsid w:val="00916977"/>
    <w:rsid w:val="009171AF"/>
    <w:rsid w:val="009171E0"/>
    <w:rsid w:val="009171FE"/>
    <w:rsid w:val="00917540"/>
    <w:rsid w:val="009176C5"/>
    <w:rsid w:val="009176D2"/>
    <w:rsid w:val="00917784"/>
    <w:rsid w:val="009177FB"/>
    <w:rsid w:val="0091795E"/>
    <w:rsid w:val="009201F6"/>
    <w:rsid w:val="009204A7"/>
    <w:rsid w:val="00920964"/>
    <w:rsid w:val="00920AD4"/>
    <w:rsid w:val="00920DC9"/>
    <w:rsid w:val="009218FF"/>
    <w:rsid w:val="00921ACB"/>
    <w:rsid w:val="00921D40"/>
    <w:rsid w:val="00921E4E"/>
    <w:rsid w:val="00921F39"/>
    <w:rsid w:val="00922011"/>
    <w:rsid w:val="00922346"/>
    <w:rsid w:val="009226DC"/>
    <w:rsid w:val="00922A7A"/>
    <w:rsid w:val="00922CFD"/>
    <w:rsid w:val="00922F05"/>
    <w:rsid w:val="0092345E"/>
    <w:rsid w:val="0092363B"/>
    <w:rsid w:val="00923679"/>
    <w:rsid w:val="0092369B"/>
    <w:rsid w:val="009237F0"/>
    <w:rsid w:val="00923E55"/>
    <w:rsid w:val="0092400B"/>
    <w:rsid w:val="00924324"/>
    <w:rsid w:val="0092460D"/>
    <w:rsid w:val="009248A7"/>
    <w:rsid w:val="009248F7"/>
    <w:rsid w:val="00924A32"/>
    <w:rsid w:val="00924C1B"/>
    <w:rsid w:val="00925165"/>
    <w:rsid w:val="009252F0"/>
    <w:rsid w:val="00925853"/>
    <w:rsid w:val="00925A62"/>
    <w:rsid w:val="00925B74"/>
    <w:rsid w:val="00926237"/>
    <w:rsid w:val="0092665D"/>
    <w:rsid w:val="00926863"/>
    <w:rsid w:val="00926A9B"/>
    <w:rsid w:val="00926D70"/>
    <w:rsid w:val="00926DCA"/>
    <w:rsid w:val="009275F2"/>
    <w:rsid w:val="00927835"/>
    <w:rsid w:val="00927C1F"/>
    <w:rsid w:val="00927F5F"/>
    <w:rsid w:val="00930322"/>
    <w:rsid w:val="0093045A"/>
    <w:rsid w:val="00930A29"/>
    <w:rsid w:val="00930AF6"/>
    <w:rsid w:val="00931806"/>
    <w:rsid w:val="00931C1E"/>
    <w:rsid w:val="00931EAB"/>
    <w:rsid w:val="00931FD9"/>
    <w:rsid w:val="009330EA"/>
    <w:rsid w:val="009332E0"/>
    <w:rsid w:val="00933CE5"/>
    <w:rsid w:val="00933D6E"/>
    <w:rsid w:val="00934004"/>
    <w:rsid w:val="00934084"/>
    <w:rsid w:val="00934290"/>
    <w:rsid w:val="009342C0"/>
    <w:rsid w:val="0093472B"/>
    <w:rsid w:val="00934962"/>
    <w:rsid w:val="00934988"/>
    <w:rsid w:val="00934A62"/>
    <w:rsid w:val="009352BB"/>
    <w:rsid w:val="009352C0"/>
    <w:rsid w:val="00935639"/>
    <w:rsid w:val="009358AE"/>
    <w:rsid w:val="00936137"/>
    <w:rsid w:val="0093670B"/>
    <w:rsid w:val="0093691C"/>
    <w:rsid w:val="00936AD8"/>
    <w:rsid w:val="00936B1D"/>
    <w:rsid w:val="00936CCB"/>
    <w:rsid w:val="00937089"/>
    <w:rsid w:val="0093748F"/>
    <w:rsid w:val="009374D0"/>
    <w:rsid w:val="00937A58"/>
    <w:rsid w:val="00940684"/>
    <w:rsid w:val="009407E0"/>
    <w:rsid w:val="0094097A"/>
    <w:rsid w:val="00940A4B"/>
    <w:rsid w:val="009411C8"/>
    <w:rsid w:val="0094129D"/>
    <w:rsid w:val="009417D5"/>
    <w:rsid w:val="00941A5E"/>
    <w:rsid w:val="00941AA4"/>
    <w:rsid w:val="00941EB7"/>
    <w:rsid w:val="00942126"/>
    <w:rsid w:val="0094256C"/>
    <w:rsid w:val="0094259A"/>
    <w:rsid w:val="00942952"/>
    <w:rsid w:val="009429D0"/>
    <w:rsid w:val="00942F25"/>
    <w:rsid w:val="00942F50"/>
    <w:rsid w:val="00942F7F"/>
    <w:rsid w:val="009433B8"/>
    <w:rsid w:val="009435A3"/>
    <w:rsid w:val="00943600"/>
    <w:rsid w:val="0094364B"/>
    <w:rsid w:val="00943E8F"/>
    <w:rsid w:val="00944052"/>
    <w:rsid w:val="009440F5"/>
    <w:rsid w:val="009444E8"/>
    <w:rsid w:val="0094498F"/>
    <w:rsid w:val="00944AD5"/>
    <w:rsid w:val="00944B2F"/>
    <w:rsid w:val="00944B5F"/>
    <w:rsid w:val="00944C4E"/>
    <w:rsid w:val="00944F8A"/>
    <w:rsid w:val="009452B1"/>
    <w:rsid w:val="009452CF"/>
    <w:rsid w:val="0094591A"/>
    <w:rsid w:val="00945AAB"/>
    <w:rsid w:val="00945E8B"/>
    <w:rsid w:val="00946191"/>
    <w:rsid w:val="00946398"/>
    <w:rsid w:val="00946579"/>
    <w:rsid w:val="00947051"/>
    <w:rsid w:val="00947608"/>
    <w:rsid w:val="00947617"/>
    <w:rsid w:val="00947A9F"/>
    <w:rsid w:val="00947C94"/>
    <w:rsid w:val="009501AB"/>
    <w:rsid w:val="00950319"/>
    <w:rsid w:val="009506FD"/>
    <w:rsid w:val="009508B7"/>
    <w:rsid w:val="009509EC"/>
    <w:rsid w:val="00950F13"/>
    <w:rsid w:val="009510A2"/>
    <w:rsid w:val="0095141C"/>
    <w:rsid w:val="009516E6"/>
    <w:rsid w:val="00951A96"/>
    <w:rsid w:val="00951AB9"/>
    <w:rsid w:val="009520FA"/>
    <w:rsid w:val="009525B4"/>
    <w:rsid w:val="00952A74"/>
    <w:rsid w:val="00953110"/>
    <w:rsid w:val="00953257"/>
    <w:rsid w:val="0095329C"/>
    <w:rsid w:val="009539C7"/>
    <w:rsid w:val="00953B78"/>
    <w:rsid w:val="00953FCB"/>
    <w:rsid w:val="0095441C"/>
    <w:rsid w:val="0095474C"/>
    <w:rsid w:val="00954E8F"/>
    <w:rsid w:val="00954F2C"/>
    <w:rsid w:val="00955216"/>
    <w:rsid w:val="00955255"/>
    <w:rsid w:val="009553D2"/>
    <w:rsid w:val="00955ABB"/>
    <w:rsid w:val="009566DA"/>
    <w:rsid w:val="00956798"/>
    <w:rsid w:val="00956821"/>
    <w:rsid w:val="009571EF"/>
    <w:rsid w:val="0095727B"/>
    <w:rsid w:val="009573D6"/>
    <w:rsid w:val="009578A5"/>
    <w:rsid w:val="00957B86"/>
    <w:rsid w:val="00957D92"/>
    <w:rsid w:val="009603CF"/>
    <w:rsid w:val="00960518"/>
    <w:rsid w:val="009605AC"/>
    <w:rsid w:val="00960721"/>
    <w:rsid w:val="00960B0B"/>
    <w:rsid w:val="00960D60"/>
    <w:rsid w:val="0096118E"/>
    <w:rsid w:val="00961739"/>
    <w:rsid w:val="009617B8"/>
    <w:rsid w:val="00961D06"/>
    <w:rsid w:val="00961F5E"/>
    <w:rsid w:val="00961F67"/>
    <w:rsid w:val="00962070"/>
    <w:rsid w:val="0096223E"/>
    <w:rsid w:val="00962699"/>
    <w:rsid w:val="00962C37"/>
    <w:rsid w:val="00962CB9"/>
    <w:rsid w:val="00962E91"/>
    <w:rsid w:val="00962EE0"/>
    <w:rsid w:val="009630B1"/>
    <w:rsid w:val="0096318E"/>
    <w:rsid w:val="009639B7"/>
    <w:rsid w:val="00963E2D"/>
    <w:rsid w:val="00963FEC"/>
    <w:rsid w:val="00964312"/>
    <w:rsid w:val="009648DE"/>
    <w:rsid w:val="00964AF8"/>
    <w:rsid w:val="009650B1"/>
    <w:rsid w:val="009650CC"/>
    <w:rsid w:val="00965229"/>
    <w:rsid w:val="00965439"/>
    <w:rsid w:val="009656FE"/>
    <w:rsid w:val="0096585A"/>
    <w:rsid w:val="00965B8A"/>
    <w:rsid w:val="009663D9"/>
    <w:rsid w:val="00966861"/>
    <w:rsid w:val="00966B8A"/>
    <w:rsid w:val="00966C50"/>
    <w:rsid w:val="00966C70"/>
    <w:rsid w:val="00967480"/>
    <w:rsid w:val="009674BC"/>
    <w:rsid w:val="0096751A"/>
    <w:rsid w:val="0096789E"/>
    <w:rsid w:val="00967BAD"/>
    <w:rsid w:val="00967D5E"/>
    <w:rsid w:val="0097071F"/>
    <w:rsid w:val="00970756"/>
    <w:rsid w:val="00970B65"/>
    <w:rsid w:val="009711D3"/>
    <w:rsid w:val="009712F4"/>
    <w:rsid w:val="00971687"/>
    <w:rsid w:val="009717AC"/>
    <w:rsid w:val="00971973"/>
    <w:rsid w:val="00971AC8"/>
    <w:rsid w:val="00972341"/>
    <w:rsid w:val="0097235F"/>
    <w:rsid w:val="009724B6"/>
    <w:rsid w:val="009724C9"/>
    <w:rsid w:val="0097284C"/>
    <w:rsid w:val="00972C29"/>
    <w:rsid w:val="0097344F"/>
    <w:rsid w:val="00973554"/>
    <w:rsid w:val="00973817"/>
    <w:rsid w:val="00973919"/>
    <w:rsid w:val="00973C42"/>
    <w:rsid w:val="00973D19"/>
    <w:rsid w:val="009744A3"/>
    <w:rsid w:val="00974902"/>
    <w:rsid w:val="00974A1D"/>
    <w:rsid w:val="00974AE7"/>
    <w:rsid w:val="00974B6A"/>
    <w:rsid w:val="00974B85"/>
    <w:rsid w:val="00974D94"/>
    <w:rsid w:val="009751C1"/>
    <w:rsid w:val="00975317"/>
    <w:rsid w:val="009753D2"/>
    <w:rsid w:val="0097553A"/>
    <w:rsid w:val="009756F0"/>
    <w:rsid w:val="009758CF"/>
    <w:rsid w:val="00975C0B"/>
    <w:rsid w:val="00976162"/>
    <w:rsid w:val="009761EE"/>
    <w:rsid w:val="00976634"/>
    <w:rsid w:val="00976B7F"/>
    <w:rsid w:val="00976C99"/>
    <w:rsid w:val="00977002"/>
    <w:rsid w:val="009800D4"/>
    <w:rsid w:val="009803DB"/>
    <w:rsid w:val="00980447"/>
    <w:rsid w:val="00980A89"/>
    <w:rsid w:val="00981162"/>
    <w:rsid w:val="009811F1"/>
    <w:rsid w:val="009811FB"/>
    <w:rsid w:val="0098130E"/>
    <w:rsid w:val="00981DE9"/>
    <w:rsid w:val="0098200A"/>
    <w:rsid w:val="009822F8"/>
    <w:rsid w:val="009823FB"/>
    <w:rsid w:val="0098262F"/>
    <w:rsid w:val="00982635"/>
    <w:rsid w:val="00982677"/>
    <w:rsid w:val="00982B30"/>
    <w:rsid w:val="00983010"/>
    <w:rsid w:val="00983312"/>
    <w:rsid w:val="0098335F"/>
    <w:rsid w:val="0098367A"/>
    <w:rsid w:val="009836E0"/>
    <w:rsid w:val="00983A37"/>
    <w:rsid w:val="00983AEE"/>
    <w:rsid w:val="00983CB6"/>
    <w:rsid w:val="00983DF8"/>
    <w:rsid w:val="00983E2D"/>
    <w:rsid w:val="00983E3D"/>
    <w:rsid w:val="00983E57"/>
    <w:rsid w:val="00984A5A"/>
    <w:rsid w:val="00984C86"/>
    <w:rsid w:val="00984EA3"/>
    <w:rsid w:val="00985402"/>
    <w:rsid w:val="009857D2"/>
    <w:rsid w:val="00985D04"/>
    <w:rsid w:val="00985D96"/>
    <w:rsid w:val="00985DE2"/>
    <w:rsid w:val="009861EF"/>
    <w:rsid w:val="0098675D"/>
    <w:rsid w:val="00986869"/>
    <w:rsid w:val="00987127"/>
    <w:rsid w:val="009872AB"/>
    <w:rsid w:val="00987606"/>
    <w:rsid w:val="009879C4"/>
    <w:rsid w:val="00987BA4"/>
    <w:rsid w:val="0099011A"/>
    <w:rsid w:val="00990473"/>
    <w:rsid w:val="00990AB2"/>
    <w:rsid w:val="00990AC3"/>
    <w:rsid w:val="00990BE2"/>
    <w:rsid w:val="00990C46"/>
    <w:rsid w:val="0099168B"/>
    <w:rsid w:val="00991A28"/>
    <w:rsid w:val="00991B88"/>
    <w:rsid w:val="00991EA2"/>
    <w:rsid w:val="00992617"/>
    <w:rsid w:val="009926E0"/>
    <w:rsid w:val="00992AD2"/>
    <w:rsid w:val="00992E83"/>
    <w:rsid w:val="009930EE"/>
    <w:rsid w:val="009931A1"/>
    <w:rsid w:val="0099322D"/>
    <w:rsid w:val="009934CB"/>
    <w:rsid w:val="00993799"/>
    <w:rsid w:val="00993B9F"/>
    <w:rsid w:val="0099451E"/>
    <w:rsid w:val="00994688"/>
    <w:rsid w:val="00994BCB"/>
    <w:rsid w:val="00994C51"/>
    <w:rsid w:val="00994D47"/>
    <w:rsid w:val="00994DE7"/>
    <w:rsid w:val="00994EB1"/>
    <w:rsid w:val="00994F60"/>
    <w:rsid w:val="00995031"/>
    <w:rsid w:val="0099506C"/>
    <w:rsid w:val="009950B2"/>
    <w:rsid w:val="0099539A"/>
    <w:rsid w:val="009959B9"/>
    <w:rsid w:val="00995A37"/>
    <w:rsid w:val="00996079"/>
    <w:rsid w:val="009967C7"/>
    <w:rsid w:val="009967F3"/>
    <w:rsid w:val="00996804"/>
    <w:rsid w:val="0099686F"/>
    <w:rsid w:val="00996AF4"/>
    <w:rsid w:val="00996B1A"/>
    <w:rsid w:val="00996BA3"/>
    <w:rsid w:val="00996DFC"/>
    <w:rsid w:val="00996EFF"/>
    <w:rsid w:val="00997266"/>
    <w:rsid w:val="009979C0"/>
    <w:rsid w:val="00997A01"/>
    <w:rsid w:val="00997BD1"/>
    <w:rsid w:val="00997E03"/>
    <w:rsid w:val="00997F33"/>
    <w:rsid w:val="009A00BE"/>
    <w:rsid w:val="009A0195"/>
    <w:rsid w:val="009A05F8"/>
    <w:rsid w:val="009A0867"/>
    <w:rsid w:val="009A091C"/>
    <w:rsid w:val="009A116B"/>
    <w:rsid w:val="009A11DD"/>
    <w:rsid w:val="009A1255"/>
    <w:rsid w:val="009A12B5"/>
    <w:rsid w:val="009A170A"/>
    <w:rsid w:val="009A18F6"/>
    <w:rsid w:val="009A1C6B"/>
    <w:rsid w:val="009A1D86"/>
    <w:rsid w:val="009A1E1B"/>
    <w:rsid w:val="009A20CF"/>
    <w:rsid w:val="009A2391"/>
    <w:rsid w:val="009A2625"/>
    <w:rsid w:val="009A26BD"/>
    <w:rsid w:val="009A2816"/>
    <w:rsid w:val="009A2912"/>
    <w:rsid w:val="009A2DC5"/>
    <w:rsid w:val="009A2DCC"/>
    <w:rsid w:val="009A2E57"/>
    <w:rsid w:val="009A3082"/>
    <w:rsid w:val="009A30A6"/>
    <w:rsid w:val="009A322C"/>
    <w:rsid w:val="009A3553"/>
    <w:rsid w:val="009A3814"/>
    <w:rsid w:val="009A39CA"/>
    <w:rsid w:val="009A3A99"/>
    <w:rsid w:val="009A4004"/>
    <w:rsid w:val="009A402D"/>
    <w:rsid w:val="009A405C"/>
    <w:rsid w:val="009A4121"/>
    <w:rsid w:val="009A450E"/>
    <w:rsid w:val="009A46C8"/>
    <w:rsid w:val="009A4736"/>
    <w:rsid w:val="009A48BC"/>
    <w:rsid w:val="009A4B6D"/>
    <w:rsid w:val="009A4F5C"/>
    <w:rsid w:val="009A520A"/>
    <w:rsid w:val="009A5749"/>
    <w:rsid w:val="009A5835"/>
    <w:rsid w:val="009A5ABC"/>
    <w:rsid w:val="009A60B0"/>
    <w:rsid w:val="009A6233"/>
    <w:rsid w:val="009A62CA"/>
    <w:rsid w:val="009A6671"/>
    <w:rsid w:val="009A67BA"/>
    <w:rsid w:val="009A6A0A"/>
    <w:rsid w:val="009A6C60"/>
    <w:rsid w:val="009A6E13"/>
    <w:rsid w:val="009A7249"/>
    <w:rsid w:val="009A75B6"/>
    <w:rsid w:val="009A7705"/>
    <w:rsid w:val="009A7F10"/>
    <w:rsid w:val="009B086A"/>
    <w:rsid w:val="009B0BB2"/>
    <w:rsid w:val="009B119F"/>
    <w:rsid w:val="009B126A"/>
    <w:rsid w:val="009B13B7"/>
    <w:rsid w:val="009B15B3"/>
    <w:rsid w:val="009B17EE"/>
    <w:rsid w:val="009B1A2B"/>
    <w:rsid w:val="009B22FA"/>
    <w:rsid w:val="009B28D4"/>
    <w:rsid w:val="009B314B"/>
    <w:rsid w:val="009B37A2"/>
    <w:rsid w:val="009B3B3B"/>
    <w:rsid w:val="009B3E26"/>
    <w:rsid w:val="009B409D"/>
    <w:rsid w:val="009B40A4"/>
    <w:rsid w:val="009B410C"/>
    <w:rsid w:val="009B44CA"/>
    <w:rsid w:val="009B4737"/>
    <w:rsid w:val="009B4B07"/>
    <w:rsid w:val="009B4EDC"/>
    <w:rsid w:val="009B505F"/>
    <w:rsid w:val="009B5216"/>
    <w:rsid w:val="009B577D"/>
    <w:rsid w:val="009B5926"/>
    <w:rsid w:val="009B59E8"/>
    <w:rsid w:val="009B5A5C"/>
    <w:rsid w:val="009B5FCE"/>
    <w:rsid w:val="009B656F"/>
    <w:rsid w:val="009B6591"/>
    <w:rsid w:val="009B6732"/>
    <w:rsid w:val="009B6CA5"/>
    <w:rsid w:val="009B6E89"/>
    <w:rsid w:val="009B7366"/>
    <w:rsid w:val="009B7CEA"/>
    <w:rsid w:val="009C0298"/>
    <w:rsid w:val="009C02EF"/>
    <w:rsid w:val="009C031E"/>
    <w:rsid w:val="009C0380"/>
    <w:rsid w:val="009C03A5"/>
    <w:rsid w:val="009C050D"/>
    <w:rsid w:val="009C0656"/>
    <w:rsid w:val="009C08A9"/>
    <w:rsid w:val="009C0A99"/>
    <w:rsid w:val="009C0E3C"/>
    <w:rsid w:val="009C1124"/>
    <w:rsid w:val="009C1271"/>
    <w:rsid w:val="009C1290"/>
    <w:rsid w:val="009C129C"/>
    <w:rsid w:val="009C14A4"/>
    <w:rsid w:val="009C16CF"/>
    <w:rsid w:val="009C1986"/>
    <w:rsid w:val="009C1B7E"/>
    <w:rsid w:val="009C1BCD"/>
    <w:rsid w:val="009C1C54"/>
    <w:rsid w:val="009C1E2F"/>
    <w:rsid w:val="009C204F"/>
    <w:rsid w:val="009C214A"/>
    <w:rsid w:val="009C227D"/>
    <w:rsid w:val="009C2580"/>
    <w:rsid w:val="009C2704"/>
    <w:rsid w:val="009C2CB0"/>
    <w:rsid w:val="009C2FC4"/>
    <w:rsid w:val="009C3305"/>
    <w:rsid w:val="009C3706"/>
    <w:rsid w:val="009C3A0C"/>
    <w:rsid w:val="009C3A3A"/>
    <w:rsid w:val="009C3BF6"/>
    <w:rsid w:val="009C404A"/>
    <w:rsid w:val="009C426B"/>
    <w:rsid w:val="009C4495"/>
    <w:rsid w:val="009C457E"/>
    <w:rsid w:val="009C465E"/>
    <w:rsid w:val="009C4A56"/>
    <w:rsid w:val="009C4EF7"/>
    <w:rsid w:val="009C4FFC"/>
    <w:rsid w:val="009C50BE"/>
    <w:rsid w:val="009C513D"/>
    <w:rsid w:val="009C546C"/>
    <w:rsid w:val="009C5648"/>
    <w:rsid w:val="009C5712"/>
    <w:rsid w:val="009C5D88"/>
    <w:rsid w:val="009C61C6"/>
    <w:rsid w:val="009C6396"/>
    <w:rsid w:val="009C64AB"/>
    <w:rsid w:val="009C6912"/>
    <w:rsid w:val="009C6CEA"/>
    <w:rsid w:val="009C6F9A"/>
    <w:rsid w:val="009C74A7"/>
    <w:rsid w:val="009C773B"/>
    <w:rsid w:val="009C7B85"/>
    <w:rsid w:val="009D0117"/>
    <w:rsid w:val="009D0254"/>
    <w:rsid w:val="009D07CB"/>
    <w:rsid w:val="009D094D"/>
    <w:rsid w:val="009D097D"/>
    <w:rsid w:val="009D0B72"/>
    <w:rsid w:val="009D0C2E"/>
    <w:rsid w:val="009D137F"/>
    <w:rsid w:val="009D1879"/>
    <w:rsid w:val="009D19EF"/>
    <w:rsid w:val="009D1A64"/>
    <w:rsid w:val="009D1AF6"/>
    <w:rsid w:val="009D1CB4"/>
    <w:rsid w:val="009D3A6F"/>
    <w:rsid w:val="009D3ABC"/>
    <w:rsid w:val="009D3C65"/>
    <w:rsid w:val="009D4031"/>
    <w:rsid w:val="009D4110"/>
    <w:rsid w:val="009D4A33"/>
    <w:rsid w:val="009D4A91"/>
    <w:rsid w:val="009D4B85"/>
    <w:rsid w:val="009D4E70"/>
    <w:rsid w:val="009D4EA8"/>
    <w:rsid w:val="009D4F91"/>
    <w:rsid w:val="009D4FEE"/>
    <w:rsid w:val="009D5228"/>
    <w:rsid w:val="009D5531"/>
    <w:rsid w:val="009D568D"/>
    <w:rsid w:val="009D5748"/>
    <w:rsid w:val="009D5B48"/>
    <w:rsid w:val="009D5B91"/>
    <w:rsid w:val="009D5CDD"/>
    <w:rsid w:val="009D5EF3"/>
    <w:rsid w:val="009D6175"/>
    <w:rsid w:val="009D6497"/>
    <w:rsid w:val="009D66D3"/>
    <w:rsid w:val="009D684D"/>
    <w:rsid w:val="009D6E25"/>
    <w:rsid w:val="009D6FE8"/>
    <w:rsid w:val="009D792E"/>
    <w:rsid w:val="009D7BB8"/>
    <w:rsid w:val="009D7EF0"/>
    <w:rsid w:val="009D7F18"/>
    <w:rsid w:val="009E0344"/>
    <w:rsid w:val="009E0639"/>
    <w:rsid w:val="009E0998"/>
    <w:rsid w:val="009E0B5A"/>
    <w:rsid w:val="009E0DFE"/>
    <w:rsid w:val="009E1114"/>
    <w:rsid w:val="009E1339"/>
    <w:rsid w:val="009E1511"/>
    <w:rsid w:val="009E1756"/>
    <w:rsid w:val="009E1AB9"/>
    <w:rsid w:val="009E1B95"/>
    <w:rsid w:val="009E1C61"/>
    <w:rsid w:val="009E2300"/>
    <w:rsid w:val="009E274A"/>
    <w:rsid w:val="009E28DA"/>
    <w:rsid w:val="009E2D42"/>
    <w:rsid w:val="009E305B"/>
    <w:rsid w:val="009E31A9"/>
    <w:rsid w:val="009E31F6"/>
    <w:rsid w:val="009E328D"/>
    <w:rsid w:val="009E32EB"/>
    <w:rsid w:val="009E3947"/>
    <w:rsid w:val="009E3AC6"/>
    <w:rsid w:val="009E3E56"/>
    <w:rsid w:val="009E3E88"/>
    <w:rsid w:val="009E3FDF"/>
    <w:rsid w:val="009E470F"/>
    <w:rsid w:val="009E47CF"/>
    <w:rsid w:val="009E487A"/>
    <w:rsid w:val="009E4C07"/>
    <w:rsid w:val="009E4C5D"/>
    <w:rsid w:val="009E4DFA"/>
    <w:rsid w:val="009E52C5"/>
    <w:rsid w:val="009E5347"/>
    <w:rsid w:val="009E5480"/>
    <w:rsid w:val="009E5AD7"/>
    <w:rsid w:val="009E5D70"/>
    <w:rsid w:val="009E61AC"/>
    <w:rsid w:val="009E6312"/>
    <w:rsid w:val="009E64B1"/>
    <w:rsid w:val="009E7004"/>
    <w:rsid w:val="009E700D"/>
    <w:rsid w:val="009E727E"/>
    <w:rsid w:val="009E740D"/>
    <w:rsid w:val="009E777F"/>
    <w:rsid w:val="009E7808"/>
    <w:rsid w:val="009E784E"/>
    <w:rsid w:val="009E7C99"/>
    <w:rsid w:val="009E7D43"/>
    <w:rsid w:val="009E7E1B"/>
    <w:rsid w:val="009E7E85"/>
    <w:rsid w:val="009F04C8"/>
    <w:rsid w:val="009F060B"/>
    <w:rsid w:val="009F0637"/>
    <w:rsid w:val="009F0800"/>
    <w:rsid w:val="009F0A98"/>
    <w:rsid w:val="009F0A9E"/>
    <w:rsid w:val="009F0C3A"/>
    <w:rsid w:val="009F0EBC"/>
    <w:rsid w:val="009F0ED1"/>
    <w:rsid w:val="009F10D5"/>
    <w:rsid w:val="009F12A2"/>
    <w:rsid w:val="009F19E8"/>
    <w:rsid w:val="009F1A0C"/>
    <w:rsid w:val="009F1C5B"/>
    <w:rsid w:val="009F1DA0"/>
    <w:rsid w:val="009F2513"/>
    <w:rsid w:val="009F2601"/>
    <w:rsid w:val="009F2659"/>
    <w:rsid w:val="009F2727"/>
    <w:rsid w:val="009F2A69"/>
    <w:rsid w:val="009F2E26"/>
    <w:rsid w:val="009F3289"/>
    <w:rsid w:val="009F33AF"/>
    <w:rsid w:val="009F3494"/>
    <w:rsid w:val="009F391C"/>
    <w:rsid w:val="009F3D7D"/>
    <w:rsid w:val="009F3F8F"/>
    <w:rsid w:val="009F407D"/>
    <w:rsid w:val="009F422E"/>
    <w:rsid w:val="009F4230"/>
    <w:rsid w:val="009F46BF"/>
    <w:rsid w:val="009F4B89"/>
    <w:rsid w:val="009F4E9E"/>
    <w:rsid w:val="009F53B9"/>
    <w:rsid w:val="009F6120"/>
    <w:rsid w:val="009F653D"/>
    <w:rsid w:val="009F6978"/>
    <w:rsid w:val="009F6B93"/>
    <w:rsid w:val="009F6D60"/>
    <w:rsid w:val="009F6F66"/>
    <w:rsid w:val="009F7AEB"/>
    <w:rsid w:val="009F7F25"/>
    <w:rsid w:val="00A00D76"/>
    <w:rsid w:val="00A00FB4"/>
    <w:rsid w:val="00A00FC3"/>
    <w:rsid w:val="00A01184"/>
    <w:rsid w:val="00A01449"/>
    <w:rsid w:val="00A0149C"/>
    <w:rsid w:val="00A0151C"/>
    <w:rsid w:val="00A015AA"/>
    <w:rsid w:val="00A01890"/>
    <w:rsid w:val="00A01BF7"/>
    <w:rsid w:val="00A0213B"/>
    <w:rsid w:val="00A02502"/>
    <w:rsid w:val="00A028FC"/>
    <w:rsid w:val="00A02BB4"/>
    <w:rsid w:val="00A02BC0"/>
    <w:rsid w:val="00A02BFE"/>
    <w:rsid w:val="00A02C31"/>
    <w:rsid w:val="00A02EA0"/>
    <w:rsid w:val="00A02FB2"/>
    <w:rsid w:val="00A0345D"/>
    <w:rsid w:val="00A037C2"/>
    <w:rsid w:val="00A03836"/>
    <w:rsid w:val="00A0393E"/>
    <w:rsid w:val="00A03B8F"/>
    <w:rsid w:val="00A03D43"/>
    <w:rsid w:val="00A0405E"/>
    <w:rsid w:val="00A04380"/>
    <w:rsid w:val="00A044B5"/>
    <w:rsid w:val="00A044C5"/>
    <w:rsid w:val="00A04786"/>
    <w:rsid w:val="00A04814"/>
    <w:rsid w:val="00A04A88"/>
    <w:rsid w:val="00A04E8E"/>
    <w:rsid w:val="00A05129"/>
    <w:rsid w:val="00A052B4"/>
    <w:rsid w:val="00A05472"/>
    <w:rsid w:val="00A054DE"/>
    <w:rsid w:val="00A05638"/>
    <w:rsid w:val="00A057AD"/>
    <w:rsid w:val="00A057E7"/>
    <w:rsid w:val="00A05AD6"/>
    <w:rsid w:val="00A05C32"/>
    <w:rsid w:val="00A05CA3"/>
    <w:rsid w:val="00A05D90"/>
    <w:rsid w:val="00A05E7C"/>
    <w:rsid w:val="00A0623A"/>
    <w:rsid w:val="00A0647F"/>
    <w:rsid w:val="00A0653F"/>
    <w:rsid w:val="00A065B0"/>
    <w:rsid w:val="00A07444"/>
    <w:rsid w:val="00A076B4"/>
    <w:rsid w:val="00A076B5"/>
    <w:rsid w:val="00A07918"/>
    <w:rsid w:val="00A07A2A"/>
    <w:rsid w:val="00A07A79"/>
    <w:rsid w:val="00A07CDA"/>
    <w:rsid w:val="00A104B4"/>
    <w:rsid w:val="00A106F5"/>
    <w:rsid w:val="00A10CD0"/>
    <w:rsid w:val="00A10DBC"/>
    <w:rsid w:val="00A1110E"/>
    <w:rsid w:val="00A114C3"/>
    <w:rsid w:val="00A11B73"/>
    <w:rsid w:val="00A11CD0"/>
    <w:rsid w:val="00A127C3"/>
    <w:rsid w:val="00A12842"/>
    <w:rsid w:val="00A128B7"/>
    <w:rsid w:val="00A1295D"/>
    <w:rsid w:val="00A12A83"/>
    <w:rsid w:val="00A12C6E"/>
    <w:rsid w:val="00A12EAF"/>
    <w:rsid w:val="00A12EF2"/>
    <w:rsid w:val="00A1308F"/>
    <w:rsid w:val="00A1309E"/>
    <w:rsid w:val="00A137A9"/>
    <w:rsid w:val="00A13824"/>
    <w:rsid w:val="00A13948"/>
    <w:rsid w:val="00A13BAD"/>
    <w:rsid w:val="00A13F6F"/>
    <w:rsid w:val="00A14441"/>
    <w:rsid w:val="00A1458B"/>
    <w:rsid w:val="00A1479E"/>
    <w:rsid w:val="00A147E3"/>
    <w:rsid w:val="00A14C40"/>
    <w:rsid w:val="00A14CFD"/>
    <w:rsid w:val="00A14F2E"/>
    <w:rsid w:val="00A151A4"/>
    <w:rsid w:val="00A153EA"/>
    <w:rsid w:val="00A1553F"/>
    <w:rsid w:val="00A1555B"/>
    <w:rsid w:val="00A155C5"/>
    <w:rsid w:val="00A15A3D"/>
    <w:rsid w:val="00A15C67"/>
    <w:rsid w:val="00A16162"/>
    <w:rsid w:val="00A16353"/>
    <w:rsid w:val="00A16557"/>
    <w:rsid w:val="00A16667"/>
    <w:rsid w:val="00A16981"/>
    <w:rsid w:val="00A16AD8"/>
    <w:rsid w:val="00A16C03"/>
    <w:rsid w:val="00A173EF"/>
    <w:rsid w:val="00A17481"/>
    <w:rsid w:val="00A174D4"/>
    <w:rsid w:val="00A17EEF"/>
    <w:rsid w:val="00A2021E"/>
    <w:rsid w:val="00A20621"/>
    <w:rsid w:val="00A20D3F"/>
    <w:rsid w:val="00A21147"/>
    <w:rsid w:val="00A211EF"/>
    <w:rsid w:val="00A212F2"/>
    <w:rsid w:val="00A21308"/>
    <w:rsid w:val="00A2196C"/>
    <w:rsid w:val="00A21B1A"/>
    <w:rsid w:val="00A21C95"/>
    <w:rsid w:val="00A21CF1"/>
    <w:rsid w:val="00A21CF3"/>
    <w:rsid w:val="00A21E9E"/>
    <w:rsid w:val="00A2256E"/>
    <w:rsid w:val="00A22587"/>
    <w:rsid w:val="00A225A8"/>
    <w:rsid w:val="00A22734"/>
    <w:rsid w:val="00A22B00"/>
    <w:rsid w:val="00A22DD0"/>
    <w:rsid w:val="00A22E00"/>
    <w:rsid w:val="00A22E2B"/>
    <w:rsid w:val="00A22E84"/>
    <w:rsid w:val="00A23310"/>
    <w:rsid w:val="00A2359F"/>
    <w:rsid w:val="00A235B5"/>
    <w:rsid w:val="00A238C4"/>
    <w:rsid w:val="00A23E90"/>
    <w:rsid w:val="00A24097"/>
    <w:rsid w:val="00A24253"/>
    <w:rsid w:val="00A24813"/>
    <w:rsid w:val="00A2491D"/>
    <w:rsid w:val="00A24B50"/>
    <w:rsid w:val="00A24B9C"/>
    <w:rsid w:val="00A24E13"/>
    <w:rsid w:val="00A2544E"/>
    <w:rsid w:val="00A2573F"/>
    <w:rsid w:val="00A25925"/>
    <w:rsid w:val="00A25B36"/>
    <w:rsid w:val="00A25B91"/>
    <w:rsid w:val="00A25D26"/>
    <w:rsid w:val="00A25F73"/>
    <w:rsid w:val="00A26618"/>
    <w:rsid w:val="00A2675F"/>
    <w:rsid w:val="00A26A1E"/>
    <w:rsid w:val="00A2728D"/>
    <w:rsid w:val="00A273F8"/>
    <w:rsid w:val="00A274C1"/>
    <w:rsid w:val="00A278D5"/>
    <w:rsid w:val="00A27A92"/>
    <w:rsid w:val="00A27AEC"/>
    <w:rsid w:val="00A27AF0"/>
    <w:rsid w:val="00A27B09"/>
    <w:rsid w:val="00A27F25"/>
    <w:rsid w:val="00A302FD"/>
    <w:rsid w:val="00A3059C"/>
    <w:rsid w:val="00A30616"/>
    <w:rsid w:val="00A30984"/>
    <w:rsid w:val="00A30E90"/>
    <w:rsid w:val="00A3102D"/>
    <w:rsid w:val="00A311AA"/>
    <w:rsid w:val="00A31BEE"/>
    <w:rsid w:val="00A31E2A"/>
    <w:rsid w:val="00A320DB"/>
    <w:rsid w:val="00A321A8"/>
    <w:rsid w:val="00A321F3"/>
    <w:rsid w:val="00A32213"/>
    <w:rsid w:val="00A3259B"/>
    <w:rsid w:val="00A326FC"/>
    <w:rsid w:val="00A32812"/>
    <w:rsid w:val="00A32A2E"/>
    <w:rsid w:val="00A32E9E"/>
    <w:rsid w:val="00A33726"/>
    <w:rsid w:val="00A33A1D"/>
    <w:rsid w:val="00A33BC3"/>
    <w:rsid w:val="00A33D6F"/>
    <w:rsid w:val="00A33FFB"/>
    <w:rsid w:val="00A341FF"/>
    <w:rsid w:val="00A3424F"/>
    <w:rsid w:val="00A3433F"/>
    <w:rsid w:val="00A34434"/>
    <w:rsid w:val="00A34E8E"/>
    <w:rsid w:val="00A35029"/>
    <w:rsid w:val="00A350CE"/>
    <w:rsid w:val="00A35277"/>
    <w:rsid w:val="00A3545E"/>
    <w:rsid w:val="00A35571"/>
    <w:rsid w:val="00A35751"/>
    <w:rsid w:val="00A35A5A"/>
    <w:rsid w:val="00A35D16"/>
    <w:rsid w:val="00A361EE"/>
    <w:rsid w:val="00A36550"/>
    <w:rsid w:val="00A3669B"/>
    <w:rsid w:val="00A36C83"/>
    <w:rsid w:val="00A36E08"/>
    <w:rsid w:val="00A36F9F"/>
    <w:rsid w:val="00A36FC0"/>
    <w:rsid w:val="00A36FEE"/>
    <w:rsid w:val="00A36FF3"/>
    <w:rsid w:val="00A370BA"/>
    <w:rsid w:val="00A37249"/>
    <w:rsid w:val="00A37BCD"/>
    <w:rsid w:val="00A37BFD"/>
    <w:rsid w:val="00A37FED"/>
    <w:rsid w:val="00A40389"/>
    <w:rsid w:val="00A404C2"/>
    <w:rsid w:val="00A406A8"/>
    <w:rsid w:val="00A4073F"/>
    <w:rsid w:val="00A40787"/>
    <w:rsid w:val="00A40DDA"/>
    <w:rsid w:val="00A40DE4"/>
    <w:rsid w:val="00A40FF7"/>
    <w:rsid w:val="00A410D6"/>
    <w:rsid w:val="00A41319"/>
    <w:rsid w:val="00A41689"/>
    <w:rsid w:val="00A41780"/>
    <w:rsid w:val="00A41941"/>
    <w:rsid w:val="00A41DF6"/>
    <w:rsid w:val="00A4201D"/>
    <w:rsid w:val="00A42078"/>
    <w:rsid w:val="00A4207A"/>
    <w:rsid w:val="00A423F8"/>
    <w:rsid w:val="00A42592"/>
    <w:rsid w:val="00A430D5"/>
    <w:rsid w:val="00A43700"/>
    <w:rsid w:val="00A43855"/>
    <w:rsid w:val="00A43A74"/>
    <w:rsid w:val="00A43C59"/>
    <w:rsid w:val="00A44188"/>
    <w:rsid w:val="00A446C4"/>
    <w:rsid w:val="00A44914"/>
    <w:rsid w:val="00A44CBF"/>
    <w:rsid w:val="00A4544F"/>
    <w:rsid w:val="00A455C7"/>
    <w:rsid w:val="00A45D0D"/>
    <w:rsid w:val="00A45E24"/>
    <w:rsid w:val="00A462BD"/>
    <w:rsid w:val="00A46310"/>
    <w:rsid w:val="00A46334"/>
    <w:rsid w:val="00A46520"/>
    <w:rsid w:val="00A4678A"/>
    <w:rsid w:val="00A46971"/>
    <w:rsid w:val="00A46CD9"/>
    <w:rsid w:val="00A47161"/>
    <w:rsid w:val="00A4740A"/>
    <w:rsid w:val="00A4780D"/>
    <w:rsid w:val="00A47A06"/>
    <w:rsid w:val="00A47A6C"/>
    <w:rsid w:val="00A47AF8"/>
    <w:rsid w:val="00A47ED2"/>
    <w:rsid w:val="00A50013"/>
    <w:rsid w:val="00A500A1"/>
    <w:rsid w:val="00A50246"/>
    <w:rsid w:val="00A50364"/>
    <w:rsid w:val="00A504A2"/>
    <w:rsid w:val="00A509C1"/>
    <w:rsid w:val="00A50BCA"/>
    <w:rsid w:val="00A50D98"/>
    <w:rsid w:val="00A50ECD"/>
    <w:rsid w:val="00A51642"/>
    <w:rsid w:val="00A518F3"/>
    <w:rsid w:val="00A51B3C"/>
    <w:rsid w:val="00A51F6A"/>
    <w:rsid w:val="00A52133"/>
    <w:rsid w:val="00A5223E"/>
    <w:rsid w:val="00A52411"/>
    <w:rsid w:val="00A524DF"/>
    <w:rsid w:val="00A526AA"/>
    <w:rsid w:val="00A52729"/>
    <w:rsid w:val="00A52808"/>
    <w:rsid w:val="00A529C0"/>
    <w:rsid w:val="00A52C0C"/>
    <w:rsid w:val="00A52DBD"/>
    <w:rsid w:val="00A52E45"/>
    <w:rsid w:val="00A52EED"/>
    <w:rsid w:val="00A52EFC"/>
    <w:rsid w:val="00A5301E"/>
    <w:rsid w:val="00A530A6"/>
    <w:rsid w:val="00A53675"/>
    <w:rsid w:val="00A536DF"/>
    <w:rsid w:val="00A53824"/>
    <w:rsid w:val="00A53B85"/>
    <w:rsid w:val="00A54226"/>
    <w:rsid w:val="00A546DD"/>
    <w:rsid w:val="00A547B0"/>
    <w:rsid w:val="00A54959"/>
    <w:rsid w:val="00A54D53"/>
    <w:rsid w:val="00A54F2A"/>
    <w:rsid w:val="00A55035"/>
    <w:rsid w:val="00A552B5"/>
    <w:rsid w:val="00A55622"/>
    <w:rsid w:val="00A55708"/>
    <w:rsid w:val="00A55A65"/>
    <w:rsid w:val="00A564D7"/>
    <w:rsid w:val="00A565C0"/>
    <w:rsid w:val="00A565E6"/>
    <w:rsid w:val="00A56B6A"/>
    <w:rsid w:val="00A56C98"/>
    <w:rsid w:val="00A56CA6"/>
    <w:rsid w:val="00A570E2"/>
    <w:rsid w:val="00A57354"/>
    <w:rsid w:val="00A57395"/>
    <w:rsid w:val="00A57476"/>
    <w:rsid w:val="00A574D3"/>
    <w:rsid w:val="00A574FF"/>
    <w:rsid w:val="00A575E1"/>
    <w:rsid w:val="00A57770"/>
    <w:rsid w:val="00A578DC"/>
    <w:rsid w:val="00A57982"/>
    <w:rsid w:val="00A57B30"/>
    <w:rsid w:val="00A57CE8"/>
    <w:rsid w:val="00A60C15"/>
    <w:rsid w:val="00A60C44"/>
    <w:rsid w:val="00A60C67"/>
    <w:rsid w:val="00A6135B"/>
    <w:rsid w:val="00A6140B"/>
    <w:rsid w:val="00A616A1"/>
    <w:rsid w:val="00A6201D"/>
    <w:rsid w:val="00A62282"/>
    <w:rsid w:val="00A6242A"/>
    <w:rsid w:val="00A62461"/>
    <w:rsid w:val="00A6259D"/>
    <w:rsid w:val="00A62633"/>
    <w:rsid w:val="00A62882"/>
    <w:rsid w:val="00A62A70"/>
    <w:rsid w:val="00A6340B"/>
    <w:rsid w:val="00A63547"/>
    <w:rsid w:val="00A6375E"/>
    <w:rsid w:val="00A63827"/>
    <w:rsid w:val="00A63983"/>
    <w:rsid w:val="00A63A1C"/>
    <w:rsid w:val="00A63F20"/>
    <w:rsid w:val="00A640E2"/>
    <w:rsid w:val="00A642BF"/>
    <w:rsid w:val="00A6469B"/>
    <w:rsid w:val="00A647F5"/>
    <w:rsid w:val="00A64A03"/>
    <w:rsid w:val="00A64D65"/>
    <w:rsid w:val="00A6504A"/>
    <w:rsid w:val="00A66209"/>
    <w:rsid w:val="00A66A89"/>
    <w:rsid w:val="00A66C09"/>
    <w:rsid w:val="00A66E55"/>
    <w:rsid w:val="00A6725B"/>
    <w:rsid w:val="00A6751F"/>
    <w:rsid w:val="00A67931"/>
    <w:rsid w:val="00A67D15"/>
    <w:rsid w:val="00A70605"/>
    <w:rsid w:val="00A708CB"/>
    <w:rsid w:val="00A71029"/>
    <w:rsid w:val="00A71242"/>
    <w:rsid w:val="00A71E52"/>
    <w:rsid w:val="00A72350"/>
    <w:rsid w:val="00A7248C"/>
    <w:rsid w:val="00A7250B"/>
    <w:rsid w:val="00A727E8"/>
    <w:rsid w:val="00A72D6B"/>
    <w:rsid w:val="00A73134"/>
    <w:rsid w:val="00A7337E"/>
    <w:rsid w:val="00A7365A"/>
    <w:rsid w:val="00A7366F"/>
    <w:rsid w:val="00A7393C"/>
    <w:rsid w:val="00A73F4F"/>
    <w:rsid w:val="00A742E3"/>
    <w:rsid w:val="00A744C1"/>
    <w:rsid w:val="00A74A7C"/>
    <w:rsid w:val="00A74B27"/>
    <w:rsid w:val="00A74FE8"/>
    <w:rsid w:val="00A75126"/>
    <w:rsid w:val="00A75426"/>
    <w:rsid w:val="00A7567C"/>
    <w:rsid w:val="00A759AB"/>
    <w:rsid w:val="00A75D74"/>
    <w:rsid w:val="00A75E9C"/>
    <w:rsid w:val="00A75F77"/>
    <w:rsid w:val="00A76001"/>
    <w:rsid w:val="00A76400"/>
    <w:rsid w:val="00A76A89"/>
    <w:rsid w:val="00A76FA4"/>
    <w:rsid w:val="00A76FCB"/>
    <w:rsid w:val="00A7722F"/>
    <w:rsid w:val="00A77253"/>
    <w:rsid w:val="00A77417"/>
    <w:rsid w:val="00A777B2"/>
    <w:rsid w:val="00A7783C"/>
    <w:rsid w:val="00A778E4"/>
    <w:rsid w:val="00A80B3B"/>
    <w:rsid w:val="00A80C11"/>
    <w:rsid w:val="00A80FD8"/>
    <w:rsid w:val="00A81172"/>
    <w:rsid w:val="00A8119F"/>
    <w:rsid w:val="00A81342"/>
    <w:rsid w:val="00A81441"/>
    <w:rsid w:val="00A81C6F"/>
    <w:rsid w:val="00A81DD2"/>
    <w:rsid w:val="00A82225"/>
    <w:rsid w:val="00A82353"/>
    <w:rsid w:val="00A824E6"/>
    <w:rsid w:val="00A825D4"/>
    <w:rsid w:val="00A826D7"/>
    <w:rsid w:val="00A828A2"/>
    <w:rsid w:val="00A828F6"/>
    <w:rsid w:val="00A82973"/>
    <w:rsid w:val="00A82B73"/>
    <w:rsid w:val="00A82E15"/>
    <w:rsid w:val="00A83042"/>
    <w:rsid w:val="00A8315F"/>
    <w:rsid w:val="00A83314"/>
    <w:rsid w:val="00A83588"/>
    <w:rsid w:val="00A835AD"/>
    <w:rsid w:val="00A83869"/>
    <w:rsid w:val="00A83BCF"/>
    <w:rsid w:val="00A83BF0"/>
    <w:rsid w:val="00A83DBA"/>
    <w:rsid w:val="00A8421C"/>
    <w:rsid w:val="00A843EC"/>
    <w:rsid w:val="00A85073"/>
    <w:rsid w:val="00A85615"/>
    <w:rsid w:val="00A85C8B"/>
    <w:rsid w:val="00A85D20"/>
    <w:rsid w:val="00A85F97"/>
    <w:rsid w:val="00A861C4"/>
    <w:rsid w:val="00A8622E"/>
    <w:rsid w:val="00A86272"/>
    <w:rsid w:val="00A862F6"/>
    <w:rsid w:val="00A86455"/>
    <w:rsid w:val="00A86BDF"/>
    <w:rsid w:val="00A86C46"/>
    <w:rsid w:val="00A86D8E"/>
    <w:rsid w:val="00A86DCA"/>
    <w:rsid w:val="00A86E8B"/>
    <w:rsid w:val="00A87164"/>
    <w:rsid w:val="00A871A9"/>
    <w:rsid w:val="00A8737A"/>
    <w:rsid w:val="00A87609"/>
    <w:rsid w:val="00A87B63"/>
    <w:rsid w:val="00A87CB9"/>
    <w:rsid w:val="00A901FC"/>
    <w:rsid w:val="00A902AC"/>
    <w:rsid w:val="00A907D4"/>
    <w:rsid w:val="00A90A28"/>
    <w:rsid w:val="00A90A9A"/>
    <w:rsid w:val="00A90AB8"/>
    <w:rsid w:val="00A90BDC"/>
    <w:rsid w:val="00A9153F"/>
    <w:rsid w:val="00A92054"/>
    <w:rsid w:val="00A928FA"/>
    <w:rsid w:val="00A92C52"/>
    <w:rsid w:val="00A92E31"/>
    <w:rsid w:val="00A93072"/>
    <w:rsid w:val="00A9342F"/>
    <w:rsid w:val="00A936C4"/>
    <w:rsid w:val="00A938BD"/>
    <w:rsid w:val="00A93953"/>
    <w:rsid w:val="00A946CE"/>
    <w:rsid w:val="00A946E7"/>
    <w:rsid w:val="00A94753"/>
    <w:rsid w:val="00A9475B"/>
    <w:rsid w:val="00A94788"/>
    <w:rsid w:val="00A94803"/>
    <w:rsid w:val="00A94DE1"/>
    <w:rsid w:val="00A95181"/>
    <w:rsid w:val="00A954F3"/>
    <w:rsid w:val="00A9552E"/>
    <w:rsid w:val="00A9553F"/>
    <w:rsid w:val="00A95634"/>
    <w:rsid w:val="00A956D7"/>
    <w:rsid w:val="00A9573F"/>
    <w:rsid w:val="00A959D8"/>
    <w:rsid w:val="00A95AA8"/>
    <w:rsid w:val="00A95FFF"/>
    <w:rsid w:val="00A963B5"/>
    <w:rsid w:val="00A965E1"/>
    <w:rsid w:val="00A96840"/>
    <w:rsid w:val="00A96849"/>
    <w:rsid w:val="00A96C00"/>
    <w:rsid w:val="00A96E0D"/>
    <w:rsid w:val="00A9707B"/>
    <w:rsid w:val="00A972E5"/>
    <w:rsid w:val="00A978EA"/>
    <w:rsid w:val="00A97F70"/>
    <w:rsid w:val="00AA08DB"/>
    <w:rsid w:val="00AA0B51"/>
    <w:rsid w:val="00AA0B63"/>
    <w:rsid w:val="00AA0C59"/>
    <w:rsid w:val="00AA0E84"/>
    <w:rsid w:val="00AA10E8"/>
    <w:rsid w:val="00AA113D"/>
    <w:rsid w:val="00AA119C"/>
    <w:rsid w:val="00AA171B"/>
    <w:rsid w:val="00AA1B53"/>
    <w:rsid w:val="00AA1EA8"/>
    <w:rsid w:val="00AA23A2"/>
    <w:rsid w:val="00AA23FF"/>
    <w:rsid w:val="00AA2630"/>
    <w:rsid w:val="00AA2AD6"/>
    <w:rsid w:val="00AA2D72"/>
    <w:rsid w:val="00AA2EFF"/>
    <w:rsid w:val="00AA31AC"/>
    <w:rsid w:val="00AA343C"/>
    <w:rsid w:val="00AA34BB"/>
    <w:rsid w:val="00AA382D"/>
    <w:rsid w:val="00AA4365"/>
    <w:rsid w:val="00AA4F4B"/>
    <w:rsid w:val="00AA554A"/>
    <w:rsid w:val="00AA5FA8"/>
    <w:rsid w:val="00AA6110"/>
    <w:rsid w:val="00AA6257"/>
    <w:rsid w:val="00AA676E"/>
    <w:rsid w:val="00AA67D3"/>
    <w:rsid w:val="00AA68E1"/>
    <w:rsid w:val="00AA6947"/>
    <w:rsid w:val="00AA69C5"/>
    <w:rsid w:val="00AA6AA3"/>
    <w:rsid w:val="00AA6BD5"/>
    <w:rsid w:val="00AA6BD8"/>
    <w:rsid w:val="00AA6C7D"/>
    <w:rsid w:val="00AA6CF4"/>
    <w:rsid w:val="00AA7071"/>
    <w:rsid w:val="00AA75C6"/>
    <w:rsid w:val="00AA7790"/>
    <w:rsid w:val="00AA7956"/>
    <w:rsid w:val="00AA7AEB"/>
    <w:rsid w:val="00AA7E80"/>
    <w:rsid w:val="00AA7F66"/>
    <w:rsid w:val="00AA7FD6"/>
    <w:rsid w:val="00AB0044"/>
    <w:rsid w:val="00AB042A"/>
    <w:rsid w:val="00AB074A"/>
    <w:rsid w:val="00AB09EE"/>
    <w:rsid w:val="00AB0ACC"/>
    <w:rsid w:val="00AB0BC0"/>
    <w:rsid w:val="00AB0EB5"/>
    <w:rsid w:val="00AB0EE6"/>
    <w:rsid w:val="00AB11AD"/>
    <w:rsid w:val="00AB1774"/>
    <w:rsid w:val="00AB19EF"/>
    <w:rsid w:val="00AB1AEB"/>
    <w:rsid w:val="00AB1B2A"/>
    <w:rsid w:val="00AB1CAF"/>
    <w:rsid w:val="00AB2495"/>
    <w:rsid w:val="00AB2D34"/>
    <w:rsid w:val="00AB2D84"/>
    <w:rsid w:val="00AB2DDB"/>
    <w:rsid w:val="00AB334A"/>
    <w:rsid w:val="00AB3430"/>
    <w:rsid w:val="00AB372D"/>
    <w:rsid w:val="00AB37B9"/>
    <w:rsid w:val="00AB3B8B"/>
    <w:rsid w:val="00AB3C5C"/>
    <w:rsid w:val="00AB3CB9"/>
    <w:rsid w:val="00AB3F92"/>
    <w:rsid w:val="00AB4AD1"/>
    <w:rsid w:val="00AB4B41"/>
    <w:rsid w:val="00AB4C67"/>
    <w:rsid w:val="00AB4CDE"/>
    <w:rsid w:val="00AB4D22"/>
    <w:rsid w:val="00AB5481"/>
    <w:rsid w:val="00AB54C1"/>
    <w:rsid w:val="00AB556E"/>
    <w:rsid w:val="00AB5677"/>
    <w:rsid w:val="00AB57E2"/>
    <w:rsid w:val="00AB58BC"/>
    <w:rsid w:val="00AB5C49"/>
    <w:rsid w:val="00AB5E07"/>
    <w:rsid w:val="00AB5F7C"/>
    <w:rsid w:val="00AB62A1"/>
    <w:rsid w:val="00AB6511"/>
    <w:rsid w:val="00AB6E9C"/>
    <w:rsid w:val="00AB71E2"/>
    <w:rsid w:val="00AB792E"/>
    <w:rsid w:val="00AB7CFA"/>
    <w:rsid w:val="00AC0259"/>
    <w:rsid w:val="00AC0D59"/>
    <w:rsid w:val="00AC0DE6"/>
    <w:rsid w:val="00AC21A5"/>
    <w:rsid w:val="00AC22B3"/>
    <w:rsid w:val="00AC2A5A"/>
    <w:rsid w:val="00AC2B13"/>
    <w:rsid w:val="00AC2F2D"/>
    <w:rsid w:val="00AC3185"/>
    <w:rsid w:val="00AC34E4"/>
    <w:rsid w:val="00AC369C"/>
    <w:rsid w:val="00AC37F1"/>
    <w:rsid w:val="00AC38EC"/>
    <w:rsid w:val="00AC39BA"/>
    <w:rsid w:val="00AC3AA9"/>
    <w:rsid w:val="00AC3C18"/>
    <w:rsid w:val="00AC4008"/>
    <w:rsid w:val="00AC4E9C"/>
    <w:rsid w:val="00AC4F94"/>
    <w:rsid w:val="00AC5064"/>
    <w:rsid w:val="00AC536B"/>
    <w:rsid w:val="00AC5727"/>
    <w:rsid w:val="00AC58FB"/>
    <w:rsid w:val="00AC59A1"/>
    <w:rsid w:val="00AC5B42"/>
    <w:rsid w:val="00AC5B48"/>
    <w:rsid w:val="00AC5D20"/>
    <w:rsid w:val="00AC5E66"/>
    <w:rsid w:val="00AC5FBC"/>
    <w:rsid w:val="00AC6254"/>
    <w:rsid w:val="00AC6294"/>
    <w:rsid w:val="00AC68F0"/>
    <w:rsid w:val="00AC6986"/>
    <w:rsid w:val="00AC7661"/>
    <w:rsid w:val="00AC76BD"/>
    <w:rsid w:val="00AC7733"/>
    <w:rsid w:val="00AC7971"/>
    <w:rsid w:val="00AC7BFA"/>
    <w:rsid w:val="00AD0049"/>
    <w:rsid w:val="00AD022E"/>
    <w:rsid w:val="00AD04B8"/>
    <w:rsid w:val="00AD07EE"/>
    <w:rsid w:val="00AD093E"/>
    <w:rsid w:val="00AD0AB4"/>
    <w:rsid w:val="00AD0B45"/>
    <w:rsid w:val="00AD1358"/>
    <w:rsid w:val="00AD1450"/>
    <w:rsid w:val="00AD1471"/>
    <w:rsid w:val="00AD14EC"/>
    <w:rsid w:val="00AD15E8"/>
    <w:rsid w:val="00AD1AFF"/>
    <w:rsid w:val="00AD1B33"/>
    <w:rsid w:val="00AD1E56"/>
    <w:rsid w:val="00AD26E8"/>
    <w:rsid w:val="00AD356D"/>
    <w:rsid w:val="00AD37B0"/>
    <w:rsid w:val="00AD38F4"/>
    <w:rsid w:val="00AD3B00"/>
    <w:rsid w:val="00AD40EC"/>
    <w:rsid w:val="00AD4123"/>
    <w:rsid w:val="00AD41AF"/>
    <w:rsid w:val="00AD42A1"/>
    <w:rsid w:val="00AD44AD"/>
    <w:rsid w:val="00AD4509"/>
    <w:rsid w:val="00AD5094"/>
    <w:rsid w:val="00AD52CF"/>
    <w:rsid w:val="00AD5384"/>
    <w:rsid w:val="00AD53B4"/>
    <w:rsid w:val="00AD545F"/>
    <w:rsid w:val="00AD593E"/>
    <w:rsid w:val="00AD5AC5"/>
    <w:rsid w:val="00AD5B62"/>
    <w:rsid w:val="00AD5DAB"/>
    <w:rsid w:val="00AD6502"/>
    <w:rsid w:val="00AD68E9"/>
    <w:rsid w:val="00AD6E6A"/>
    <w:rsid w:val="00AD75E2"/>
    <w:rsid w:val="00AD76E4"/>
    <w:rsid w:val="00AD780E"/>
    <w:rsid w:val="00AD79A0"/>
    <w:rsid w:val="00AD7ADB"/>
    <w:rsid w:val="00AE00A5"/>
    <w:rsid w:val="00AE018B"/>
    <w:rsid w:val="00AE0247"/>
    <w:rsid w:val="00AE04C1"/>
    <w:rsid w:val="00AE0654"/>
    <w:rsid w:val="00AE0695"/>
    <w:rsid w:val="00AE0F1C"/>
    <w:rsid w:val="00AE0F78"/>
    <w:rsid w:val="00AE15FE"/>
    <w:rsid w:val="00AE1624"/>
    <w:rsid w:val="00AE1C52"/>
    <w:rsid w:val="00AE1EB4"/>
    <w:rsid w:val="00AE1F94"/>
    <w:rsid w:val="00AE1FE2"/>
    <w:rsid w:val="00AE20E7"/>
    <w:rsid w:val="00AE2142"/>
    <w:rsid w:val="00AE232E"/>
    <w:rsid w:val="00AE2976"/>
    <w:rsid w:val="00AE29B4"/>
    <w:rsid w:val="00AE2C27"/>
    <w:rsid w:val="00AE2F03"/>
    <w:rsid w:val="00AE319C"/>
    <w:rsid w:val="00AE34B9"/>
    <w:rsid w:val="00AE35D2"/>
    <w:rsid w:val="00AE3749"/>
    <w:rsid w:val="00AE3E7E"/>
    <w:rsid w:val="00AE4270"/>
    <w:rsid w:val="00AE441C"/>
    <w:rsid w:val="00AE4508"/>
    <w:rsid w:val="00AE46ED"/>
    <w:rsid w:val="00AE47FF"/>
    <w:rsid w:val="00AE4E08"/>
    <w:rsid w:val="00AE4FD7"/>
    <w:rsid w:val="00AE5517"/>
    <w:rsid w:val="00AE55EA"/>
    <w:rsid w:val="00AE56CA"/>
    <w:rsid w:val="00AE5AAE"/>
    <w:rsid w:val="00AE6290"/>
    <w:rsid w:val="00AE6310"/>
    <w:rsid w:val="00AE6615"/>
    <w:rsid w:val="00AE6C44"/>
    <w:rsid w:val="00AE7046"/>
    <w:rsid w:val="00AE70F3"/>
    <w:rsid w:val="00AE7295"/>
    <w:rsid w:val="00AE73E4"/>
    <w:rsid w:val="00AE7595"/>
    <w:rsid w:val="00AE7C39"/>
    <w:rsid w:val="00AE7E53"/>
    <w:rsid w:val="00AF00E3"/>
    <w:rsid w:val="00AF02AA"/>
    <w:rsid w:val="00AF0301"/>
    <w:rsid w:val="00AF05B6"/>
    <w:rsid w:val="00AF0674"/>
    <w:rsid w:val="00AF0740"/>
    <w:rsid w:val="00AF074B"/>
    <w:rsid w:val="00AF07DD"/>
    <w:rsid w:val="00AF08A0"/>
    <w:rsid w:val="00AF0AF1"/>
    <w:rsid w:val="00AF0E47"/>
    <w:rsid w:val="00AF0F77"/>
    <w:rsid w:val="00AF1315"/>
    <w:rsid w:val="00AF1989"/>
    <w:rsid w:val="00AF19BF"/>
    <w:rsid w:val="00AF1E5B"/>
    <w:rsid w:val="00AF1F00"/>
    <w:rsid w:val="00AF21B9"/>
    <w:rsid w:val="00AF2262"/>
    <w:rsid w:val="00AF24A9"/>
    <w:rsid w:val="00AF29F7"/>
    <w:rsid w:val="00AF2DC3"/>
    <w:rsid w:val="00AF3D6E"/>
    <w:rsid w:val="00AF3EE4"/>
    <w:rsid w:val="00AF3F41"/>
    <w:rsid w:val="00AF3FAD"/>
    <w:rsid w:val="00AF4462"/>
    <w:rsid w:val="00AF4480"/>
    <w:rsid w:val="00AF4CA5"/>
    <w:rsid w:val="00AF5097"/>
    <w:rsid w:val="00AF5209"/>
    <w:rsid w:val="00AF54C9"/>
    <w:rsid w:val="00AF5729"/>
    <w:rsid w:val="00AF5B0B"/>
    <w:rsid w:val="00AF5B2A"/>
    <w:rsid w:val="00AF5CF5"/>
    <w:rsid w:val="00AF6435"/>
    <w:rsid w:val="00AF691A"/>
    <w:rsid w:val="00AF7169"/>
    <w:rsid w:val="00AF73B0"/>
    <w:rsid w:val="00AF73B2"/>
    <w:rsid w:val="00AF74B2"/>
    <w:rsid w:val="00AF7CBF"/>
    <w:rsid w:val="00B00464"/>
    <w:rsid w:val="00B0047D"/>
    <w:rsid w:val="00B0056C"/>
    <w:rsid w:val="00B008C4"/>
    <w:rsid w:val="00B00A07"/>
    <w:rsid w:val="00B00A74"/>
    <w:rsid w:val="00B00FF6"/>
    <w:rsid w:val="00B010F4"/>
    <w:rsid w:val="00B01247"/>
    <w:rsid w:val="00B014C5"/>
    <w:rsid w:val="00B01AE1"/>
    <w:rsid w:val="00B01F3F"/>
    <w:rsid w:val="00B02272"/>
    <w:rsid w:val="00B02443"/>
    <w:rsid w:val="00B024AA"/>
    <w:rsid w:val="00B027BB"/>
    <w:rsid w:val="00B02976"/>
    <w:rsid w:val="00B029A9"/>
    <w:rsid w:val="00B02A10"/>
    <w:rsid w:val="00B02E83"/>
    <w:rsid w:val="00B03105"/>
    <w:rsid w:val="00B031DB"/>
    <w:rsid w:val="00B03218"/>
    <w:rsid w:val="00B033E5"/>
    <w:rsid w:val="00B036FC"/>
    <w:rsid w:val="00B039E1"/>
    <w:rsid w:val="00B03A63"/>
    <w:rsid w:val="00B03C9D"/>
    <w:rsid w:val="00B04273"/>
    <w:rsid w:val="00B04774"/>
    <w:rsid w:val="00B04C1F"/>
    <w:rsid w:val="00B05043"/>
    <w:rsid w:val="00B055F4"/>
    <w:rsid w:val="00B05665"/>
    <w:rsid w:val="00B0577F"/>
    <w:rsid w:val="00B05846"/>
    <w:rsid w:val="00B058A5"/>
    <w:rsid w:val="00B05CBE"/>
    <w:rsid w:val="00B0607D"/>
    <w:rsid w:val="00B06233"/>
    <w:rsid w:val="00B06D3E"/>
    <w:rsid w:val="00B06EFB"/>
    <w:rsid w:val="00B07104"/>
    <w:rsid w:val="00B07239"/>
    <w:rsid w:val="00B077A9"/>
    <w:rsid w:val="00B079F1"/>
    <w:rsid w:val="00B07FB5"/>
    <w:rsid w:val="00B07FEC"/>
    <w:rsid w:val="00B10567"/>
    <w:rsid w:val="00B108ED"/>
    <w:rsid w:val="00B11313"/>
    <w:rsid w:val="00B11D83"/>
    <w:rsid w:val="00B11F22"/>
    <w:rsid w:val="00B12596"/>
    <w:rsid w:val="00B129A4"/>
    <w:rsid w:val="00B12C8B"/>
    <w:rsid w:val="00B1328F"/>
    <w:rsid w:val="00B139C3"/>
    <w:rsid w:val="00B140FA"/>
    <w:rsid w:val="00B143A2"/>
    <w:rsid w:val="00B146DB"/>
    <w:rsid w:val="00B14C91"/>
    <w:rsid w:val="00B1547D"/>
    <w:rsid w:val="00B156A1"/>
    <w:rsid w:val="00B1570B"/>
    <w:rsid w:val="00B1603F"/>
    <w:rsid w:val="00B1643C"/>
    <w:rsid w:val="00B164CE"/>
    <w:rsid w:val="00B16C9D"/>
    <w:rsid w:val="00B1721B"/>
    <w:rsid w:val="00B173A2"/>
    <w:rsid w:val="00B17943"/>
    <w:rsid w:val="00B1797F"/>
    <w:rsid w:val="00B17E97"/>
    <w:rsid w:val="00B201A4"/>
    <w:rsid w:val="00B201D1"/>
    <w:rsid w:val="00B207B9"/>
    <w:rsid w:val="00B209B0"/>
    <w:rsid w:val="00B20EED"/>
    <w:rsid w:val="00B2100A"/>
    <w:rsid w:val="00B213A6"/>
    <w:rsid w:val="00B2183F"/>
    <w:rsid w:val="00B21970"/>
    <w:rsid w:val="00B2210A"/>
    <w:rsid w:val="00B223DF"/>
    <w:rsid w:val="00B226C9"/>
    <w:rsid w:val="00B22D5E"/>
    <w:rsid w:val="00B22E8A"/>
    <w:rsid w:val="00B22EEA"/>
    <w:rsid w:val="00B23142"/>
    <w:rsid w:val="00B234E9"/>
    <w:rsid w:val="00B235B0"/>
    <w:rsid w:val="00B23B2E"/>
    <w:rsid w:val="00B23BDA"/>
    <w:rsid w:val="00B23C49"/>
    <w:rsid w:val="00B23CF1"/>
    <w:rsid w:val="00B23DB7"/>
    <w:rsid w:val="00B2402C"/>
    <w:rsid w:val="00B241DD"/>
    <w:rsid w:val="00B242B3"/>
    <w:rsid w:val="00B24983"/>
    <w:rsid w:val="00B24DF6"/>
    <w:rsid w:val="00B25064"/>
    <w:rsid w:val="00B2526D"/>
    <w:rsid w:val="00B25677"/>
    <w:rsid w:val="00B25C4C"/>
    <w:rsid w:val="00B25E44"/>
    <w:rsid w:val="00B26D1D"/>
    <w:rsid w:val="00B272F1"/>
    <w:rsid w:val="00B2737C"/>
    <w:rsid w:val="00B27993"/>
    <w:rsid w:val="00B27A61"/>
    <w:rsid w:val="00B27A93"/>
    <w:rsid w:val="00B27BB2"/>
    <w:rsid w:val="00B27CFB"/>
    <w:rsid w:val="00B27D56"/>
    <w:rsid w:val="00B27EA8"/>
    <w:rsid w:val="00B30006"/>
    <w:rsid w:val="00B3017A"/>
    <w:rsid w:val="00B30525"/>
    <w:rsid w:val="00B305CD"/>
    <w:rsid w:val="00B3077E"/>
    <w:rsid w:val="00B30A19"/>
    <w:rsid w:val="00B30A74"/>
    <w:rsid w:val="00B30DF5"/>
    <w:rsid w:val="00B31DF6"/>
    <w:rsid w:val="00B322DF"/>
    <w:rsid w:val="00B32442"/>
    <w:rsid w:val="00B3298C"/>
    <w:rsid w:val="00B33089"/>
    <w:rsid w:val="00B337EF"/>
    <w:rsid w:val="00B339FA"/>
    <w:rsid w:val="00B33A23"/>
    <w:rsid w:val="00B33D1C"/>
    <w:rsid w:val="00B33D6C"/>
    <w:rsid w:val="00B33EF3"/>
    <w:rsid w:val="00B34277"/>
    <w:rsid w:val="00B347CA"/>
    <w:rsid w:val="00B3488F"/>
    <w:rsid w:val="00B34939"/>
    <w:rsid w:val="00B34A35"/>
    <w:rsid w:val="00B34A6E"/>
    <w:rsid w:val="00B34B10"/>
    <w:rsid w:val="00B34EAF"/>
    <w:rsid w:val="00B34FE2"/>
    <w:rsid w:val="00B35104"/>
    <w:rsid w:val="00B35166"/>
    <w:rsid w:val="00B353B8"/>
    <w:rsid w:val="00B3555A"/>
    <w:rsid w:val="00B357D8"/>
    <w:rsid w:val="00B35E02"/>
    <w:rsid w:val="00B360F4"/>
    <w:rsid w:val="00B3635E"/>
    <w:rsid w:val="00B365AB"/>
    <w:rsid w:val="00B3674D"/>
    <w:rsid w:val="00B36A00"/>
    <w:rsid w:val="00B36B4F"/>
    <w:rsid w:val="00B371BE"/>
    <w:rsid w:val="00B3792B"/>
    <w:rsid w:val="00B37AC7"/>
    <w:rsid w:val="00B37BFC"/>
    <w:rsid w:val="00B40200"/>
    <w:rsid w:val="00B40358"/>
    <w:rsid w:val="00B403C6"/>
    <w:rsid w:val="00B40553"/>
    <w:rsid w:val="00B4057A"/>
    <w:rsid w:val="00B406B4"/>
    <w:rsid w:val="00B410E6"/>
    <w:rsid w:val="00B41614"/>
    <w:rsid w:val="00B41795"/>
    <w:rsid w:val="00B419CB"/>
    <w:rsid w:val="00B41EBB"/>
    <w:rsid w:val="00B42181"/>
    <w:rsid w:val="00B422A0"/>
    <w:rsid w:val="00B426C1"/>
    <w:rsid w:val="00B42851"/>
    <w:rsid w:val="00B42A5E"/>
    <w:rsid w:val="00B42F80"/>
    <w:rsid w:val="00B4309D"/>
    <w:rsid w:val="00B435CB"/>
    <w:rsid w:val="00B4365A"/>
    <w:rsid w:val="00B4383D"/>
    <w:rsid w:val="00B439FF"/>
    <w:rsid w:val="00B43D9D"/>
    <w:rsid w:val="00B44569"/>
    <w:rsid w:val="00B44821"/>
    <w:rsid w:val="00B44A4F"/>
    <w:rsid w:val="00B44F2E"/>
    <w:rsid w:val="00B45346"/>
    <w:rsid w:val="00B453BB"/>
    <w:rsid w:val="00B45C29"/>
    <w:rsid w:val="00B45E67"/>
    <w:rsid w:val="00B46045"/>
    <w:rsid w:val="00B46332"/>
    <w:rsid w:val="00B465EC"/>
    <w:rsid w:val="00B465F1"/>
    <w:rsid w:val="00B46D6C"/>
    <w:rsid w:val="00B4752A"/>
    <w:rsid w:val="00B47835"/>
    <w:rsid w:val="00B478CA"/>
    <w:rsid w:val="00B47CF3"/>
    <w:rsid w:val="00B502A0"/>
    <w:rsid w:val="00B5054F"/>
    <w:rsid w:val="00B505C8"/>
    <w:rsid w:val="00B50B52"/>
    <w:rsid w:val="00B50DB8"/>
    <w:rsid w:val="00B50EBC"/>
    <w:rsid w:val="00B513A5"/>
    <w:rsid w:val="00B5145E"/>
    <w:rsid w:val="00B51793"/>
    <w:rsid w:val="00B51BD0"/>
    <w:rsid w:val="00B51E62"/>
    <w:rsid w:val="00B51EDE"/>
    <w:rsid w:val="00B51F83"/>
    <w:rsid w:val="00B52007"/>
    <w:rsid w:val="00B52414"/>
    <w:rsid w:val="00B52573"/>
    <w:rsid w:val="00B52B72"/>
    <w:rsid w:val="00B53116"/>
    <w:rsid w:val="00B5325E"/>
    <w:rsid w:val="00B53654"/>
    <w:rsid w:val="00B536A7"/>
    <w:rsid w:val="00B53905"/>
    <w:rsid w:val="00B53CD7"/>
    <w:rsid w:val="00B53F3F"/>
    <w:rsid w:val="00B54071"/>
    <w:rsid w:val="00B54341"/>
    <w:rsid w:val="00B5461F"/>
    <w:rsid w:val="00B546DB"/>
    <w:rsid w:val="00B54B5B"/>
    <w:rsid w:val="00B551C1"/>
    <w:rsid w:val="00B5562E"/>
    <w:rsid w:val="00B557EC"/>
    <w:rsid w:val="00B55862"/>
    <w:rsid w:val="00B55D65"/>
    <w:rsid w:val="00B55FE8"/>
    <w:rsid w:val="00B56305"/>
    <w:rsid w:val="00B569DF"/>
    <w:rsid w:val="00B56BE5"/>
    <w:rsid w:val="00B56C1D"/>
    <w:rsid w:val="00B56FE6"/>
    <w:rsid w:val="00B57000"/>
    <w:rsid w:val="00B5733F"/>
    <w:rsid w:val="00B57810"/>
    <w:rsid w:val="00B57C43"/>
    <w:rsid w:val="00B57DCB"/>
    <w:rsid w:val="00B601B8"/>
    <w:rsid w:val="00B603E8"/>
    <w:rsid w:val="00B60939"/>
    <w:rsid w:val="00B60AFD"/>
    <w:rsid w:val="00B60CAC"/>
    <w:rsid w:val="00B611EF"/>
    <w:rsid w:val="00B616A1"/>
    <w:rsid w:val="00B61C29"/>
    <w:rsid w:val="00B62220"/>
    <w:rsid w:val="00B6228D"/>
    <w:rsid w:val="00B623CD"/>
    <w:rsid w:val="00B62715"/>
    <w:rsid w:val="00B62AAA"/>
    <w:rsid w:val="00B62F39"/>
    <w:rsid w:val="00B632E0"/>
    <w:rsid w:val="00B63442"/>
    <w:rsid w:val="00B6351C"/>
    <w:rsid w:val="00B6395A"/>
    <w:rsid w:val="00B6417B"/>
    <w:rsid w:val="00B643C9"/>
    <w:rsid w:val="00B643D2"/>
    <w:rsid w:val="00B64837"/>
    <w:rsid w:val="00B64D0F"/>
    <w:rsid w:val="00B64FF2"/>
    <w:rsid w:val="00B65173"/>
    <w:rsid w:val="00B65328"/>
    <w:rsid w:val="00B65611"/>
    <w:rsid w:val="00B6564E"/>
    <w:rsid w:val="00B657F3"/>
    <w:rsid w:val="00B66068"/>
    <w:rsid w:val="00B6611B"/>
    <w:rsid w:val="00B66128"/>
    <w:rsid w:val="00B66241"/>
    <w:rsid w:val="00B665DF"/>
    <w:rsid w:val="00B66652"/>
    <w:rsid w:val="00B66C75"/>
    <w:rsid w:val="00B66DE1"/>
    <w:rsid w:val="00B66F0B"/>
    <w:rsid w:val="00B6735B"/>
    <w:rsid w:val="00B674DF"/>
    <w:rsid w:val="00B675B0"/>
    <w:rsid w:val="00B67754"/>
    <w:rsid w:val="00B67936"/>
    <w:rsid w:val="00B67980"/>
    <w:rsid w:val="00B67CC9"/>
    <w:rsid w:val="00B67CCD"/>
    <w:rsid w:val="00B67EC3"/>
    <w:rsid w:val="00B70148"/>
    <w:rsid w:val="00B70A9E"/>
    <w:rsid w:val="00B70ACA"/>
    <w:rsid w:val="00B70CD7"/>
    <w:rsid w:val="00B70E4F"/>
    <w:rsid w:val="00B70E8E"/>
    <w:rsid w:val="00B711E6"/>
    <w:rsid w:val="00B7153E"/>
    <w:rsid w:val="00B715D1"/>
    <w:rsid w:val="00B7189E"/>
    <w:rsid w:val="00B71B89"/>
    <w:rsid w:val="00B71F0E"/>
    <w:rsid w:val="00B71F72"/>
    <w:rsid w:val="00B720F2"/>
    <w:rsid w:val="00B72170"/>
    <w:rsid w:val="00B7241F"/>
    <w:rsid w:val="00B7276B"/>
    <w:rsid w:val="00B7292F"/>
    <w:rsid w:val="00B72CDC"/>
    <w:rsid w:val="00B732AB"/>
    <w:rsid w:val="00B73319"/>
    <w:rsid w:val="00B73626"/>
    <w:rsid w:val="00B738C6"/>
    <w:rsid w:val="00B73922"/>
    <w:rsid w:val="00B73992"/>
    <w:rsid w:val="00B73A2B"/>
    <w:rsid w:val="00B73AA0"/>
    <w:rsid w:val="00B73E48"/>
    <w:rsid w:val="00B744C7"/>
    <w:rsid w:val="00B745D5"/>
    <w:rsid w:val="00B74657"/>
    <w:rsid w:val="00B74681"/>
    <w:rsid w:val="00B750D9"/>
    <w:rsid w:val="00B752D2"/>
    <w:rsid w:val="00B75446"/>
    <w:rsid w:val="00B75780"/>
    <w:rsid w:val="00B75D59"/>
    <w:rsid w:val="00B7634C"/>
    <w:rsid w:val="00B7664A"/>
    <w:rsid w:val="00B767D8"/>
    <w:rsid w:val="00B76A84"/>
    <w:rsid w:val="00B76C92"/>
    <w:rsid w:val="00B76F06"/>
    <w:rsid w:val="00B7727C"/>
    <w:rsid w:val="00B7787D"/>
    <w:rsid w:val="00B77933"/>
    <w:rsid w:val="00B77B25"/>
    <w:rsid w:val="00B77E25"/>
    <w:rsid w:val="00B77F1E"/>
    <w:rsid w:val="00B80172"/>
    <w:rsid w:val="00B808A8"/>
    <w:rsid w:val="00B80B4C"/>
    <w:rsid w:val="00B80EFD"/>
    <w:rsid w:val="00B813D2"/>
    <w:rsid w:val="00B81428"/>
    <w:rsid w:val="00B815EC"/>
    <w:rsid w:val="00B8177B"/>
    <w:rsid w:val="00B818A4"/>
    <w:rsid w:val="00B81B95"/>
    <w:rsid w:val="00B81C8A"/>
    <w:rsid w:val="00B8203F"/>
    <w:rsid w:val="00B824AB"/>
    <w:rsid w:val="00B827EA"/>
    <w:rsid w:val="00B83293"/>
    <w:rsid w:val="00B834E5"/>
    <w:rsid w:val="00B83739"/>
    <w:rsid w:val="00B83B22"/>
    <w:rsid w:val="00B83E04"/>
    <w:rsid w:val="00B84117"/>
    <w:rsid w:val="00B8456F"/>
    <w:rsid w:val="00B8458E"/>
    <w:rsid w:val="00B848FD"/>
    <w:rsid w:val="00B84AA5"/>
    <w:rsid w:val="00B84F04"/>
    <w:rsid w:val="00B850F5"/>
    <w:rsid w:val="00B8512C"/>
    <w:rsid w:val="00B851A7"/>
    <w:rsid w:val="00B85886"/>
    <w:rsid w:val="00B858F0"/>
    <w:rsid w:val="00B85AA2"/>
    <w:rsid w:val="00B85B82"/>
    <w:rsid w:val="00B85E6E"/>
    <w:rsid w:val="00B85F26"/>
    <w:rsid w:val="00B8613E"/>
    <w:rsid w:val="00B862D1"/>
    <w:rsid w:val="00B8649C"/>
    <w:rsid w:val="00B86616"/>
    <w:rsid w:val="00B867BE"/>
    <w:rsid w:val="00B8689D"/>
    <w:rsid w:val="00B8695D"/>
    <w:rsid w:val="00B86AE2"/>
    <w:rsid w:val="00B86BD8"/>
    <w:rsid w:val="00B86C00"/>
    <w:rsid w:val="00B86C7F"/>
    <w:rsid w:val="00B86F9D"/>
    <w:rsid w:val="00B871E0"/>
    <w:rsid w:val="00B87B16"/>
    <w:rsid w:val="00B87C66"/>
    <w:rsid w:val="00B87F0A"/>
    <w:rsid w:val="00B87FB4"/>
    <w:rsid w:val="00B9024D"/>
    <w:rsid w:val="00B903AF"/>
    <w:rsid w:val="00B909CA"/>
    <w:rsid w:val="00B909F7"/>
    <w:rsid w:val="00B90BC0"/>
    <w:rsid w:val="00B90BEF"/>
    <w:rsid w:val="00B90CAF"/>
    <w:rsid w:val="00B90CEF"/>
    <w:rsid w:val="00B91680"/>
    <w:rsid w:val="00B9179E"/>
    <w:rsid w:val="00B918E1"/>
    <w:rsid w:val="00B91C0C"/>
    <w:rsid w:val="00B91CA4"/>
    <w:rsid w:val="00B92100"/>
    <w:rsid w:val="00B9255C"/>
    <w:rsid w:val="00B92676"/>
    <w:rsid w:val="00B927A0"/>
    <w:rsid w:val="00B92D0B"/>
    <w:rsid w:val="00B93522"/>
    <w:rsid w:val="00B93760"/>
    <w:rsid w:val="00B938B0"/>
    <w:rsid w:val="00B93C52"/>
    <w:rsid w:val="00B93E50"/>
    <w:rsid w:val="00B93F67"/>
    <w:rsid w:val="00B93F7E"/>
    <w:rsid w:val="00B941EF"/>
    <w:rsid w:val="00B9431D"/>
    <w:rsid w:val="00B944E6"/>
    <w:rsid w:val="00B94945"/>
    <w:rsid w:val="00B94BFB"/>
    <w:rsid w:val="00B94D74"/>
    <w:rsid w:val="00B94DD6"/>
    <w:rsid w:val="00B952BC"/>
    <w:rsid w:val="00B95325"/>
    <w:rsid w:val="00B9534E"/>
    <w:rsid w:val="00B953A5"/>
    <w:rsid w:val="00B95447"/>
    <w:rsid w:val="00B9560F"/>
    <w:rsid w:val="00B95851"/>
    <w:rsid w:val="00B95A16"/>
    <w:rsid w:val="00B95C98"/>
    <w:rsid w:val="00B95D00"/>
    <w:rsid w:val="00B95D8A"/>
    <w:rsid w:val="00B961D9"/>
    <w:rsid w:val="00B968A7"/>
    <w:rsid w:val="00B9704F"/>
    <w:rsid w:val="00B97123"/>
    <w:rsid w:val="00B973F2"/>
    <w:rsid w:val="00B974C4"/>
    <w:rsid w:val="00B9755F"/>
    <w:rsid w:val="00B975BB"/>
    <w:rsid w:val="00B97668"/>
    <w:rsid w:val="00B97CA6"/>
    <w:rsid w:val="00BA0406"/>
    <w:rsid w:val="00BA0588"/>
    <w:rsid w:val="00BA0A8A"/>
    <w:rsid w:val="00BA0BBD"/>
    <w:rsid w:val="00BA1892"/>
    <w:rsid w:val="00BA2098"/>
    <w:rsid w:val="00BA2509"/>
    <w:rsid w:val="00BA3079"/>
    <w:rsid w:val="00BA322D"/>
    <w:rsid w:val="00BA39D5"/>
    <w:rsid w:val="00BA3BE0"/>
    <w:rsid w:val="00BA42F6"/>
    <w:rsid w:val="00BA44C9"/>
    <w:rsid w:val="00BA495C"/>
    <w:rsid w:val="00BA4A98"/>
    <w:rsid w:val="00BA4B27"/>
    <w:rsid w:val="00BA5B91"/>
    <w:rsid w:val="00BA60CB"/>
    <w:rsid w:val="00BA6341"/>
    <w:rsid w:val="00BA639E"/>
    <w:rsid w:val="00BA63FA"/>
    <w:rsid w:val="00BA7143"/>
    <w:rsid w:val="00BA71AB"/>
    <w:rsid w:val="00BA72C0"/>
    <w:rsid w:val="00BA7329"/>
    <w:rsid w:val="00BA7337"/>
    <w:rsid w:val="00BA7554"/>
    <w:rsid w:val="00BA75CE"/>
    <w:rsid w:val="00BA7930"/>
    <w:rsid w:val="00BA7A95"/>
    <w:rsid w:val="00BA7E61"/>
    <w:rsid w:val="00BB00B3"/>
    <w:rsid w:val="00BB07F0"/>
    <w:rsid w:val="00BB0BDD"/>
    <w:rsid w:val="00BB0E61"/>
    <w:rsid w:val="00BB0E8B"/>
    <w:rsid w:val="00BB129A"/>
    <w:rsid w:val="00BB1545"/>
    <w:rsid w:val="00BB15E2"/>
    <w:rsid w:val="00BB176C"/>
    <w:rsid w:val="00BB1787"/>
    <w:rsid w:val="00BB1BA0"/>
    <w:rsid w:val="00BB1D30"/>
    <w:rsid w:val="00BB1E2D"/>
    <w:rsid w:val="00BB206D"/>
    <w:rsid w:val="00BB26ED"/>
    <w:rsid w:val="00BB27E4"/>
    <w:rsid w:val="00BB291F"/>
    <w:rsid w:val="00BB2A73"/>
    <w:rsid w:val="00BB2ADB"/>
    <w:rsid w:val="00BB2D0D"/>
    <w:rsid w:val="00BB2D55"/>
    <w:rsid w:val="00BB3068"/>
    <w:rsid w:val="00BB3235"/>
    <w:rsid w:val="00BB327E"/>
    <w:rsid w:val="00BB3412"/>
    <w:rsid w:val="00BB34A7"/>
    <w:rsid w:val="00BB3600"/>
    <w:rsid w:val="00BB3676"/>
    <w:rsid w:val="00BB3924"/>
    <w:rsid w:val="00BB39A7"/>
    <w:rsid w:val="00BB3A45"/>
    <w:rsid w:val="00BB432D"/>
    <w:rsid w:val="00BB435A"/>
    <w:rsid w:val="00BB49CD"/>
    <w:rsid w:val="00BB4ACC"/>
    <w:rsid w:val="00BB4BD4"/>
    <w:rsid w:val="00BB4BD7"/>
    <w:rsid w:val="00BB56C7"/>
    <w:rsid w:val="00BB58D3"/>
    <w:rsid w:val="00BB5A29"/>
    <w:rsid w:val="00BB6091"/>
    <w:rsid w:val="00BB6614"/>
    <w:rsid w:val="00BB666B"/>
    <w:rsid w:val="00BB670A"/>
    <w:rsid w:val="00BB689D"/>
    <w:rsid w:val="00BB6CA2"/>
    <w:rsid w:val="00BB703E"/>
    <w:rsid w:val="00BB732D"/>
    <w:rsid w:val="00BB7385"/>
    <w:rsid w:val="00BB7405"/>
    <w:rsid w:val="00BB79A0"/>
    <w:rsid w:val="00BB7C79"/>
    <w:rsid w:val="00BC00BB"/>
    <w:rsid w:val="00BC03D8"/>
    <w:rsid w:val="00BC0AFC"/>
    <w:rsid w:val="00BC0CD5"/>
    <w:rsid w:val="00BC0F54"/>
    <w:rsid w:val="00BC10D6"/>
    <w:rsid w:val="00BC14B7"/>
    <w:rsid w:val="00BC1859"/>
    <w:rsid w:val="00BC189E"/>
    <w:rsid w:val="00BC1DA9"/>
    <w:rsid w:val="00BC22EE"/>
    <w:rsid w:val="00BC2CBA"/>
    <w:rsid w:val="00BC357D"/>
    <w:rsid w:val="00BC3631"/>
    <w:rsid w:val="00BC3634"/>
    <w:rsid w:val="00BC3825"/>
    <w:rsid w:val="00BC39F6"/>
    <w:rsid w:val="00BC3A65"/>
    <w:rsid w:val="00BC3AF2"/>
    <w:rsid w:val="00BC3C7F"/>
    <w:rsid w:val="00BC3D17"/>
    <w:rsid w:val="00BC3FE8"/>
    <w:rsid w:val="00BC4057"/>
    <w:rsid w:val="00BC48ED"/>
    <w:rsid w:val="00BC49BF"/>
    <w:rsid w:val="00BC4B22"/>
    <w:rsid w:val="00BC4E42"/>
    <w:rsid w:val="00BC5691"/>
    <w:rsid w:val="00BC5902"/>
    <w:rsid w:val="00BC591F"/>
    <w:rsid w:val="00BC5C1F"/>
    <w:rsid w:val="00BC61BC"/>
    <w:rsid w:val="00BC62ED"/>
    <w:rsid w:val="00BC62F0"/>
    <w:rsid w:val="00BC67A1"/>
    <w:rsid w:val="00BC696E"/>
    <w:rsid w:val="00BC69BA"/>
    <w:rsid w:val="00BC6C9D"/>
    <w:rsid w:val="00BC6F07"/>
    <w:rsid w:val="00BC6F7D"/>
    <w:rsid w:val="00BC7730"/>
    <w:rsid w:val="00BC7AC7"/>
    <w:rsid w:val="00BC7C55"/>
    <w:rsid w:val="00BC7D6D"/>
    <w:rsid w:val="00BD089E"/>
    <w:rsid w:val="00BD0989"/>
    <w:rsid w:val="00BD09B3"/>
    <w:rsid w:val="00BD1071"/>
    <w:rsid w:val="00BD14DE"/>
    <w:rsid w:val="00BD1B41"/>
    <w:rsid w:val="00BD1DB5"/>
    <w:rsid w:val="00BD2108"/>
    <w:rsid w:val="00BD231E"/>
    <w:rsid w:val="00BD2621"/>
    <w:rsid w:val="00BD2775"/>
    <w:rsid w:val="00BD29CE"/>
    <w:rsid w:val="00BD2A44"/>
    <w:rsid w:val="00BD2D5A"/>
    <w:rsid w:val="00BD2EBE"/>
    <w:rsid w:val="00BD343A"/>
    <w:rsid w:val="00BD3467"/>
    <w:rsid w:val="00BD350A"/>
    <w:rsid w:val="00BD35A0"/>
    <w:rsid w:val="00BD41B1"/>
    <w:rsid w:val="00BD43C7"/>
    <w:rsid w:val="00BD468F"/>
    <w:rsid w:val="00BD46DD"/>
    <w:rsid w:val="00BD48AD"/>
    <w:rsid w:val="00BD4939"/>
    <w:rsid w:val="00BD4B74"/>
    <w:rsid w:val="00BD4DA8"/>
    <w:rsid w:val="00BD4E08"/>
    <w:rsid w:val="00BD4E38"/>
    <w:rsid w:val="00BD5EC5"/>
    <w:rsid w:val="00BD60B5"/>
    <w:rsid w:val="00BD61F7"/>
    <w:rsid w:val="00BD62DF"/>
    <w:rsid w:val="00BD64EA"/>
    <w:rsid w:val="00BD6578"/>
    <w:rsid w:val="00BD65F9"/>
    <w:rsid w:val="00BD67CF"/>
    <w:rsid w:val="00BD6871"/>
    <w:rsid w:val="00BD68A3"/>
    <w:rsid w:val="00BD6938"/>
    <w:rsid w:val="00BD6A90"/>
    <w:rsid w:val="00BD6CF3"/>
    <w:rsid w:val="00BD6E6E"/>
    <w:rsid w:val="00BD6E8F"/>
    <w:rsid w:val="00BD7461"/>
    <w:rsid w:val="00BD7586"/>
    <w:rsid w:val="00BD7657"/>
    <w:rsid w:val="00BD78C8"/>
    <w:rsid w:val="00BD7F72"/>
    <w:rsid w:val="00BE00E9"/>
    <w:rsid w:val="00BE052E"/>
    <w:rsid w:val="00BE0A79"/>
    <w:rsid w:val="00BE0AD8"/>
    <w:rsid w:val="00BE0ECA"/>
    <w:rsid w:val="00BE13F1"/>
    <w:rsid w:val="00BE19F8"/>
    <w:rsid w:val="00BE1A4B"/>
    <w:rsid w:val="00BE1AD4"/>
    <w:rsid w:val="00BE1B9E"/>
    <w:rsid w:val="00BE1CBA"/>
    <w:rsid w:val="00BE1CBE"/>
    <w:rsid w:val="00BE1E3D"/>
    <w:rsid w:val="00BE2180"/>
    <w:rsid w:val="00BE21F2"/>
    <w:rsid w:val="00BE24F6"/>
    <w:rsid w:val="00BE2A6E"/>
    <w:rsid w:val="00BE33A3"/>
    <w:rsid w:val="00BE345E"/>
    <w:rsid w:val="00BE3638"/>
    <w:rsid w:val="00BE375E"/>
    <w:rsid w:val="00BE3826"/>
    <w:rsid w:val="00BE3CF8"/>
    <w:rsid w:val="00BE3E5D"/>
    <w:rsid w:val="00BE408D"/>
    <w:rsid w:val="00BE4275"/>
    <w:rsid w:val="00BE43AA"/>
    <w:rsid w:val="00BE4412"/>
    <w:rsid w:val="00BE499A"/>
    <w:rsid w:val="00BE49CE"/>
    <w:rsid w:val="00BE4F47"/>
    <w:rsid w:val="00BE52AB"/>
    <w:rsid w:val="00BE5A75"/>
    <w:rsid w:val="00BE5DB8"/>
    <w:rsid w:val="00BE5E8B"/>
    <w:rsid w:val="00BE5EB0"/>
    <w:rsid w:val="00BE6B83"/>
    <w:rsid w:val="00BE6D6E"/>
    <w:rsid w:val="00BE7439"/>
    <w:rsid w:val="00BE76B6"/>
    <w:rsid w:val="00BE7BB0"/>
    <w:rsid w:val="00BE7F7F"/>
    <w:rsid w:val="00BF0111"/>
    <w:rsid w:val="00BF018C"/>
    <w:rsid w:val="00BF0309"/>
    <w:rsid w:val="00BF04E4"/>
    <w:rsid w:val="00BF06AE"/>
    <w:rsid w:val="00BF0776"/>
    <w:rsid w:val="00BF08D7"/>
    <w:rsid w:val="00BF0970"/>
    <w:rsid w:val="00BF0D77"/>
    <w:rsid w:val="00BF0EFF"/>
    <w:rsid w:val="00BF0F95"/>
    <w:rsid w:val="00BF1326"/>
    <w:rsid w:val="00BF1512"/>
    <w:rsid w:val="00BF19C6"/>
    <w:rsid w:val="00BF1A4A"/>
    <w:rsid w:val="00BF1DEB"/>
    <w:rsid w:val="00BF1F50"/>
    <w:rsid w:val="00BF2373"/>
    <w:rsid w:val="00BF2433"/>
    <w:rsid w:val="00BF2A99"/>
    <w:rsid w:val="00BF2E47"/>
    <w:rsid w:val="00BF2E6E"/>
    <w:rsid w:val="00BF2F48"/>
    <w:rsid w:val="00BF36E3"/>
    <w:rsid w:val="00BF3A76"/>
    <w:rsid w:val="00BF3F8B"/>
    <w:rsid w:val="00BF4306"/>
    <w:rsid w:val="00BF4421"/>
    <w:rsid w:val="00BF46B8"/>
    <w:rsid w:val="00BF4817"/>
    <w:rsid w:val="00BF4BA9"/>
    <w:rsid w:val="00BF4CD1"/>
    <w:rsid w:val="00BF4D7F"/>
    <w:rsid w:val="00BF4F77"/>
    <w:rsid w:val="00BF4F81"/>
    <w:rsid w:val="00BF50D9"/>
    <w:rsid w:val="00BF5475"/>
    <w:rsid w:val="00BF58A3"/>
    <w:rsid w:val="00BF5A5D"/>
    <w:rsid w:val="00BF5AF0"/>
    <w:rsid w:val="00BF61C9"/>
    <w:rsid w:val="00BF65D5"/>
    <w:rsid w:val="00BF66FC"/>
    <w:rsid w:val="00BF6BFC"/>
    <w:rsid w:val="00BF6C94"/>
    <w:rsid w:val="00BF6DD6"/>
    <w:rsid w:val="00BF7EA0"/>
    <w:rsid w:val="00BF7F95"/>
    <w:rsid w:val="00C000CA"/>
    <w:rsid w:val="00C003B5"/>
    <w:rsid w:val="00C00424"/>
    <w:rsid w:val="00C00615"/>
    <w:rsid w:val="00C00B1D"/>
    <w:rsid w:val="00C00B69"/>
    <w:rsid w:val="00C00BB0"/>
    <w:rsid w:val="00C00F92"/>
    <w:rsid w:val="00C01180"/>
    <w:rsid w:val="00C0170D"/>
    <w:rsid w:val="00C019C5"/>
    <w:rsid w:val="00C01CCB"/>
    <w:rsid w:val="00C020E4"/>
    <w:rsid w:val="00C0227D"/>
    <w:rsid w:val="00C023DF"/>
    <w:rsid w:val="00C02B56"/>
    <w:rsid w:val="00C03087"/>
    <w:rsid w:val="00C035D9"/>
    <w:rsid w:val="00C0386E"/>
    <w:rsid w:val="00C03AAA"/>
    <w:rsid w:val="00C03AE0"/>
    <w:rsid w:val="00C03D87"/>
    <w:rsid w:val="00C03EE4"/>
    <w:rsid w:val="00C0424A"/>
    <w:rsid w:val="00C04C05"/>
    <w:rsid w:val="00C05558"/>
    <w:rsid w:val="00C05F36"/>
    <w:rsid w:val="00C066AE"/>
    <w:rsid w:val="00C066F2"/>
    <w:rsid w:val="00C06700"/>
    <w:rsid w:val="00C068E7"/>
    <w:rsid w:val="00C07660"/>
    <w:rsid w:val="00C077C9"/>
    <w:rsid w:val="00C07A3D"/>
    <w:rsid w:val="00C07AD1"/>
    <w:rsid w:val="00C07B81"/>
    <w:rsid w:val="00C07DAB"/>
    <w:rsid w:val="00C10008"/>
    <w:rsid w:val="00C100DC"/>
    <w:rsid w:val="00C10513"/>
    <w:rsid w:val="00C10F2D"/>
    <w:rsid w:val="00C10F4B"/>
    <w:rsid w:val="00C10F8D"/>
    <w:rsid w:val="00C1108A"/>
    <w:rsid w:val="00C110B7"/>
    <w:rsid w:val="00C11255"/>
    <w:rsid w:val="00C1179F"/>
    <w:rsid w:val="00C117FB"/>
    <w:rsid w:val="00C118BC"/>
    <w:rsid w:val="00C11B9E"/>
    <w:rsid w:val="00C11D24"/>
    <w:rsid w:val="00C120C6"/>
    <w:rsid w:val="00C12189"/>
    <w:rsid w:val="00C122D1"/>
    <w:rsid w:val="00C1236A"/>
    <w:rsid w:val="00C1264E"/>
    <w:rsid w:val="00C127B9"/>
    <w:rsid w:val="00C12833"/>
    <w:rsid w:val="00C128FA"/>
    <w:rsid w:val="00C12B9E"/>
    <w:rsid w:val="00C12BDD"/>
    <w:rsid w:val="00C12C14"/>
    <w:rsid w:val="00C12E24"/>
    <w:rsid w:val="00C12F33"/>
    <w:rsid w:val="00C13144"/>
    <w:rsid w:val="00C13A4C"/>
    <w:rsid w:val="00C13A8C"/>
    <w:rsid w:val="00C13F0B"/>
    <w:rsid w:val="00C141AF"/>
    <w:rsid w:val="00C141DF"/>
    <w:rsid w:val="00C142D2"/>
    <w:rsid w:val="00C14404"/>
    <w:rsid w:val="00C1441B"/>
    <w:rsid w:val="00C14A41"/>
    <w:rsid w:val="00C14D9C"/>
    <w:rsid w:val="00C14F8B"/>
    <w:rsid w:val="00C14FA8"/>
    <w:rsid w:val="00C14FDF"/>
    <w:rsid w:val="00C15283"/>
    <w:rsid w:val="00C15454"/>
    <w:rsid w:val="00C15BF8"/>
    <w:rsid w:val="00C15C73"/>
    <w:rsid w:val="00C15F04"/>
    <w:rsid w:val="00C15FD2"/>
    <w:rsid w:val="00C163CD"/>
    <w:rsid w:val="00C167D2"/>
    <w:rsid w:val="00C16B94"/>
    <w:rsid w:val="00C16C5E"/>
    <w:rsid w:val="00C16E9F"/>
    <w:rsid w:val="00C16FD2"/>
    <w:rsid w:val="00C172BF"/>
    <w:rsid w:val="00C173C8"/>
    <w:rsid w:val="00C17652"/>
    <w:rsid w:val="00C179B3"/>
    <w:rsid w:val="00C17C2E"/>
    <w:rsid w:val="00C17E3F"/>
    <w:rsid w:val="00C17FC6"/>
    <w:rsid w:val="00C200AA"/>
    <w:rsid w:val="00C202E2"/>
    <w:rsid w:val="00C209B7"/>
    <w:rsid w:val="00C210B1"/>
    <w:rsid w:val="00C210E8"/>
    <w:rsid w:val="00C2144F"/>
    <w:rsid w:val="00C21D4C"/>
    <w:rsid w:val="00C21E50"/>
    <w:rsid w:val="00C22158"/>
    <w:rsid w:val="00C221B2"/>
    <w:rsid w:val="00C22556"/>
    <w:rsid w:val="00C2264F"/>
    <w:rsid w:val="00C226D9"/>
    <w:rsid w:val="00C2277C"/>
    <w:rsid w:val="00C22F2B"/>
    <w:rsid w:val="00C2336B"/>
    <w:rsid w:val="00C2342E"/>
    <w:rsid w:val="00C2349E"/>
    <w:rsid w:val="00C237ED"/>
    <w:rsid w:val="00C23DDB"/>
    <w:rsid w:val="00C23E8A"/>
    <w:rsid w:val="00C241BD"/>
    <w:rsid w:val="00C24632"/>
    <w:rsid w:val="00C2466E"/>
    <w:rsid w:val="00C24A50"/>
    <w:rsid w:val="00C24F1F"/>
    <w:rsid w:val="00C25018"/>
    <w:rsid w:val="00C25093"/>
    <w:rsid w:val="00C252D1"/>
    <w:rsid w:val="00C25418"/>
    <w:rsid w:val="00C25668"/>
    <w:rsid w:val="00C25846"/>
    <w:rsid w:val="00C25D9C"/>
    <w:rsid w:val="00C261F0"/>
    <w:rsid w:val="00C267D0"/>
    <w:rsid w:val="00C26D26"/>
    <w:rsid w:val="00C26E4D"/>
    <w:rsid w:val="00C27439"/>
    <w:rsid w:val="00C2778B"/>
    <w:rsid w:val="00C27C9B"/>
    <w:rsid w:val="00C307C5"/>
    <w:rsid w:val="00C30C60"/>
    <w:rsid w:val="00C31649"/>
    <w:rsid w:val="00C31886"/>
    <w:rsid w:val="00C319CF"/>
    <w:rsid w:val="00C31A49"/>
    <w:rsid w:val="00C31C91"/>
    <w:rsid w:val="00C31CE9"/>
    <w:rsid w:val="00C31E74"/>
    <w:rsid w:val="00C32053"/>
    <w:rsid w:val="00C3211D"/>
    <w:rsid w:val="00C321A6"/>
    <w:rsid w:val="00C323C4"/>
    <w:rsid w:val="00C32415"/>
    <w:rsid w:val="00C32489"/>
    <w:rsid w:val="00C324CB"/>
    <w:rsid w:val="00C3288C"/>
    <w:rsid w:val="00C32902"/>
    <w:rsid w:val="00C3292F"/>
    <w:rsid w:val="00C32DC0"/>
    <w:rsid w:val="00C3300C"/>
    <w:rsid w:val="00C3314B"/>
    <w:rsid w:val="00C331EC"/>
    <w:rsid w:val="00C332F2"/>
    <w:rsid w:val="00C337C2"/>
    <w:rsid w:val="00C33B54"/>
    <w:rsid w:val="00C33B58"/>
    <w:rsid w:val="00C3434C"/>
    <w:rsid w:val="00C3438E"/>
    <w:rsid w:val="00C34666"/>
    <w:rsid w:val="00C34D71"/>
    <w:rsid w:val="00C3527F"/>
    <w:rsid w:val="00C3590A"/>
    <w:rsid w:val="00C3594D"/>
    <w:rsid w:val="00C35BBC"/>
    <w:rsid w:val="00C35E0B"/>
    <w:rsid w:val="00C36201"/>
    <w:rsid w:val="00C3632C"/>
    <w:rsid w:val="00C36639"/>
    <w:rsid w:val="00C36A03"/>
    <w:rsid w:val="00C36F05"/>
    <w:rsid w:val="00C36F54"/>
    <w:rsid w:val="00C371A6"/>
    <w:rsid w:val="00C37576"/>
    <w:rsid w:val="00C37997"/>
    <w:rsid w:val="00C37B3E"/>
    <w:rsid w:val="00C40385"/>
    <w:rsid w:val="00C40966"/>
    <w:rsid w:val="00C41498"/>
    <w:rsid w:val="00C41768"/>
    <w:rsid w:val="00C41C08"/>
    <w:rsid w:val="00C41E1D"/>
    <w:rsid w:val="00C4240D"/>
    <w:rsid w:val="00C42995"/>
    <w:rsid w:val="00C42EE8"/>
    <w:rsid w:val="00C43685"/>
    <w:rsid w:val="00C43F75"/>
    <w:rsid w:val="00C447A2"/>
    <w:rsid w:val="00C44C0D"/>
    <w:rsid w:val="00C44E4F"/>
    <w:rsid w:val="00C44ED3"/>
    <w:rsid w:val="00C45105"/>
    <w:rsid w:val="00C4541F"/>
    <w:rsid w:val="00C457D7"/>
    <w:rsid w:val="00C459D2"/>
    <w:rsid w:val="00C45FC6"/>
    <w:rsid w:val="00C4601D"/>
    <w:rsid w:val="00C46138"/>
    <w:rsid w:val="00C46437"/>
    <w:rsid w:val="00C466DC"/>
    <w:rsid w:val="00C46BFD"/>
    <w:rsid w:val="00C46D78"/>
    <w:rsid w:val="00C475AA"/>
    <w:rsid w:val="00C47C1F"/>
    <w:rsid w:val="00C503EA"/>
    <w:rsid w:val="00C5062D"/>
    <w:rsid w:val="00C509B0"/>
    <w:rsid w:val="00C50E3D"/>
    <w:rsid w:val="00C5109E"/>
    <w:rsid w:val="00C515D3"/>
    <w:rsid w:val="00C51AA0"/>
    <w:rsid w:val="00C524DC"/>
    <w:rsid w:val="00C52558"/>
    <w:rsid w:val="00C52613"/>
    <w:rsid w:val="00C52641"/>
    <w:rsid w:val="00C526D4"/>
    <w:rsid w:val="00C527C7"/>
    <w:rsid w:val="00C52B58"/>
    <w:rsid w:val="00C52D2B"/>
    <w:rsid w:val="00C53069"/>
    <w:rsid w:val="00C532DF"/>
    <w:rsid w:val="00C536F1"/>
    <w:rsid w:val="00C5387E"/>
    <w:rsid w:val="00C53C98"/>
    <w:rsid w:val="00C53D7E"/>
    <w:rsid w:val="00C53E6A"/>
    <w:rsid w:val="00C53EC0"/>
    <w:rsid w:val="00C540C1"/>
    <w:rsid w:val="00C5414D"/>
    <w:rsid w:val="00C5492C"/>
    <w:rsid w:val="00C54955"/>
    <w:rsid w:val="00C549CD"/>
    <w:rsid w:val="00C54B20"/>
    <w:rsid w:val="00C54B62"/>
    <w:rsid w:val="00C54CA7"/>
    <w:rsid w:val="00C55321"/>
    <w:rsid w:val="00C55589"/>
    <w:rsid w:val="00C55616"/>
    <w:rsid w:val="00C5598C"/>
    <w:rsid w:val="00C55A1F"/>
    <w:rsid w:val="00C55ADF"/>
    <w:rsid w:val="00C55BC6"/>
    <w:rsid w:val="00C5604B"/>
    <w:rsid w:val="00C5631F"/>
    <w:rsid w:val="00C563F6"/>
    <w:rsid w:val="00C56616"/>
    <w:rsid w:val="00C5681D"/>
    <w:rsid w:val="00C5689D"/>
    <w:rsid w:val="00C568ED"/>
    <w:rsid w:val="00C56918"/>
    <w:rsid w:val="00C56AC2"/>
    <w:rsid w:val="00C56BE6"/>
    <w:rsid w:val="00C56F59"/>
    <w:rsid w:val="00C56FCF"/>
    <w:rsid w:val="00C572F6"/>
    <w:rsid w:val="00C57B6C"/>
    <w:rsid w:val="00C57C29"/>
    <w:rsid w:val="00C57F7B"/>
    <w:rsid w:val="00C60048"/>
    <w:rsid w:val="00C60374"/>
    <w:rsid w:val="00C607C4"/>
    <w:rsid w:val="00C60A0B"/>
    <w:rsid w:val="00C60AA9"/>
    <w:rsid w:val="00C611DF"/>
    <w:rsid w:val="00C615FE"/>
    <w:rsid w:val="00C61680"/>
    <w:rsid w:val="00C618AA"/>
    <w:rsid w:val="00C619BB"/>
    <w:rsid w:val="00C61A59"/>
    <w:rsid w:val="00C61DD3"/>
    <w:rsid w:val="00C61F41"/>
    <w:rsid w:val="00C620AA"/>
    <w:rsid w:val="00C62238"/>
    <w:rsid w:val="00C623B0"/>
    <w:rsid w:val="00C628A6"/>
    <w:rsid w:val="00C62BAB"/>
    <w:rsid w:val="00C62C84"/>
    <w:rsid w:val="00C62DD0"/>
    <w:rsid w:val="00C62DFD"/>
    <w:rsid w:val="00C630BE"/>
    <w:rsid w:val="00C63279"/>
    <w:rsid w:val="00C64344"/>
    <w:rsid w:val="00C64FCE"/>
    <w:rsid w:val="00C65108"/>
    <w:rsid w:val="00C65511"/>
    <w:rsid w:val="00C65576"/>
    <w:rsid w:val="00C655DB"/>
    <w:rsid w:val="00C65AF2"/>
    <w:rsid w:val="00C65E3D"/>
    <w:rsid w:val="00C66165"/>
    <w:rsid w:val="00C66516"/>
    <w:rsid w:val="00C6686A"/>
    <w:rsid w:val="00C671FE"/>
    <w:rsid w:val="00C6738C"/>
    <w:rsid w:val="00C67479"/>
    <w:rsid w:val="00C6795C"/>
    <w:rsid w:val="00C67D64"/>
    <w:rsid w:val="00C67DE6"/>
    <w:rsid w:val="00C700DC"/>
    <w:rsid w:val="00C703C9"/>
    <w:rsid w:val="00C704FD"/>
    <w:rsid w:val="00C7060A"/>
    <w:rsid w:val="00C70643"/>
    <w:rsid w:val="00C70979"/>
    <w:rsid w:val="00C70A3B"/>
    <w:rsid w:val="00C70A99"/>
    <w:rsid w:val="00C70B32"/>
    <w:rsid w:val="00C70BFA"/>
    <w:rsid w:val="00C71065"/>
    <w:rsid w:val="00C7151A"/>
    <w:rsid w:val="00C71617"/>
    <w:rsid w:val="00C717E3"/>
    <w:rsid w:val="00C71963"/>
    <w:rsid w:val="00C71ECE"/>
    <w:rsid w:val="00C71F60"/>
    <w:rsid w:val="00C721F2"/>
    <w:rsid w:val="00C72241"/>
    <w:rsid w:val="00C72322"/>
    <w:rsid w:val="00C72645"/>
    <w:rsid w:val="00C72BD5"/>
    <w:rsid w:val="00C73034"/>
    <w:rsid w:val="00C7338F"/>
    <w:rsid w:val="00C73A4B"/>
    <w:rsid w:val="00C73CCE"/>
    <w:rsid w:val="00C73F02"/>
    <w:rsid w:val="00C740CC"/>
    <w:rsid w:val="00C74101"/>
    <w:rsid w:val="00C7434C"/>
    <w:rsid w:val="00C74459"/>
    <w:rsid w:val="00C74B88"/>
    <w:rsid w:val="00C74CD0"/>
    <w:rsid w:val="00C750C8"/>
    <w:rsid w:val="00C75140"/>
    <w:rsid w:val="00C7560F"/>
    <w:rsid w:val="00C75AC1"/>
    <w:rsid w:val="00C75AFC"/>
    <w:rsid w:val="00C75C0F"/>
    <w:rsid w:val="00C75C85"/>
    <w:rsid w:val="00C75DFA"/>
    <w:rsid w:val="00C7609D"/>
    <w:rsid w:val="00C766C3"/>
    <w:rsid w:val="00C76FEC"/>
    <w:rsid w:val="00C77057"/>
    <w:rsid w:val="00C771A3"/>
    <w:rsid w:val="00C77410"/>
    <w:rsid w:val="00C7779C"/>
    <w:rsid w:val="00C7790D"/>
    <w:rsid w:val="00C77C9F"/>
    <w:rsid w:val="00C77F13"/>
    <w:rsid w:val="00C80310"/>
    <w:rsid w:val="00C803E5"/>
    <w:rsid w:val="00C80493"/>
    <w:rsid w:val="00C804EB"/>
    <w:rsid w:val="00C8088D"/>
    <w:rsid w:val="00C80937"/>
    <w:rsid w:val="00C80944"/>
    <w:rsid w:val="00C809A7"/>
    <w:rsid w:val="00C80A0E"/>
    <w:rsid w:val="00C80D8A"/>
    <w:rsid w:val="00C80DD3"/>
    <w:rsid w:val="00C810F4"/>
    <w:rsid w:val="00C8136C"/>
    <w:rsid w:val="00C8167E"/>
    <w:rsid w:val="00C81999"/>
    <w:rsid w:val="00C81BF7"/>
    <w:rsid w:val="00C8203A"/>
    <w:rsid w:val="00C8213F"/>
    <w:rsid w:val="00C8236A"/>
    <w:rsid w:val="00C8243A"/>
    <w:rsid w:val="00C82510"/>
    <w:rsid w:val="00C82811"/>
    <w:rsid w:val="00C829F7"/>
    <w:rsid w:val="00C82DA4"/>
    <w:rsid w:val="00C82E6E"/>
    <w:rsid w:val="00C8303F"/>
    <w:rsid w:val="00C83606"/>
    <w:rsid w:val="00C83FEC"/>
    <w:rsid w:val="00C84CC2"/>
    <w:rsid w:val="00C8508A"/>
    <w:rsid w:val="00C85154"/>
    <w:rsid w:val="00C8589D"/>
    <w:rsid w:val="00C85A70"/>
    <w:rsid w:val="00C85B78"/>
    <w:rsid w:val="00C85E9B"/>
    <w:rsid w:val="00C85ED4"/>
    <w:rsid w:val="00C86EB3"/>
    <w:rsid w:val="00C86F3F"/>
    <w:rsid w:val="00C87000"/>
    <w:rsid w:val="00C8724E"/>
    <w:rsid w:val="00C87309"/>
    <w:rsid w:val="00C87770"/>
    <w:rsid w:val="00C8797A"/>
    <w:rsid w:val="00C90006"/>
    <w:rsid w:val="00C90084"/>
    <w:rsid w:val="00C900B8"/>
    <w:rsid w:val="00C900C7"/>
    <w:rsid w:val="00C90197"/>
    <w:rsid w:val="00C90769"/>
    <w:rsid w:val="00C90C71"/>
    <w:rsid w:val="00C91119"/>
    <w:rsid w:val="00C9182A"/>
    <w:rsid w:val="00C91834"/>
    <w:rsid w:val="00C91838"/>
    <w:rsid w:val="00C91966"/>
    <w:rsid w:val="00C91A4D"/>
    <w:rsid w:val="00C91F8B"/>
    <w:rsid w:val="00C91FD1"/>
    <w:rsid w:val="00C92023"/>
    <w:rsid w:val="00C92234"/>
    <w:rsid w:val="00C9235F"/>
    <w:rsid w:val="00C92BFE"/>
    <w:rsid w:val="00C92D91"/>
    <w:rsid w:val="00C92DD0"/>
    <w:rsid w:val="00C93136"/>
    <w:rsid w:val="00C931CF"/>
    <w:rsid w:val="00C933A8"/>
    <w:rsid w:val="00C9358B"/>
    <w:rsid w:val="00C938CF"/>
    <w:rsid w:val="00C93E95"/>
    <w:rsid w:val="00C94031"/>
    <w:rsid w:val="00C94053"/>
    <w:rsid w:val="00C9435F"/>
    <w:rsid w:val="00C943D6"/>
    <w:rsid w:val="00C9452D"/>
    <w:rsid w:val="00C9476D"/>
    <w:rsid w:val="00C94B70"/>
    <w:rsid w:val="00C94D0A"/>
    <w:rsid w:val="00C951FB"/>
    <w:rsid w:val="00C9525A"/>
    <w:rsid w:val="00C95718"/>
    <w:rsid w:val="00C958EB"/>
    <w:rsid w:val="00C959B6"/>
    <w:rsid w:val="00C95B97"/>
    <w:rsid w:val="00C95F4F"/>
    <w:rsid w:val="00C961BA"/>
    <w:rsid w:val="00C961C4"/>
    <w:rsid w:val="00C9624D"/>
    <w:rsid w:val="00C962A0"/>
    <w:rsid w:val="00C96802"/>
    <w:rsid w:val="00C969DA"/>
    <w:rsid w:val="00C979C2"/>
    <w:rsid w:val="00CA07F0"/>
    <w:rsid w:val="00CA08C6"/>
    <w:rsid w:val="00CA0A64"/>
    <w:rsid w:val="00CA0F08"/>
    <w:rsid w:val="00CA1409"/>
    <w:rsid w:val="00CA1474"/>
    <w:rsid w:val="00CA1729"/>
    <w:rsid w:val="00CA17C6"/>
    <w:rsid w:val="00CA18F3"/>
    <w:rsid w:val="00CA191C"/>
    <w:rsid w:val="00CA1A44"/>
    <w:rsid w:val="00CA201E"/>
    <w:rsid w:val="00CA29D4"/>
    <w:rsid w:val="00CA2C77"/>
    <w:rsid w:val="00CA32F3"/>
    <w:rsid w:val="00CA3610"/>
    <w:rsid w:val="00CA3648"/>
    <w:rsid w:val="00CA3A04"/>
    <w:rsid w:val="00CA4072"/>
    <w:rsid w:val="00CA4147"/>
    <w:rsid w:val="00CA419B"/>
    <w:rsid w:val="00CA4425"/>
    <w:rsid w:val="00CA4442"/>
    <w:rsid w:val="00CA444F"/>
    <w:rsid w:val="00CA48E0"/>
    <w:rsid w:val="00CA5245"/>
    <w:rsid w:val="00CA528C"/>
    <w:rsid w:val="00CA53BA"/>
    <w:rsid w:val="00CA59E2"/>
    <w:rsid w:val="00CA5B1C"/>
    <w:rsid w:val="00CA6024"/>
    <w:rsid w:val="00CA6932"/>
    <w:rsid w:val="00CA6EAE"/>
    <w:rsid w:val="00CA7108"/>
    <w:rsid w:val="00CA7110"/>
    <w:rsid w:val="00CA71F4"/>
    <w:rsid w:val="00CA7316"/>
    <w:rsid w:val="00CA7861"/>
    <w:rsid w:val="00CA78E1"/>
    <w:rsid w:val="00CA7B09"/>
    <w:rsid w:val="00CA7BCA"/>
    <w:rsid w:val="00CA7EFF"/>
    <w:rsid w:val="00CB0072"/>
    <w:rsid w:val="00CB032A"/>
    <w:rsid w:val="00CB068B"/>
    <w:rsid w:val="00CB0860"/>
    <w:rsid w:val="00CB0941"/>
    <w:rsid w:val="00CB0BCB"/>
    <w:rsid w:val="00CB0DB5"/>
    <w:rsid w:val="00CB0E29"/>
    <w:rsid w:val="00CB0E30"/>
    <w:rsid w:val="00CB0E8C"/>
    <w:rsid w:val="00CB12A5"/>
    <w:rsid w:val="00CB13EA"/>
    <w:rsid w:val="00CB1475"/>
    <w:rsid w:val="00CB193A"/>
    <w:rsid w:val="00CB19C7"/>
    <w:rsid w:val="00CB1A36"/>
    <w:rsid w:val="00CB1AE3"/>
    <w:rsid w:val="00CB1B99"/>
    <w:rsid w:val="00CB1CAC"/>
    <w:rsid w:val="00CB21E1"/>
    <w:rsid w:val="00CB223B"/>
    <w:rsid w:val="00CB2456"/>
    <w:rsid w:val="00CB25CB"/>
    <w:rsid w:val="00CB25DD"/>
    <w:rsid w:val="00CB284D"/>
    <w:rsid w:val="00CB2BD4"/>
    <w:rsid w:val="00CB2CC5"/>
    <w:rsid w:val="00CB2CD0"/>
    <w:rsid w:val="00CB2F2A"/>
    <w:rsid w:val="00CB2F85"/>
    <w:rsid w:val="00CB32B6"/>
    <w:rsid w:val="00CB3CC1"/>
    <w:rsid w:val="00CB3DB3"/>
    <w:rsid w:val="00CB3DCA"/>
    <w:rsid w:val="00CB3FED"/>
    <w:rsid w:val="00CB4646"/>
    <w:rsid w:val="00CB4AB4"/>
    <w:rsid w:val="00CB4E87"/>
    <w:rsid w:val="00CB50FA"/>
    <w:rsid w:val="00CB5173"/>
    <w:rsid w:val="00CB5190"/>
    <w:rsid w:val="00CB51B3"/>
    <w:rsid w:val="00CB5310"/>
    <w:rsid w:val="00CB5B1A"/>
    <w:rsid w:val="00CB5C4D"/>
    <w:rsid w:val="00CB5E39"/>
    <w:rsid w:val="00CB5F08"/>
    <w:rsid w:val="00CB5FBD"/>
    <w:rsid w:val="00CB665A"/>
    <w:rsid w:val="00CB68CC"/>
    <w:rsid w:val="00CB6B22"/>
    <w:rsid w:val="00CB6F19"/>
    <w:rsid w:val="00CB7308"/>
    <w:rsid w:val="00CB785C"/>
    <w:rsid w:val="00CB7AC5"/>
    <w:rsid w:val="00CB7C7E"/>
    <w:rsid w:val="00CB7F5F"/>
    <w:rsid w:val="00CC0065"/>
    <w:rsid w:val="00CC01AA"/>
    <w:rsid w:val="00CC03D3"/>
    <w:rsid w:val="00CC15EC"/>
    <w:rsid w:val="00CC17D7"/>
    <w:rsid w:val="00CC1855"/>
    <w:rsid w:val="00CC1B39"/>
    <w:rsid w:val="00CC1BFA"/>
    <w:rsid w:val="00CC1EBC"/>
    <w:rsid w:val="00CC1F54"/>
    <w:rsid w:val="00CC2261"/>
    <w:rsid w:val="00CC2322"/>
    <w:rsid w:val="00CC276A"/>
    <w:rsid w:val="00CC2A13"/>
    <w:rsid w:val="00CC2D86"/>
    <w:rsid w:val="00CC2E0A"/>
    <w:rsid w:val="00CC2E9F"/>
    <w:rsid w:val="00CC30D4"/>
    <w:rsid w:val="00CC312E"/>
    <w:rsid w:val="00CC3229"/>
    <w:rsid w:val="00CC33CA"/>
    <w:rsid w:val="00CC35EA"/>
    <w:rsid w:val="00CC37A1"/>
    <w:rsid w:val="00CC3848"/>
    <w:rsid w:val="00CC3B8C"/>
    <w:rsid w:val="00CC3D72"/>
    <w:rsid w:val="00CC456E"/>
    <w:rsid w:val="00CC4D43"/>
    <w:rsid w:val="00CC4E2D"/>
    <w:rsid w:val="00CC506E"/>
    <w:rsid w:val="00CC539A"/>
    <w:rsid w:val="00CC5A21"/>
    <w:rsid w:val="00CC5BCC"/>
    <w:rsid w:val="00CC5F33"/>
    <w:rsid w:val="00CC62DA"/>
    <w:rsid w:val="00CC6616"/>
    <w:rsid w:val="00CC696F"/>
    <w:rsid w:val="00CC6D5E"/>
    <w:rsid w:val="00CC6ECF"/>
    <w:rsid w:val="00CC7B56"/>
    <w:rsid w:val="00CD0200"/>
    <w:rsid w:val="00CD0B8E"/>
    <w:rsid w:val="00CD0C7F"/>
    <w:rsid w:val="00CD0C8B"/>
    <w:rsid w:val="00CD115D"/>
    <w:rsid w:val="00CD175F"/>
    <w:rsid w:val="00CD19F4"/>
    <w:rsid w:val="00CD1A40"/>
    <w:rsid w:val="00CD1E11"/>
    <w:rsid w:val="00CD1FE7"/>
    <w:rsid w:val="00CD2019"/>
    <w:rsid w:val="00CD245E"/>
    <w:rsid w:val="00CD24C9"/>
    <w:rsid w:val="00CD2980"/>
    <w:rsid w:val="00CD2989"/>
    <w:rsid w:val="00CD2D12"/>
    <w:rsid w:val="00CD2F27"/>
    <w:rsid w:val="00CD30DA"/>
    <w:rsid w:val="00CD342F"/>
    <w:rsid w:val="00CD38D0"/>
    <w:rsid w:val="00CD3931"/>
    <w:rsid w:val="00CD3D09"/>
    <w:rsid w:val="00CD3D29"/>
    <w:rsid w:val="00CD3F77"/>
    <w:rsid w:val="00CD42F6"/>
    <w:rsid w:val="00CD432C"/>
    <w:rsid w:val="00CD4492"/>
    <w:rsid w:val="00CD44E5"/>
    <w:rsid w:val="00CD44E8"/>
    <w:rsid w:val="00CD4C71"/>
    <w:rsid w:val="00CD4FE7"/>
    <w:rsid w:val="00CD52A0"/>
    <w:rsid w:val="00CD52AE"/>
    <w:rsid w:val="00CD5694"/>
    <w:rsid w:val="00CD56A9"/>
    <w:rsid w:val="00CD5BE1"/>
    <w:rsid w:val="00CD5ECF"/>
    <w:rsid w:val="00CD60EF"/>
    <w:rsid w:val="00CD6498"/>
    <w:rsid w:val="00CD671A"/>
    <w:rsid w:val="00CD6ADC"/>
    <w:rsid w:val="00CD6CC1"/>
    <w:rsid w:val="00CD70B2"/>
    <w:rsid w:val="00CD718B"/>
    <w:rsid w:val="00CD7193"/>
    <w:rsid w:val="00CD737A"/>
    <w:rsid w:val="00CD7693"/>
    <w:rsid w:val="00CD77DB"/>
    <w:rsid w:val="00CD7B4A"/>
    <w:rsid w:val="00CD7E4F"/>
    <w:rsid w:val="00CE029F"/>
    <w:rsid w:val="00CE099B"/>
    <w:rsid w:val="00CE09B2"/>
    <w:rsid w:val="00CE0D42"/>
    <w:rsid w:val="00CE1101"/>
    <w:rsid w:val="00CE11D4"/>
    <w:rsid w:val="00CE1349"/>
    <w:rsid w:val="00CE1A75"/>
    <w:rsid w:val="00CE2899"/>
    <w:rsid w:val="00CE2972"/>
    <w:rsid w:val="00CE2FEF"/>
    <w:rsid w:val="00CE3542"/>
    <w:rsid w:val="00CE38C8"/>
    <w:rsid w:val="00CE38E9"/>
    <w:rsid w:val="00CE3902"/>
    <w:rsid w:val="00CE3CEB"/>
    <w:rsid w:val="00CE412A"/>
    <w:rsid w:val="00CE4387"/>
    <w:rsid w:val="00CE4403"/>
    <w:rsid w:val="00CE4557"/>
    <w:rsid w:val="00CE464C"/>
    <w:rsid w:val="00CE4AC5"/>
    <w:rsid w:val="00CE4AF6"/>
    <w:rsid w:val="00CE4B4C"/>
    <w:rsid w:val="00CE4FB1"/>
    <w:rsid w:val="00CE50CE"/>
    <w:rsid w:val="00CE524F"/>
    <w:rsid w:val="00CE52AE"/>
    <w:rsid w:val="00CE52BF"/>
    <w:rsid w:val="00CE55CD"/>
    <w:rsid w:val="00CE58CC"/>
    <w:rsid w:val="00CE5A54"/>
    <w:rsid w:val="00CE6274"/>
    <w:rsid w:val="00CE63D3"/>
    <w:rsid w:val="00CE66DD"/>
    <w:rsid w:val="00CE67F2"/>
    <w:rsid w:val="00CE7552"/>
    <w:rsid w:val="00CE76BD"/>
    <w:rsid w:val="00CE77B6"/>
    <w:rsid w:val="00CE7A92"/>
    <w:rsid w:val="00CE7BFF"/>
    <w:rsid w:val="00CE7D1A"/>
    <w:rsid w:val="00CE7E1C"/>
    <w:rsid w:val="00CE7F66"/>
    <w:rsid w:val="00CF0B70"/>
    <w:rsid w:val="00CF0BFA"/>
    <w:rsid w:val="00CF16A0"/>
    <w:rsid w:val="00CF17F2"/>
    <w:rsid w:val="00CF18AF"/>
    <w:rsid w:val="00CF1F39"/>
    <w:rsid w:val="00CF215C"/>
    <w:rsid w:val="00CF2164"/>
    <w:rsid w:val="00CF2169"/>
    <w:rsid w:val="00CF21FD"/>
    <w:rsid w:val="00CF227D"/>
    <w:rsid w:val="00CF247B"/>
    <w:rsid w:val="00CF2584"/>
    <w:rsid w:val="00CF2B8D"/>
    <w:rsid w:val="00CF2BD8"/>
    <w:rsid w:val="00CF2D4D"/>
    <w:rsid w:val="00CF37FA"/>
    <w:rsid w:val="00CF3A1B"/>
    <w:rsid w:val="00CF3EFC"/>
    <w:rsid w:val="00CF430F"/>
    <w:rsid w:val="00CF437A"/>
    <w:rsid w:val="00CF446C"/>
    <w:rsid w:val="00CF4474"/>
    <w:rsid w:val="00CF456B"/>
    <w:rsid w:val="00CF45EA"/>
    <w:rsid w:val="00CF4609"/>
    <w:rsid w:val="00CF5197"/>
    <w:rsid w:val="00CF5205"/>
    <w:rsid w:val="00CF5774"/>
    <w:rsid w:val="00CF57DF"/>
    <w:rsid w:val="00CF59F1"/>
    <w:rsid w:val="00CF5A22"/>
    <w:rsid w:val="00CF5B03"/>
    <w:rsid w:val="00CF5C1E"/>
    <w:rsid w:val="00CF637A"/>
    <w:rsid w:val="00CF6B03"/>
    <w:rsid w:val="00CF6B21"/>
    <w:rsid w:val="00CF71C6"/>
    <w:rsid w:val="00CF75E9"/>
    <w:rsid w:val="00CF76D3"/>
    <w:rsid w:val="00CF7DA9"/>
    <w:rsid w:val="00CF7DE4"/>
    <w:rsid w:val="00CF7E02"/>
    <w:rsid w:val="00D003C1"/>
    <w:rsid w:val="00D004CD"/>
    <w:rsid w:val="00D00BCB"/>
    <w:rsid w:val="00D00EA7"/>
    <w:rsid w:val="00D00F51"/>
    <w:rsid w:val="00D01654"/>
    <w:rsid w:val="00D01693"/>
    <w:rsid w:val="00D0185D"/>
    <w:rsid w:val="00D01AC3"/>
    <w:rsid w:val="00D01B14"/>
    <w:rsid w:val="00D01BBC"/>
    <w:rsid w:val="00D01DB2"/>
    <w:rsid w:val="00D01FD4"/>
    <w:rsid w:val="00D02193"/>
    <w:rsid w:val="00D0229E"/>
    <w:rsid w:val="00D0262E"/>
    <w:rsid w:val="00D02675"/>
    <w:rsid w:val="00D02704"/>
    <w:rsid w:val="00D02A3D"/>
    <w:rsid w:val="00D02B3E"/>
    <w:rsid w:val="00D02E68"/>
    <w:rsid w:val="00D034B6"/>
    <w:rsid w:val="00D03679"/>
    <w:rsid w:val="00D03802"/>
    <w:rsid w:val="00D03D0B"/>
    <w:rsid w:val="00D03F9F"/>
    <w:rsid w:val="00D041F1"/>
    <w:rsid w:val="00D042E5"/>
    <w:rsid w:val="00D0432F"/>
    <w:rsid w:val="00D043D9"/>
    <w:rsid w:val="00D04468"/>
    <w:rsid w:val="00D04539"/>
    <w:rsid w:val="00D048F7"/>
    <w:rsid w:val="00D04A52"/>
    <w:rsid w:val="00D04E04"/>
    <w:rsid w:val="00D05E3D"/>
    <w:rsid w:val="00D06026"/>
    <w:rsid w:val="00D06139"/>
    <w:rsid w:val="00D06489"/>
    <w:rsid w:val="00D0681B"/>
    <w:rsid w:val="00D06B31"/>
    <w:rsid w:val="00D06DDA"/>
    <w:rsid w:val="00D06F51"/>
    <w:rsid w:val="00D07282"/>
    <w:rsid w:val="00D07614"/>
    <w:rsid w:val="00D077AB"/>
    <w:rsid w:val="00D07CFE"/>
    <w:rsid w:val="00D07D4F"/>
    <w:rsid w:val="00D1015B"/>
    <w:rsid w:val="00D104A6"/>
    <w:rsid w:val="00D1091E"/>
    <w:rsid w:val="00D10C55"/>
    <w:rsid w:val="00D10D7A"/>
    <w:rsid w:val="00D10D7F"/>
    <w:rsid w:val="00D110BD"/>
    <w:rsid w:val="00D11144"/>
    <w:rsid w:val="00D11449"/>
    <w:rsid w:val="00D1198F"/>
    <w:rsid w:val="00D120BE"/>
    <w:rsid w:val="00D131BA"/>
    <w:rsid w:val="00D1339A"/>
    <w:rsid w:val="00D13675"/>
    <w:rsid w:val="00D1369A"/>
    <w:rsid w:val="00D141E1"/>
    <w:rsid w:val="00D14414"/>
    <w:rsid w:val="00D14791"/>
    <w:rsid w:val="00D1495D"/>
    <w:rsid w:val="00D1499D"/>
    <w:rsid w:val="00D15314"/>
    <w:rsid w:val="00D1544D"/>
    <w:rsid w:val="00D15B48"/>
    <w:rsid w:val="00D15DDD"/>
    <w:rsid w:val="00D160D4"/>
    <w:rsid w:val="00D16695"/>
    <w:rsid w:val="00D167D1"/>
    <w:rsid w:val="00D1682C"/>
    <w:rsid w:val="00D16A01"/>
    <w:rsid w:val="00D16F29"/>
    <w:rsid w:val="00D1726A"/>
    <w:rsid w:val="00D17446"/>
    <w:rsid w:val="00D175C6"/>
    <w:rsid w:val="00D17658"/>
    <w:rsid w:val="00D176E4"/>
    <w:rsid w:val="00D17746"/>
    <w:rsid w:val="00D177DA"/>
    <w:rsid w:val="00D17D6C"/>
    <w:rsid w:val="00D17D9F"/>
    <w:rsid w:val="00D17DF9"/>
    <w:rsid w:val="00D20B4C"/>
    <w:rsid w:val="00D20C72"/>
    <w:rsid w:val="00D2155B"/>
    <w:rsid w:val="00D21A40"/>
    <w:rsid w:val="00D21A67"/>
    <w:rsid w:val="00D21AAD"/>
    <w:rsid w:val="00D21DC3"/>
    <w:rsid w:val="00D21E27"/>
    <w:rsid w:val="00D21E93"/>
    <w:rsid w:val="00D222AD"/>
    <w:rsid w:val="00D226F4"/>
    <w:rsid w:val="00D227B0"/>
    <w:rsid w:val="00D228C7"/>
    <w:rsid w:val="00D22E94"/>
    <w:rsid w:val="00D237EB"/>
    <w:rsid w:val="00D23CF3"/>
    <w:rsid w:val="00D23D11"/>
    <w:rsid w:val="00D244B6"/>
    <w:rsid w:val="00D246EC"/>
    <w:rsid w:val="00D2496D"/>
    <w:rsid w:val="00D24C3C"/>
    <w:rsid w:val="00D25838"/>
    <w:rsid w:val="00D25987"/>
    <w:rsid w:val="00D25A1C"/>
    <w:rsid w:val="00D25BC0"/>
    <w:rsid w:val="00D25D7F"/>
    <w:rsid w:val="00D2620D"/>
    <w:rsid w:val="00D263FA"/>
    <w:rsid w:val="00D2694D"/>
    <w:rsid w:val="00D26C71"/>
    <w:rsid w:val="00D26EA7"/>
    <w:rsid w:val="00D274B7"/>
    <w:rsid w:val="00D274ED"/>
    <w:rsid w:val="00D2754D"/>
    <w:rsid w:val="00D27618"/>
    <w:rsid w:val="00D27654"/>
    <w:rsid w:val="00D2765A"/>
    <w:rsid w:val="00D2788E"/>
    <w:rsid w:val="00D278F9"/>
    <w:rsid w:val="00D27A51"/>
    <w:rsid w:val="00D27B27"/>
    <w:rsid w:val="00D27C0F"/>
    <w:rsid w:val="00D27DDD"/>
    <w:rsid w:val="00D27E84"/>
    <w:rsid w:val="00D30388"/>
    <w:rsid w:val="00D30CC5"/>
    <w:rsid w:val="00D30D5B"/>
    <w:rsid w:val="00D30F28"/>
    <w:rsid w:val="00D311CF"/>
    <w:rsid w:val="00D31708"/>
    <w:rsid w:val="00D31A26"/>
    <w:rsid w:val="00D32213"/>
    <w:rsid w:val="00D3231D"/>
    <w:rsid w:val="00D323F6"/>
    <w:rsid w:val="00D329C0"/>
    <w:rsid w:val="00D32E7C"/>
    <w:rsid w:val="00D331EC"/>
    <w:rsid w:val="00D3358D"/>
    <w:rsid w:val="00D33603"/>
    <w:rsid w:val="00D33BE9"/>
    <w:rsid w:val="00D33D76"/>
    <w:rsid w:val="00D33F93"/>
    <w:rsid w:val="00D33FB2"/>
    <w:rsid w:val="00D340B1"/>
    <w:rsid w:val="00D346EB"/>
    <w:rsid w:val="00D34980"/>
    <w:rsid w:val="00D34C8E"/>
    <w:rsid w:val="00D34E44"/>
    <w:rsid w:val="00D34E8F"/>
    <w:rsid w:val="00D34F3B"/>
    <w:rsid w:val="00D357FF"/>
    <w:rsid w:val="00D35968"/>
    <w:rsid w:val="00D35B66"/>
    <w:rsid w:val="00D35BCB"/>
    <w:rsid w:val="00D35F67"/>
    <w:rsid w:val="00D35F8D"/>
    <w:rsid w:val="00D36525"/>
    <w:rsid w:val="00D36AAC"/>
    <w:rsid w:val="00D36E97"/>
    <w:rsid w:val="00D36FD2"/>
    <w:rsid w:val="00D37409"/>
    <w:rsid w:val="00D37880"/>
    <w:rsid w:val="00D4006F"/>
    <w:rsid w:val="00D4017D"/>
    <w:rsid w:val="00D4053F"/>
    <w:rsid w:val="00D40730"/>
    <w:rsid w:val="00D40787"/>
    <w:rsid w:val="00D40B6A"/>
    <w:rsid w:val="00D40CB5"/>
    <w:rsid w:val="00D40FCD"/>
    <w:rsid w:val="00D41030"/>
    <w:rsid w:val="00D4108D"/>
    <w:rsid w:val="00D413AB"/>
    <w:rsid w:val="00D413CC"/>
    <w:rsid w:val="00D41413"/>
    <w:rsid w:val="00D41C85"/>
    <w:rsid w:val="00D4219B"/>
    <w:rsid w:val="00D424C7"/>
    <w:rsid w:val="00D428F5"/>
    <w:rsid w:val="00D4296E"/>
    <w:rsid w:val="00D429D5"/>
    <w:rsid w:val="00D430C6"/>
    <w:rsid w:val="00D4337C"/>
    <w:rsid w:val="00D433EA"/>
    <w:rsid w:val="00D438B6"/>
    <w:rsid w:val="00D43B2A"/>
    <w:rsid w:val="00D43CF1"/>
    <w:rsid w:val="00D43D83"/>
    <w:rsid w:val="00D43DDC"/>
    <w:rsid w:val="00D440F7"/>
    <w:rsid w:val="00D445FB"/>
    <w:rsid w:val="00D446EB"/>
    <w:rsid w:val="00D44A69"/>
    <w:rsid w:val="00D45009"/>
    <w:rsid w:val="00D454BF"/>
    <w:rsid w:val="00D45806"/>
    <w:rsid w:val="00D45C27"/>
    <w:rsid w:val="00D460F0"/>
    <w:rsid w:val="00D47151"/>
    <w:rsid w:val="00D4721F"/>
    <w:rsid w:val="00D47279"/>
    <w:rsid w:val="00D47333"/>
    <w:rsid w:val="00D473CF"/>
    <w:rsid w:val="00D474E4"/>
    <w:rsid w:val="00D47575"/>
    <w:rsid w:val="00D476A9"/>
    <w:rsid w:val="00D476C6"/>
    <w:rsid w:val="00D47EBF"/>
    <w:rsid w:val="00D47F07"/>
    <w:rsid w:val="00D50191"/>
    <w:rsid w:val="00D50245"/>
    <w:rsid w:val="00D50387"/>
    <w:rsid w:val="00D508D0"/>
    <w:rsid w:val="00D50BFB"/>
    <w:rsid w:val="00D51018"/>
    <w:rsid w:val="00D517BF"/>
    <w:rsid w:val="00D518C6"/>
    <w:rsid w:val="00D51C68"/>
    <w:rsid w:val="00D52175"/>
    <w:rsid w:val="00D5243B"/>
    <w:rsid w:val="00D52993"/>
    <w:rsid w:val="00D52BA9"/>
    <w:rsid w:val="00D52BAE"/>
    <w:rsid w:val="00D52C15"/>
    <w:rsid w:val="00D52EA5"/>
    <w:rsid w:val="00D52ED5"/>
    <w:rsid w:val="00D52EFB"/>
    <w:rsid w:val="00D533EC"/>
    <w:rsid w:val="00D53701"/>
    <w:rsid w:val="00D538C1"/>
    <w:rsid w:val="00D53BF9"/>
    <w:rsid w:val="00D5442E"/>
    <w:rsid w:val="00D544BF"/>
    <w:rsid w:val="00D54664"/>
    <w:rsid w:val="00D54923"/>
    <w:rsid w:val="00D54988"/>
    <w:rsid w:val="00D54B27"/>
    <w:rsid w:val="00D54CAD"/>
    <w:rsid w:val="00D5577E"/>
    <w:rsid w:val="00D55780"/>
    <w:rsid w:val="00D55B14"/>
    <w:rsid w:val="00D5612A"/>
    <w:rsid w:val="00D564EA"/>
    <w:rsid w:val="00D565DE"/>
    <w:rsid w:val="00D566ED"/>
    <w:rsid w:val="00D5681A"/>
    <w:rsid w:val="00D56A2E"/>
    <w:rsid w:val="00D56A95"/>
    <w:rsid w:val="00D56FFF"/>
    <w:rsid w:val="00D57021"/>
    <w:rsid w:val="00D57370"/>
    <w:rsid w:val="00D57973"/>
    <w:rsid w:val="00D57E5A"/>
    <w:rsid w:val="00D57EAF"/>
    <w:rsid w:val="00D6076E"/>
    <w:rsid w:val="00D608F5"/>
    <w:rsid w:val="00D60ABE"/>
    <w:rsid w:val="00D60D51"/>
    <w:rsid w:val="00D60D9A"/>
    <w:rsid w:val="00D611CA"/>
    <w:rsid w:val="00D613FE"/>
    <w:rsid w:val="00D6150F"/>
    <w:rsid w:val="00D6187E"/>
    <w:rsid w:val="00D619BF"/>
    <w:rsid w:val="00D61BB7"/>
    <w:rsid w:val="00D6211B"/>
    <w:rsid w:val="00D62169"/>
    <w:rsid w:val="00D62183"/>
    <w:rsid w:val="00D6218A"/>
    <w:rsid w:val="00D6228C"/>
    <w:rsid w:val="00D62472"/>
    <w:rsid w:val="00D6254E"/>
    <w:rsid w:val="00D62685"/>
    <w:rsid w:val="00D62986"/>
    <w:rsid w:val="00D630BC"/>
    <w:rsid w:val="00D630D7"/>
    <w:rsid w:val="00D632F2"/>
    <w:rsid w:val="00D63599"/>
    <w:rsid w:val="00D6391B"/>
    <w:rsid w:val="00D63A76"/>
    <w:rsid w:val="00D63AB4"/>
    <w:rsid w:val="00D63DA8"/>
    <w:rsid w:val="00D64023"/>
    <w:rsid w:val="00D640B6"/>
    <w:rsid w:val="00D6413E"/>
    <w:rsid w:val="00D64223"/>
    <w:rsid w:val="00D648C0"/>
    <w:rsid w:val="00D64A86"/>
    <w:rsid w:val="00D64DAF"/>
    <w:rsid w:val="00D64E40"/>
    <w:rsid w:val="00D651B6"/>
    <w:rsid w:val="00D6537A"/>
    <w:rsid w:val="00D65761"/>
    <w:rsid w:val="00D6596C"/>
    <w:rsid w:val="00D659D1"/>
    <w:rsid w:val="00D6619B"/>
    <w:rsid w:val="00D665EC"/>
    <w:rsid w:val="00D66686"/>
    <w:rsid w:val="00D66BE9"/>
    <w:rsid w:val="00D66CC8"/>
    <w:rsid w:val="00D675D1"/>
    <w:rsid w:val="00D6799E"/>
    <w:rsid w:val="00D67BD0"/>
    <w:rsid w:val="00D704E5"/>
    <w:rsid w:val="00D708BE"/>
    <w:rsid w:val="00D709EF"/>
    <w:rsid w:val="00D70A8A"/>
    <w:rsid w:val="00D70F16"/>
    <w:rsid w:val="00D70F6B"/>
    <w:rsid w:val="00D71999"/>
    <w:rsid w:val="00D71E7B"/>
    <w:rsid w:val="00D72617"/>
    <w:rsid w:val="00D72896"/>
    <w:rsid w:val="00D72985"/>
    <w:rsid w:val="00D72A2A"/>
    <w:rsid w:val="00D72CDA"/>
    <w:rsid w:val="00D72E86"/>
    <w:rsid w:val="00D72EEB"/>
    <w:rsid w:val="00D72F57"/>
    <w:rsid w:val="00D72F5D"/>
    <w:rsid w:val="00D7416D"/>
    <w:rsid w:val="00D748E2"/>
    <w:rsid w:val="00D750D6"/>
    <w:rsid w:val="00D7517E"/>
    <w:rsid w:val="00D752D6"/>
    <w:rsid w:val="00D75341"/>
    <w:rsid w:val="00D753C9"/>
    <w:rsid w:val="00D75483"/>
    <w:rsid w:val="00D75740"/>
    <w:rsid w:val="00D758DC"/>
    <w:rsid w:val="00D759F5"/>
    <w:rsid w:val="00D75BDB"/>
    <w:rsid w:val="00D760F4"/>
    <w:rsid w:val="00D764EA"/>
    <w:rsid w:val="00D76A44"/>
    <w:rsid w:val="00D76C3A"/>
    <w:rsid w:val="00D76CE7"/>
    <w:rsid w:val="00D76D59"/>
    <w:rsid w:val="00D772F1"/>
    <w:rsid w:val="00D7765B"/>
    <w:rsid w:val="00D77A0C"/>
    <w:rsid w:val="00D77D74"/>
    <w:rsid w:val="00D8012B"/>
    <w:rsid w:val="00D80326"/>
    <w:rsid w:val="00D80AE3"/>
    <w:rsid w:val="00D80DE0"/>
    <w:rsid w:val="00D81307"/>
    <w:rsid w:val="00D8147C"/>
    <w:rsid w:val="00D815EF"/>
    <w:rsid w:val="00D81792"/>
    <w:rsid w:val="00D81949"/>
    <w:rsid w:val="00D81F26"/>
    <w:rsid w:val="00D81F63"/>
    <w:rsid w:val="00D82077"/>
    <w:rsid w:val="00D822E2"/>
    <w:rsid w:val="00D8230D"/>
    <w:rsid w:val="00D8260B"/>
    <w:rsid w:val="00D827C7"/>
    <w:rsid w:val="00D82A8E"/>
    <w:rsid w:val="00D82C4F"/>
    <w:rsid w:val="00D8307A"/>
    <w:rsid w:val="00D832EC"/>
    <w:rsid w:val="00D833E8"/>
    <w:rsid w:val="00D83744"/>
    <w:rsid w:val="00D838CA"/>
    <w:rsid w:val="00D83B10"/>
    <w:rsid w:val="00D841E6"/>
    <w:rsid w:val="00D8422D"/>
    <w:rsid w:val="00D843F2"/>
    <w:rsid w:val="00D84D4F"/>
    <w:rsid w:val="00D856EE"/>
    <w:rsid w:val="00D85800"/>
    <w:rsid w:val="00D85B45"/>
    <w:rsid w:val="00D85D33"/>
    <w:rsid w:val="00D860E5"/>
    <w:rsid w:val="00D86231"/>
    <w:rsid w:val="00D865D5"/>
    <w:rsid w:val="00D86877"/>
    <w:rsid w:val="00D868E3"/>
    <w:rsid w:val="00D86B8D"/>
    <w:rsid w:val="00D87DA2"/>
    <w:rsid w:val="00D87DF6"/>
    <w:rsid w:val="00D901FA"/>
    <w:rsid w:val="00D9037B"/>
    <w:rsid w:val="00D90A19"/>
    <w:rsid w:val="00D912AB"/>
    <w:rsid w:val="00D91534"/>
    <w:rsid w:val="00D91597"/>
    <w:rsid w:val="00D915DC"/>
    <w:rsid w:val="00D918FA"/>
    <w:rsid w:val="00D91923"/>
    <w:rsid w:val="00D91972"/>
    <w:rsid w:val="00D91D47"/>
    <w:rsid w:val="00D91FDF"/>
    <w:rsid w:val="00D92009"/>
    <w:rsid w:val="00D9201E"/>
    <w:rsid w:val="00D920E0"/>
    <w:rsid w:val="00D921C7"/>
    <w:rsid w:val="00D92293"/>
    <w:rsid w:val="00D923B8"/>
    <w:rsid w:val="00D92D9D"/>
    <w:rsid w:val="00D92DB1"/>
    <w:rsid w:val="00D92E90"/>
    <w:rsid w:val="00D930CE"/>
    <w:rsid w:val="00D935D4"/>
    <w:rsid w:val="00D9366D"/>
    <w:rsid w:val="00D93753"/>
    <w:rsid w:val="00D938AB"/>
    <w:rsid w:val="00D93951"/>
    <w:rsid w:val="00D93A3C"/>
    <w:rsid w:val="00D93B74"/>
    <w:rsid w:val="00D945F5"/>
    <w:rsid w:val="00D949CA"/>
    <w:rsid w:val="00D9528B"/>
    <w:rsid w:val="00D952E0"/>
    <w:rsid w:val="00D9534A"/>
    <w:rsid w:val="00D95B36"/>
    <w:rsid w:val="00D9622D"/>
    <w:rsid w:val="00D96310"/>
    <w:rsid w:val="00D96B86"/>
    <w:rsid w:val="00D96EC8"/>
    <w:rsid w:val="00D96F9E"/>
    <w:rsid w:val="00D9713C"/>
    <w:rsid w:val="00D97252"/>
    <w:rsid w:val="00D97525"/>
    <w:rsid w:val="00DA069A"/>
    <w:rsid w:val="00DA0843"/>
    <w:rsid w:val="00DA0EDF"/>
    <w:rsid w:val="00DA0F7E"/>
    <w:rsid w:val="00DA1363"/>
    <w:rsid w:val="00DA13DC"/>
    <w:rsid w:val="00DA19E1"/>
    <w:rsid w:val="00DA1ED3"/>
    <w:rsid w:val="00DA20BD"/>
    <w:rsid w:val="00DA29C2"/>
    <w:rsid w:val="00DA2C63"/>
    <w:rsid w:val="00DA2DA6"/>
    <w:rsid w:val="00DA3167"/>
    <w:rsid w:val="00DA34D3"/>
    <w:rsid w:val="00DA3513"/>
    <w:rsid w:val="00DA36DC"/>
    <w:rsid w:val="00DA37D4"/>
    <w:rsid w:val="00DA38C7"/>
    <w:rsid w:val="00DA4296"/>
    <w:rsid w:val="00DA482A"/>
    <w:rsid w:val="00DA4DC3"/>
    <w:rsid w:val="00DA4E6A"/>
    <w:rsid w:val="00DA4F15"/>
    <w:rsid w:val="00DA4FF1"/>
    <w:rsid w:val="00DA51A8"/>
    <w:rsid w:val="00DA51AC"/>
    <w:rsid w:val="00DA51AF"/>
    <w:rsid w:val="00DA5497"/>
    <w:rsid w:val="00DA5684"/>
    <w:rsid w:val="00DA577F"/>
    <w:rsid w:val="00DA5A83"/>
    <w:rsid w:val="00DA5B50"/>
    <w:rsid w:val="00DA5C6F"/>
    <w:rsid w:val="00DA5C8A"/>
    <w:rsid w:val="00DA5E20"/>
    <w:rsid w:val="00DA615E"/>
    <w:rsid w:val="00DA62C0"/>
    <w:rsid w:val="00DA666F"/>
    <w:rsid w:val="00DA6708"/>
    <w:rsid w:val="00DA6B3D"/>
    <w:rsid w:val="00DA6F28"/>
    <w:rsid w:val="00DA6F71"/>
    <w:rsid w:val="00DA6FCC"/>
    <w:rsid w:val="00DA700C"/>
    <w:rsid w:val="00DA709B"/>
    <w:rsid w:val="00DA70E5"/>
    <w:rsid w:val="00DA7171"/>
    <w:rsid w:val="00DA73F6"/>
    <w:rsid w:val="00DA759F"/>
    <w:rsid w:val="00DA77A5"/>
    <w:rsid w:val="00DA7C74"/>
    <w:rsid w:val="00DA7F06"/>
    <w:rsid w:val="00DB01E9"/>
    <w:rsid w:val="00DB0BAE"/>
    <w:rsid w:val="00DB0BC1"/>
    <w:rsid w:val="00DB0E36"/>
    <w:rsid w:val="00DB0E62"/>
    <w:rsid w:val="00DB1104"/>
    <w:rsid w:val="00DB1332"/>
    <w:rsid w:val="00DB13A5"/>
    <w:rsid w:val="00DB13BE"/>
    <w:rsid w:val="00DB15DC"/>
    <w:rsid w:val="00DB1A44"/>
    <w:rsid w:val="00DB1CB1"/>
    <w:rsid w:val="00DB1CC0"/>
    <w:rsid w:val="00DB1E44"/>
    <w:rsid w:val="00DB1F0A"/>
    <w:rsid w:val="00DB22EA"/>
    <w:rsid w:val="00DB2642"/>
    <w:rsid w:val="00DB2723"/>
    <w:rsid w:val="00DB2A87"/>
    <w:rsid w:val="00DB2CAE"/>
    <w:rsid w:val="00DB302B"/>
    <w:rsid w:val="00DB30D2"/>
    <w:rsid w:val="00DB35EA"/>
    <w:rsid w:val="00DB374C"/>
    <w:rsid w:val="00DB37F5"/>
    <w:rsid w:val="00DB383F"/>
    <w:rsid w:val="00DB3BBA"/>
    <w:rsid w:val="00DB3D31"/>
    <w:rsid w:val="00DB3DBF"/>
    <w:rsid w:val="00DB404C"/>
    <w:rsid w:val="00DB4384"/>
    <w:rsid w:val="00DB44FB"/>
    <w:rsid w:val="00DB484F"/>
    <w:rsid w:val="00DB4FF0"/>
    <w:rsid w:val="00DB54D6"/>
    <w:rsid w:val="00DB5879"/>
    <w:rsid w:val="00DB5998"/>
    <w:rsid w:val="00DB5BF3"/>
    <w:rsid w:val="00DB618D"/>
    <w:rsid w:val="00DB62B9"/>
    <w:rsid w:val="00DB6591"/>
    <w:rsid w:val="00DB66A0"/>
    <w:rsid w:val="00DB68FE"/>
    <w:rsid w:val="00DB6C2C"/>
    <w:rsid w:val="00DB6CF7"/>
    <w:rsid w:val="00DB73C6"/>
    <w:rsid w:val="00DB7D96"/>
    <w:rsid w:val="00DC0060"/>
    <w:rsid w:val="00DC04F6"/>
    <w:rsid w:val="00DC0690"/>
    <w:rsid w:val="00DC084F"/>
    <w:rsid w:val="00DC0B5D"/>
    <w:rsid w:val="00DC0EEB"/>
    <w:rsid w:val="00DC126E"/>
    <w:rsid w:val="00DC17EA"/>
    <w:rsid w:val="00DC1D65"/>
    <w:rsid w:val="00DC2664"/>
    <w:rsid w:val="00DC2BFB"/>
    <w:rsid w:val="00DC2C13"/>
    <w:rsid w:val="00DC336C"/>
    <w:rsid w:val="00DC3C57"/>
    <w:rsid w:val="00DC3C70"/>
    <w:rsid w:val="00DC3ED1"/>
    <w:rsid w:val="00DC496C"/>
    <w:rsid w:val="00DC4C6C"/>
    <w:rsid w:val="00DC5501"/>
    <w:rsid w:val="00DC5519"/>
    <w:rsid w:val="00DC57CB"/>
    <w:rsid w:val="00DC58FE"/>
    <w:rsid w:val="00DC5C11"/>
    <w:rsid w:val="00DC5D96"/>
    <w:rsid w:val="00DC5DE4"/>
    <w:rsid w:val="00DC5F51"/>
    <w:rsid w:val="00DC6E83"/>
    <w:rsid w:val="00DC6F9F"/>
    <w:rsid w:val="00DC7154"/>
    <w:rsid w:val="00DC73F5"/>
    <w:rsid w:val="00DC78EF"/>
    <w:rsid w:val="00DC79C2"/>
    <w:rsid w:val="00DC7E8A"/>
    <w:rsid w:val="00DD0416"/>
    <w:rsid w:val="00DD070A"/>
    <w:rsid w:val="00DD0742"/>
    <w:rsid w:val="00DD082D"/>
    <w:rsid w:val="00DD09BE"/>
    <w:rsid w:val="00DD0BC2"/>
    <w:rsid w:val="00DD0F78"/>
    <w:rsid w:val="00DD104F"/>
    <w:rsid w:val="00DD10C9"/>
    <w:rsid w:val="00DD10F3"/>
    <w:rsid w:val="00DD1528"/>
    <w:rsid w:val="00DD19B1"/>
    <w:rsid w:val="00DD226C"/>
    <w:rsid w:val="00DD248D"/>
    <w:rsid w:val="00DD2529"/>
    <w:rsid w:val="00DD25AA"/>
    <w:rsid w:val="00DD273C"/>
    <w:rsid w:val="00DD2B62"/>
    <w:rsid w:val="00DD2B9A"/>
    <w:rsid w:val="00DD3119"/>
    <w:rsid w:val="00DD331C"/>
    <w:rsid w:val="00DD34F5"/>
    <w:rsid w:val="00DD3503"/>
    <w:rsid w:val="00DD3526"/>
    <w:rsid w:val="00DD3B80"/>
    <w:rsid w:val="00DD3DFA"/>
    <w:rsid w:val="00DD3F28"/>
    <w:rsid w:val="00DD4295"/>
    <w:rsid w:val="00DD4446"/>
    <w:rsid w:val="00DD4537"/>
    <w:rsid w:val="00DD4A5A"/>
    <w:rsid w:val="00DD4E15"/>
    <w:rsid w:val="00DD4F34"/>
    <w:rsid w:val="00DD5011"/>
    <w:rsid w:val="00DD543A"/>
    <w:rsid w:val="00DD557D"/>
    <w:rsid w:val="00DD55B4"/>
    <w:rsid w:val="00DD5635"/>
    <w:rsid w:val="00DD5968"/>
    <w:rsid w:val="00DD5CEB"/>
    <w:rsid w:val="00DD606B"/>
    <w:rsid w:val="00DD6327"/>
    <w:rsid w:val="00DD6342"/>
    <w:rsid w:val="00DD6822"/>
    <w:rsid w:val="00DD6DBD"/>
    <w:rsid w:val="00DD6DF5"/>
    <w:rsid w:val="00DD72BB"/>
    <w:rsid w:val="00DD7487"/>
    <w:rsid w:val="00DD779B"/>
    <w:rsid w:val="00DE08E8"/>
    <w:rsid w:val="00DE0902"/>
    <w:rsid w:val="00DE10F7"/>
    <w:rsid w:val="00DE1468"/>
    <w:rsid w:val="00DE1820"/>
    <w:rsid w:val="00DE18A2"/>
    <w:rsid w:val="00DE1A84"/>
    <w:rsid w:val="00DE20B8"/>
    <w:rsid w:val="00DE2304"/>
    <w:rsid w:val="00DE250D"/>
    <w:rsid w:val="00DE2664"/>
    <w:rsid w:val="00DE2B76"/>
    <w:rsid w:val="00DE300C"/>
    <w:rsid w:val="00DE3138"/>
    <w:rsid w:val="00DE328F"/>
    <w:rsid w:val="00DE37F8"/>
    <w:rsid w:val="00DE3877"/>
    <w:rsid w:val="00DE389C"/>
    <w:rsid w:val="00DE3B12"/>
    <w:rsid w:val="00DE3D37"/>
    <w:rsid w:val="00DE3F6A"/>
    <w:rsid w:val="00DE4273"/>
    <w:rsid w:val="00DE440A"/>
    <w:rsid w:val="00DE4549"/>
    <w:rsid w:val="00DE4671"/>
    <w:rsid w:val="00DE4EE5"/>
    <w:rsid w:val="00DE4FCB"/>
    <w:rsid w:val="00DE5385"/>
    <w:rsid w:val="00DE5627"/>
    <w:rsid w:val="00DE58B9"/>
    <w:rsid w:val="00DE58F6"/>
    <w:rsid w:val="00DE5D07"/>
    <w:rsid w:val="00DE5D65"/>
    <w:rsid w:val="00DE6338"/>
    <w:rsid w:val="00DE64D7"/>
    <w:rsid w:val="00DE670C"/>
    <w:rsid w:val="00DE6CD7"/>
    <w:rsid w:val="00DE6E42"/>
    <w:rsid w:val="00DE6FEA"/>
    <w:rsid w:val="00DE70C5"/>
    <w:rsid w:val="00DE70D4"/>
    <w:rsid w:val="00DE72A7"/>
    <w:rsid w:val="00DE76A7"/>
    <w:rsid w:val="00DE7815"/>
    <w:rsid w:val="00DE7832"/>
    <w:rsid w:val="00DE78B9"/>
    <w:rsid w:val="00DE7ABC"/>
    <w:rsid w:val="00DE7B2D"/>
    <w:rsid w:val="00DE7CAA"/>
    <w:rsid w:val="00DE7DA6"/>
    <w:rsid w:val="00DE7E61"/>
    <w:rsid w:val="00DE7EE0"/>
    <w:rsid w:val="00DF012E"/>
    <w:rsid w:val="00DF04CC"/>
    <w:rsid w:val="00DF0703"/>
    <w:rsid w:val="00DF0880"/>
    <w:rsid w:val="00DF096B"/>
    <w:rsid w:val="00DF0B6A"/>
    <w:rsid w:val="00DF18FC"/>
    <w:rsid w:val="00DF1BF7"/>
    <w:rsid w:val="00DF1D6C"/>
    <w:rsid w:val="00DF1EEA"/>
    <w:rsid w:val="00DF2434"/>
    <w:rsid w:val="00DF244F"/>
    <w:rsid w:val="00DF2850"/>
    <w:rsid w:val="00DF28A6"/>
    <w:rsid w:val="00DF28EA"/>
    <w:rsid w:val="00DF2B14"/>
    <w:rsid w:val="00DF2BEC"/>
    <w:rsid w:val="00DF2EAE"/>
    <w:rsid w:val="00DF2FE8"/>
    <w:rsid w:val="00DF32BB"/>
    <w:rsid w:val="00DF33A5"/>
    <w:rsid w:val="00DF3603"/>
    <w:rsid w:val="00DF384B"/>
    <w:rsid w:val="00DF39DE"/>
    <w:rsid w:val="00DF3A68"/>
    <w:rsid w:val="00DF3B63"/>
    <w:rsid w:val="00DF3D50"/>
    <w:rsid w:val="00DF431F"/>
    <w:rsid w:val="00DF4344"/>
    <w:rsid w:val="00DF4379"/>
    <w:rsid w:val="00DF44DF"/>
    <w:rsid w:val="00DF4579"/>
    <w:rsid w:val="00DF45A7"/>
    <w:rsid w:val="00DF48FF"/>
    <w:rsid w:val="00DF494F"/>
    <w:rsid w:val="00DF4ACB"/>
    <w:rsid w:val="00DF4B93"/>
    <w:rsid w:val="00DF4CE7"/>
    <w:rsid w:val="00DF57FD"/>
    <w:rsid w:val="00DF58A9"/>
    <w:rsid w:val="00DF5B39"/>
    <w:rsid w:val="00DF5C22"/>
    <w:rsid w:val="00DF5D2B"/>
    <w:rsid w:val="00DF5EBB"/>
    <w:rsid w:val="00DF6341"/>
    <w:rsid w:val="00DF6527"/>
    <w:rsid w:val="00DF6B72"/>
    <w:rsid w:val="00DF6B9D"/>
    <w:rsid w:val="00DF713B"/>
    <w:rsid w:val="00DF7A8B"/>
    <w:rsid w:val="00DF7C26"/>
    <w:rsid w:val="00DF7DF9"/>
    <w:rsid w:val="00DF7E26"/>
    <w:rsid w:val="00E002E7"/>
    <w:rsid w:val="00E005BD"/>
    <w:rsid w:val="00E00AC6"/>
    <w:rsid w:val="00E00CB8"/>
    <w:rsid w:val="00E00E8E"/>
    <w:rsid w:val="00E01260"/>
    <w:rsid w:val="00E016FC"/>
    <w:rsid w:val="00E017DB"/>
    <w:rsid w:val="00E01B7B"/>
    <w:rsid w:val="00E02894"/>
    <w:rsid w:val="00E02DFE"/>
    <w:rsid w:val="00E02E8A"/>
    <w:rsid w:val="00E035C8"/>
    <w:rsid w:val="00E0392F"/>
    <w:rsid w:val="00E03BAA"/>
    <w:rsid w:val="00E03CED"/>
    <w:rsid w:val="00E03E8A"/>
    <w:rsid w:val="00E03F20"/>
    <w:rsid w:val="00E0447C"/>
    <w:rsid w:val="00E049AA"/>
    <w:rsid w:val="00E04BE2"/>
    <w:rsid w:val="00E04D6F"/>
    <w:rsid w:val="00E04EC3"/>
    <w:rsid w:val="00E04EE9"/>
    <w:rsid w:val="00E0542A"/>
    <w:rsid w:val="00E05630"/>
    <w:rsid w:val="00E05878"/>
    <w:rsid w:val="00E05BBF"/>
    <w:rsid w:val="00E05D52"/>
    <w:rsid w:val="00E06071"/>
    <w:rsid w:val="00E06135"/>
    <w:rsid w:val="00E062C7"/>
    <w:rsid w:val="00E06CD9"/>
    <w:rsid w:val="00E06DBB"/>
    <w:rsid w:val="00E06E10"/>
    <w:rsid w:val="00E06FB7"/>
    <w:rsid w:val="00E07CC8"/>
    <w:rsid w:val="00E07D7A"/>
    <w:rsid w:val="00E07F73"/>
    <w:rsid w:val="00E100E7"/>
    <w:rsid w:val="00E10149"/>
    <w:rsid w:val="00E10C5F"/>
    <w:rsid w:val="00E10E36"/>
    <w:rsid w:val="00E11028"/>
    <w:rsid w:val="00E1107A"/>
    <w:rsid w:val="00E11340"/>
    <w:rsid w:val="00E116FD"/>
    <w:rsid w:val="00E117BD"/>
    <w:rsid w:val="00E119B4"/>
    <w:rsid w:val="00E11C61"/>
    <w:rsid w:val="00E11EF9"/>
    <w:rsid w:val="00E1202E"/>
    <w:rsid w:val="00E122A1"/>
    <w:rsid w:val="00E12892"/>
    <w:rsid w:val="00E12C38"/>
    <w:rsid w:val="00E12FC4"/>
    <w:rsid w:val="00E12FF8"/>
    <w:rsid w:val="00E1309C"/>
    <w:rsid w:val="00E13538"/>
    <w:rsid w:val="00E136E4"/>
    <w:rsid w:val="00E13B3E"/>
    <w:rsid w:val="00E14087"/>
    <w:rsid w:val="00E148A3"/>
    <w:rsid w:val="00E14A71"/>
    <w:rsid w:val="00E14C5D"/>
    <w:rsid w:val="00E14F6A"/>
    <w:rsid w:val="00E155C5"/>
    <w:rsid w:val="00E15807"/>
    <w:rsid w:val="00E15BBA"/>
    <w:rsid w:val="00E161A9"/>
    <w:rsid w:val="00E161C1"/>
    <w:rsid w:val="00E162D3"/>
    <w:rsid w:val="00E1635E"/>
    <w:rsid w:val="00E16372"/>
    <w:rsid w:val="00E16AD8"/>
    <w:rsid w:val="00E16FDD"/>
    <w:rsid w:val="00E171F9"/>
    <w:rsid w:val="00E173C7"/>
    <w:rsid w:val="00E174DC"/>
    <w:rsid w:val="00E17636"/>
    <w:rsid w:val="00E17658"/>
    <w:rsid w:val="00E17E19"/>
    <w:rsid w:val="00E17F08"/>
    <w:rsid w:val="00E17F21"/>
    <w:rsid w:val="00E17FFA"/>
    <w:rsid w:val="00E204B9"/>
    <w:rsid w:val="00E204F9"/>
    <w:rsid w:val="00E208B6"/>
    <w:rsid w:val="00E209D5"/>
    <w:rsid w:val="00E20E4D"/>
    <w:rsid w:val="00E20ED6"/>
    <w:rsid w:val="00E21041"/>
    <w:rsid w:val="00E21358"/>
    <w:rsid w:val="00E21798"/>
    <w:rsid w:val="00E2179B"/>
    <w:rsid w:val="00E21D28"/>
    <w:rsid w:val="00E21E2A"/>
    <w:rsid w:val="00E21E94"/>
    <w:rsid w:val="00E2205B"/>
    <w:rsid w:val="00E2209A"/>
    <w:rsid w:val="00E221D2"/>
    <w:rsid w:val="00E2229C"/>
    <w:rsid w:val="00E223AD"/>
    <w:rsid w:val="00E2249B"/>
    <w:rsid w:val="00E22A0D"/>
    <w:rsid w:val="00E22DA0"/>
    <w:rsid w:val="00E231CA"/>
    <w:rsid w:val="00E23451"/>
    <w:rsid w:val="00E23611"/>
    <w:rsid w:val="00E244A3"/>
    <w:rsid w:val="00E244F6"/>
    <w:rsid w:val="00E248DB"/>
    <w:rsid w:val="00E24ABB"/>
    <w:rsid w:val="00E24C0B"/>
    <w:rsid w:val="00E24C72"/>
    <w:rsid w:val="00E2500A"/>
    <w:rsid w:val="00E2537A"/>
    <w:rsid w:val="00E254AF"/>
    <w:rsid w:val="00E25735"/>
    <w:rsid w:val="00E258CE"/>
    <w:rsid w:val="00E258DB"/>
    <w:rsid w:val="00E259E8"/>
    <w:rsid w:val="00E25C06"/>
    <w:rsid w:val="00E2609E"/>
    <w:rsid w:val="00E2616C"/>
    <w:rsid w:val="00E26251"/>
    <w:rsid w:val="00E268EF"/>
    <w:rsid w:val="00E26FDD"/>
    <w:rsid w:val="00E2740B"/>
    <w:rsid w:val="00E27562"/>
    <w:rsid w:val="00E27682"/>
    <w:rsid w:val="00E2768D"/>
    <w:rsid w:val="00E2771E"/>
    <w:rsid w:val="00E277EA"/>
    <w:rsid w:val="00E27815"/>
    <w:rsid w:val="00E27B8B"/>
    <w:rsid w:val="00E303FC"/>
    <w:rsid w:val="00E30693"/>
    <w:rsid w:val="00E30AFB"/>
    <w:rsid w:val="00E30DFB"/>
    <w:rsid w:val="00E30F99"/>
    <w:rsid w:val="00E311EF"/>
    <w:rsid w:val="00E31462"/>
    <w:rsid w:val="00E314B6"/>
    <w:rsid w:val="00E316B5"/>
    <w:rsid w:val="00E318A4"/>
    <w:rsid w:val="00E318D0"/>
    <w:rsid w:val="00E31AD8"/>
    <w:rsid w:val="00E31D95"/>
    <w:rsid w:val="00E32180"/>
    <w:rsid w:val="00E3236E"/>
    <w:rsid w:val="00E324B1"/>
    <w:rsid w:val="00E325FB"/>
    <w:rsid w:val="00E326EA"/>
    <w:rsid w:val="00E32820"/>
    <w:rsid w:val="00E32C05"/>
    <w:rsid w:val="00E32E35"/>
    <w:rsid w:val="00E32F1E"/>
    <w:rsid w:val="00E331DA"/>
    <w:rsid w:val="00E33256"/>
    <w:rsid w:val="00E337C2"/>
    <w:rsid w:val="00E33A78"/>
    <w:rsid w:val="00E33B97"/>
    <w:rsid w:val="00E33BCA"/>
    <w:rsid w:val="00E33C4A"/>
    <w:rsid w:val="00E33FB8"/>
    <w:rsid w:val="00E3428F"/>
    <w:rsid w:val="00E34824"/>
    <w:rsid w:val="00E34948"/>
    <w:rsid w:val="00E34D2A"/>
    <w:rsid w:val="00E34E17"/>
    <w:rsid w:val="00E34ECF"/>
    <w:rsid w:val="00E34FB1"/>
    <w:rsid w:val="00E35072"/>
    <w:rsid w:val="00E3512A"/>
    <w:rsid w:val="00E356A5"/>
    <w:rsid w:val="00E35870"/>
    <w:rsid w:val="00E363E4"/>
    <w:rsid w:val="00E368D5"/>
    <w:rsid w:val="00E36A9F"/>
    <w:rsid w:val="00E36BBD"/>
    <w:rsid w:val="00E37042"/>
    <w:rsid w:val="00E37231"/>
    <w:rsid w:val="00E3735D"/>
    <w:rsid w:val="00E37370"/>
    <w:rsid w:val="00E37537"/>
    <w:rsid w:val="00E37569"/>
    <w:rsid w:val="00E375B9"/>
    <w:rsid w:val="00E3788D"/>
    <w:rsid w:val="00E37AC7"/>
    <w:rsid w:val="00E40045"/>
    <w:rsid w:val="00E401B2"/>
    <w:rsid w:val="00E405B6"/>
    <w:rsid w:val="00E406CC"/>
    <w:rsid w:val="00E4094E"/>
    <w:rsid w:val="00E40B26"/>
    <w:rsid w:val="00E40C05"/>
    <w:rsid w:val="00E40E28"/>
    <w:rsid w:val="00E41133"/>
    <w:rsid w:val="00E413E6"/>
    <w:rsid w:val="00E416E1"/>
    <w:rsid w:val="00E417F2"/>
    <w:rsid w:val="00E418A8"/>
    <w:rsid w:val="00E41E30"/>
    <w:rsid w:val="00E41F6B"/>
    <w:rsid w:val="00E41F8A"/>
    <w:rsid w:val="00E42424"/>
    <w:rsid w:val="00E42639"/>
    <w:rsid w:val="00E42F73"/>
    <w:rsid w:val="00E431D6"/>
    <w:rsid w:val="00E434A8"/>
    <w:rsid w:val="00E43573"/>
    <w:rsid w:val="00E435BA"/>
    <w:rsid w:val="00E43BF2"/>
    <w:rsid w:val="00E43D70"/>
    <w:rsid w:val="00E43DD0"/>
    <w:rsid w:val="00E442D9"/>
    <w:rsid w:val="00E443C0"/>
    <w:rsid w:val="00E4481E"/>
    <w:rsid w:val="00E4494A"/>
    <w:rsid w:val="00E449B9"/>
    <w:rsid w:val="00E44DB8"/>
    <w:rsid w:val="00E44E0F"/>
    <w:rsid w:val="00E45064"/>
    <w:rsid w:val="00E452B3"/>
    <w:rsid w:val="00E45858"/>
    <w:rsid w:val="00E45AB0"/>
    <w:rsid w:val="00E45BC3"/>
    <w:rsid w:val="00E45CF1"/>
    <w:rsid w:val="00E45DF3"/>
    <w:rsid w:val="00E46097"/>
    <w:rsid w:val="00E46369"/>
    <w:rsid w:val="00E46613"/>
    <w:rsid w:val="00E466F3"/>
    <w:rsid w:val="00E46F4A"/>
    <w:rsid w:val="00E470BC"/>
    <w:rsid w:val="00E470C3"/>
    <w:rsid w:val="00E470D2"/>
    <w:rsid w:val="00E47370"/>
    <w:rsid w:val="00E475AC"/>
    <w:rsid w:val="00E47792"/>
    <w:rsid w:val="00E4783A"/>
    <w:rsid w:val="00E47B2C"/>
    <w:rsid w:val="00E47CA7"/>
    <w:rsid w:val="00E47E55"/>
    <w:rsid w:val="00E47ED2"/>
    <w:rsid w:val="00E50033"/>
    <w:rsid w:val="00E506FB"/>
    <w:rsid w:val="00E5085E"/>
    <w:rsid w:val="00E50996"/>
    <w:rsid w:val="00E50C14"/>
    <w:rsid w:val="00E50C70"/>
    <w:rsid w:val="00E50D33"/>
    <w:rsid w:val="00E50E6C"/>
    <w:rsid w:val="00E512E1"/>
    <w:rsid w:val="00E513B2"/>
    <w:rsid w:val="00E513D9"/>
    <w:rsid w:val="00E51560"/>
    <w:rsid w:val="00E51821"/>
    <w:rsid w:val="00E51891"/>
    <w:rsid w:val="00E51D09"/>
    <w:rsid w:val="00E51E2A"/>
    <w:rsid w:val="00E52293"/>
    <w:rsid w:val="00E525BC"/>
    <w:rsid w:val="00E52728"/>
    <w:rsid w:val="00E5290B"/>
    <w:rsid w:val="00E52996"/>
    <w:rsid w:val="00E529C1"/>
    <w:rsid w:val="00E5319D"/>
    <w:rsid w:val="00E53608"/>
    <w:rsid w:val="00E53ABC"/>
    <w:rsid w:val="00E53F15"/>
    <w:rsid w:val="00E53FC8"/>
    <w:rsid w:val="00E541D9"/>
    <w:rsid w:val="00E5430B"/>
    <w:rsid w:val="00E54347"/>
    <w:rsid w:val="00E547C2"/>
    <w:rsid w:val="00E54D5F"/>
    <w:rsid w:val="00E54DFC"/>
    <w:rsid w:val="00E54F28"/>
    <w:rsid w:val="00E5503D"/>
    <w:rsid w:val="00E55137"/>
    <w:rsid w:val="00E5522A"/>
    <w:rsid w:val="00E55424"/>
    <w:rsid w:val="00E5551E"/>
    <w:rsid w:val="00E55754"/>
    <w:rsid w:val="00E5578A"/>
    <w:rsid w:val="00E55915"/>
    <w:rsid w:val="00E55B8B"/>
    <w:rsid w:val="00E55BB5"/>
    <w:rsid w:val="00E55BB9"/>
    <w:rsid w:val="00E55F1E"/>
    <w:rsid w:val="00E56826"/>
    <w:rsid w:val="00E568DA"/>
    <w:rsid w:val="00E56B06"/>
    <w:rsid w:val="00E56B24"/>
    <w:rsid w:val="00E57219"/>
    <w:rsid w:val="00E57329"/>
    <w:rsid w:val="00E57554"/>
    <w:rsid w:val="00E57D25"/>
    <w:rsid w:val="00E60946"/>
    <w:rsid w:val="00E6094D"/>
    <w:rsid w:val="00E60A6F"/>
    <w:rsid w:val="00E60CDF"/>
    <w:rsid w:val="00E60D81"/>
    <w:rsid w:val="00E60E7F"/>
    <w:rsid w:val="00E611DF"/>
    <w:rsid w:val="00E611F7"/>
    <w:rsid w:val="00E615BC"/>
    <w:rsid w:val="00E61C63"/>
    <w:rsid w:val="00E61E56"/>
    <w:rsid w:val="00E61FF4"/>
    <w:rsid w:val="00E62479"/>
    <w:rsid w:val="00E62AB7"/>
    <w:rsid w:val="00E62E65"/>
    <w:rsid w:val="00E62F18"/>
    <w:rsid w:val="00E63DE6"/>
    <w:rsid w:val="00E64029"/>
    <w:rsid w:val="00E64318"/>
    <w:rsid w:val="00E64A8C"/>
    <w:rsid w:val="00E64BAE"/>
    <w:rsid w:val="00E64D29"/>
    <w:rsid w:val="00E64F02"/>
    <w:rsid w:val="00E64F19"/>
    <w:rsid w:val="00E650F7"/>
    <w:rsid w:val="00E65384"/>
    <w:rsid w:val="00E655EC"/>
    <w:rsid w:val="00E65E79"/>
    <w:rsid w:val="00E6612B"/>
    <w:rsid w:val="00E6621B"/>
    <w:rsid w:val="00E66421"/>
    <w:rsid w:val="00E6642E"/>
    <w:rsid w:val="00E6649E"/>
    <w:rsid w:val="00E667D7"/>
    <w:rsid w:val="00E66BA2"/>
    <w:rsid w:val="00E66D6F"/>
    <w:rsid w:val="00E67394"/>
    <w:rsid w:val="00E67416"/>
    <w:rsid w:val="00E67461"/>
    <w:rsid w:val="00E67750"/>
    <w:rsid w:val="00E67860"/>
    <w:rsid w:val="00E70056"/>
    <w:rsid w:val="00E700C4"/>
    <w:rsid w:val="00E705D3"/>
    <w:rsid w:val="00E706DB"/>
    <w:rsid w:val="00E70D2D"/>
    <w:rsid w:val="00E70D49"/>
    <w:rsid w:val="00E71107"/>
    <w:rsid w:val="00E711EE"/>
    <w:rsid w:val="00E713EC"/>
    <w:rsid w:val="00E718B6"/>
    <w:rsid w:val="00E719DC"/>
    <w:rsid w:val="00E71C4E"/>
    <w:rsid w:val="00E71E5C"/>
    <w:rsid w:val="00E723BA"/>
    <w:rsid w:val="00E726A5"/>
    <w:rsid w:val="00E72CB2"/>
    <w:rsid w:val="00E72CDB"/>
    <w:rsid w:val="00E72D8B"/>
    <w:rsid w:val="00E72E89"/>
    <w:rsid w:val="00E73513"/>
    <w:rsid w:val="00E73581"/>
    <w:rsid w:val="00E73CC8"/>
    <w:rsid w:val="00E73DF8"/>
    <w:rsid w:val="00E73E16"/>
    <w:rsid w:val="00E7410A"/>
    <w:rsid w:val="00E7415F"/>
    <w:rsid w:val="00E743EA"/>
    <w:rsid w:val="00E74ADA"/>
    <w:rsid w:val="00E74B69"/>
    <w:rsid w:val="00E74E33"/>
    <w:rsid w:val="00E74F6E"/>
    <w:rsid w:val="00E750B2"/>
    <w:rsid w:val="00E75126"/>
    <w:rsid w:val="00E7526D"/>
    <w:rsid w:val="00E756AE"/>
    <w:rsid w:val="00E75889"/>
    <w:rsid w:val="00E76115"/>
    <w:rsid w:val="00E76169"/>
    <w:rsid w:val="00E762E9"/>
    <w:rsid w:val="00E76492"/>
    <w:rsid w:val="00E76650"/>
    <w:rsid w:val="00E76827"/>
    <w:rsid w:val="00E76BD7"/>
    <w:rsid w:val="00E772B6"/>
    <w:rsid w:val="00E774CF"/>
    <w:rsid w:val="00E774EE"/>
    <w:rsid w:val="00E775A9"/>
    <w:rsid w:val="00E7799B"/>
    <w:rsid w:val="00E77BB9"/>
    <w:rsid w:val="00E80088"/>
    <w:rsid w:val="00E801EC"/>
    <w:rsid w:val="00E804B7"/>
    <w:rsid w:val="00E80E8A"/>
    <w:rsid w:val="00E810E9"/>
    <w:rsid w:val="00E811E6"/>
    <w:rsid w:val="00E81278"/>
    <w:rsid w:val="00E81418"/>
    <w:rsid w:val="00E81522"/>
    <w:rsid w:val="00E81686"/>
    <w:rsid w:val="00E81DBB"/>
    <w:rsid w:val="00E82152"/>
    <w:rsid w:val="00E82219"/>
    <w:rsid w:val="00E824DF"/>
    <w:rsid w:val="00E8260D"/>
    <w:rsid w:val="00E82C87"/>
    <w:rsid w:val="00E83053"/>
    <w:rsid w:val="00E833F7"/>
    <w:rsid w:val="00E83626"/>
    <w:rsid w:val="00E83778"/>
    <w:rsid w:val="00E8387A"/>
    <w:rsid w:val="00E839CD"/>
    <w:rsid w:val="00E83A0B"/>
    <w:rsid w:val="00E83BDF"/>
    <w:rsid w:val="00E83C53"/>
    <w:rsid w:val="00E8497F"/>
    <w:rsid w:val="00E8499B"/>
    <w:rsid w:val="00E84D43"/>
    <w:rsid w:val="00E85177"/>
    <w:rsid w:val="00E85213"/>
    <w:rsid w:val="00E8528F"/>
    <w:rsid w:val="00E8532A"/>
    <w:rsid w:val="00E85353"/>
    <w:rsid w:val="00E85377"/>
    <w:rsid w:val="00E854C8"/>
    <w:rsid w:val="00E8576E"/>
    <w:rsid w:val="00E8591A"/>
    <w:rsid w:val="00E85A4B"/>
    <w:rsid w:val="00E85AA7"/>
    <w:rsid w:val="00E85E75"/>
    <w:rsid w:val="00E85F8B"/>
    <w:rsid w:val="00E86066"/>
    <w:rsid w:val="00E86440"/>
    <w:rsid w:val="00E86790"/>
    <w:rsid w:val="00E86EB0"/>
    <w:rsid w:val="00E86FCC"/>
    <w:rsid w:val="00E871B4"/>
    <w:rsid w:val="00E872D7"/>
    <w:rsid w:val="00E87341"/>
    <w:rsid w:val="00E876B1"/>
    <w:rsid w:val="00E878C5"/>
    <w:rsid w:val="00E87A1D"/>
    <w:rsid w:val="00E9002E"/>
    <w:rsid w:val="00E901E6"/>
    <w:rsid w:val="00E9064F"/>
    <w:rsid w:val="00E9094A"/>
    <w:rsid w:val="00E90E0A"/>
    <w:rsid w:val="00E90FA7"/>
    <w:rsid w:val="00E91396"/>
    <w:rsid w:val="00E917EC"/>
    <w:rsid w:val="00E91B0A"/>
    <w:rsid w:val="00E91D35"/>
    <w:rsid w:val="00E91D7A"/>
    <w:rsid w:val="00E91DB3"/>
    <w:rsid w:val="00E91F36"/>
    <w:rsid w:val="00E926A5"/>
    <w:rsid w:val="00E92A61"/>
    <w:rsid w:val="00E92A7D"/>
    <w:rsid w:val="00E939FC"/>
    <w:rsid w:val="00E93D8B"/>
    <w:rsid w:val="00E9412E"/>
    <w:rsid w:val="00E94343"/>
    <w:rsid w:val="00E94728"/>
    <w:rsid w:val="00E94E4F"/>
    <w:rsid w:val="00E94F33"/>
    <w:rsid w:val="00E953E4"/>
    <w:rsid w:val="00E95703"/>
    <w:rsid w:val="00E95943"/>
    <w:rsid w:val="00E9598D"/>
    <w:rsid w:val="00E95C32"/>
    <w:rsid w:val="00E95DC6"/>
    <w:rsid w:val="00E95F73"/>
    <w:rsid w:val="00E9609E"/>
    <w:rsid w:val="00E962CC"/>
    <w:rsid w:val="00E964AB"/>
    <w:rsid w:val="00E96540"/>
    <w:rsid w:val="00E96693"/>
    <w:rsid w:val="00E9674C"/>
    <w:rsid w:val="00E96BE1"/>
    <w:rsid w:val="00E96C1F"/>
    <w:rsid w:val="00E978B9"/>
    <w:rsid w:val="00E97A27"/>
    <w:rsid w:val="00E97CA1"/>
    <w:rsid w:val="00E97D8C"/>
    <w:rsid w:val="00E97E83"/>
    <w:rsid w:val="00E97EE0"/>
    <w:rsid w:val="00E97F94"/>
    <w:rsid w:val="00EA04D2"/>
    <w:rsid w:val="00EA05C5"/>
    <w:rsid w:val="00EA05F8"/>
    <w:rsid w:val="00EA0AAD"/>
    <w:rsid w:val="00EA0EC3"/>
    <w:rsid w:val="00EA15D6"/>
    <w:rsid w:val="00EA1605"/>
    <w:rsid w:val="00EA1741"/>
    <w:rsid w:val="00EA1786"/>
    <w:rsid w:val="00EA17C3"/>
    <w:rsid w:val="00EA18C4"/>
    <w:rsid w:val="00EA1DFE"/>
    <w:rsid w:val="00EA2656"/>
    <w:rsid w:val="00EA2A38"/>
    <w:rsid w:val="00EA2CAA"/>
    <w:rsid w:val="00EA2CED"/>
    <w:rsid w:val="00EA3246"/>
    <w:rsid w:val="00EA3328"/>
    <w:rsid w:val="00EA3554"/>
    <w:rsid w:val="00EA37F8"/>
    <w:rsid w:val="00EA3864"/>
    <w:rsid w:val="00EA38B0"/>
    <w:rsid w:val="00EA39E9"/>
    <w:rsid w:val="00EA3E64"/>
    <w:rsid w:val="00EA3FE3"/>
    <w:rsid w:val="00EA4366"/>
    <w:rsid w:val="00EA553F"/>
    <w:rsid w:val="00EA5884"/>
    <w:rsid w:val="00EA5B46"/>
    <w:rsid w:val="00EA5C7B"/>
    <w:rsid w:val="00EA5EF6"/>
    <w:rsid w:val="00EA5FB8"/>
    <w:rsid w:val="00EA6408"/>
    <w:rsid w:val="00EA6900"/>
    <w:rsid w:val="00EA7287"/>
    <w:rsid w:val="00EA77C7"/>
    <w:rsid w:val="00EA7B6F"/>
    <w:rsid w:val="00EA7D9C"/>
    <w:rsid w:val="00EA7F1C"/>
    <w:rsid w:val="00EB017E"/>
    <w:rsid w:val="00EB0345"/>
    <w:rsid w:val="00EB065D"/>
    <w:rsid w:val="00EB07CA"/>
    <w:rsid w:val="00EB0ADC"/>
    <w:rsid w:val="00EB0FB0"/>
    <w:rsid w:val="00EB15B6"/>
    <w:rsid w:val="00EB17A0"/>
    <w:rsid w:val="00EB190B"/>
    <w:rsid w:val="00EB1BFE"/>
    <w:rsid w:val="00EB1E69"/>
    <w:rsid w:val="00EB2D57"/>
    <w:rsid w:val="00EB2FD1"/>
    <w:rsid w:val="00EB30F7"/>
    <w:rsid w:val="00EB3528"/>
    <w:rsid w:val="00EB3C99"/>
    <w:rsid w:val="00EB3D06"/>
    <w:rsid w:val="00EB3FEE"/>
    <w:rsid w:val="00EB4051"/>
    <w:rsid w:val="00EB4068"/>
    <w:rsid w:val="00EB42F2"/>
    <w:rsid w:val="00EB48A5"/>
    <w:rsid w:val="00EB4916"/>
    <w:rsid w:val="00EB4AC5"/>
    <w:rsid w:val="00EB4B82"/>
    <w:rsid w:val="00EB51EF"/>
    <w:rsid w:val="00EB5424"/>
    <w:rsid w:val="00EB5694"/>
    <w:rsid w:val="00EB5999"/>
    <w:rsid w:val="00EB5C06"/>
    <w:rsid w:val="00EB6266"/>
    <w:rsid w:val="00EB63F0"/>
    <w:rsid w:val="00EB6669"/>
    <w:rsid w:val="00EB6750"/>
    <w:rsid w:val="00EB6942"/>
    <w:rsid w:val="00EB6AB8"/>
    <w:rsid w:val="00EB7870"/>
    <w:rsid w:val="00EB78CB"/>
    <w:rsid w:val="00EB7BE0"/>
    <w:rsid w:val="00EB7D26"/>
    <w:rsid w:val="00EC00AB"/>
    <w:rsid w:val="00EC00C9"/>
    <w:rsid w:val="00EC0217"/>
    <w:rsid w:val="00EC064B"/>
    <w:rsid w:val="00EC0897"/>
    <w:rsid w:val="00EC0928"/>
    <w:rsid w:val="00EC0942"/>
    <w:rsid w:val="00EC0A12"/>
    <w:rsid w:val="00EC0A7F"/>
    <w:rsid w:val="00EC0D4D"/>
    <w:rsid w:val="00EC0DD9"/>
    <w:rsid w:val="00EC0EE8"/>
    <w:rsid w:val="00EC13B4"/>
    <w:rsid w:val="00EC1536"/>
    <w:rsid w:val="00EC1810"/>
    <w:rsid w:val="00EC1AC6"/>
    <w:rsid w:val="00EC1DC3"/>
    <w:rsid w:val="00EC2649"/>
    <w:rsid w:val="00EC2A1A"/>
    <w:rsid w:val="00EC2A70"/>
    <w:rsid w:val="00EC30E7"/>
    <w:rsid w:val="00EC31ED"/>
    <w:rsid w:val="00EC3E9D"/>
    <w:rsid w:val="00EC462A"/>
    <w:rsid w:val="00EC4B39"/>
    <w:rsid w:val="00EC4EFF"/>
    <w:rsid w:val="00EC4F21"/>
    <w:rsid w:val="00EC5017"/>
    <w:rsid w:val="00EC52C1"/>
    <w:rsid w:val="00EC542B"/>
    <w:rsid w:val="00EC56F1"/>
    <w:rsid w:val="00EC5836"/>
    <w:rsid w:val="00EC58FA"/>
    <w:rsid w:val="00EC5B34"/>
    <w:rsid w:val="00EC5CBE"/>
    <w:rsid w:val="00EC6395"/>
    <w:rsid w:val="00EC684A"/>
    <w:rsid w:val="00EC6853"/>
    <w:rsid w:val="00EC688C"/>
    <w:rsid w:val="00EC6B1D"/>
    <w:rsid w:val="00EC6D3E"/>
    <w:rsid w:val="00EC6D4D"/>
    <w:rsid w:val="00EC7171"/>
    <w:rsid w:val="00EC73CE"/>
    <w:rsid w:val="00EC7446"/>
    <w:rsid w:val="00EC7498"/>
    <w:rsid w:val="00EC74F5"/>
    <w:rsid w:val="00EC7CD4"/>
    <w:rsid w:val="00EC7DEB"/>
    <w:rsid w:val="00EC7FA8"/>
    <w:rsid w:val="00ED00A9"/>
    <w:rsid w:val="00ED017F"/>
    <w:rsid w:val="00ED01D4"/>
    <w:rsid w:val="00ED0989"/>
    <w:rsid w:val="00ED0CBB"/>
    <w:rsid w:val="00ED0D7D"/>
    <w:rsid w:val="00ED0F0C"/>
    <w:rsid w:val="00ED1009"/>
    <w:rsid w:val="00ED116F"/>
    <w:rsid w:val="00ED12E3"/>
    <w:rsid w:val="00ED1B5E"/>
    <w:rsid w:val="00ED1D15"/>
    <w:rsid w:val="00ED1E4F"/>
    <w:rsid w:val="00ED1EDA"/>
    <w:rsid w:val="00ED1FAD"/>
    <w:rsid w:val="00ED2050"/>
    <w:rsid w:val="00ED23C7"/>
    <w:rsid w:val="00ED2420"/>
    <w:rsid w:val="00ED24DC"/>
    <w:rsid w:val="00ED255B"/>
    <w:rsid w:val="00ED28E2"/>
    <w:rsid w:val="00ED2B98"/>
    <w:rsid w:val="00ED2BBA"/>
    <w:rsid w:val="00ED2FBE"/>
    <w:rsid w:val="00ED2FC7"/>
    <w:rsid w:val="00ED3084"/>
    <w:rsid w:val="00ED3221"/>
    <w:rsid w:val="00ED325E"/>
    <w:rsid w:val="00ED326D"/>
    <w:rsid w:val="00ED3517"/>
    <w:rsid w:val="00ED36AE"/>
    <w:rsid w:val="00ED3F9A"/>
    <w:rsid w:val="00ED3FD1"/>
    <w:rsid w:val="00ED410F"/>
    <w:rsid w:val="00ED4468"/>
    <w:rsid w:val="00ED45C8"/>
    <w:rsid w:val="00ED4950"/>
    <w:rsid w:val="00ED4B04"/>
    <w:rsid w:val="00ED4DED"/>
    <w:rsid w:val="00ED4F5B"/>
    <w:rsid w:val="00ED509A"/>
    <w:rsid w:val="00ED5760"/>
    <w:rsid w:val="00ED57EA"/>
    <w:rsid w:val="00ED5990"/>
    <w:rsid w:val="00ED5BD4"/>
    <w:rsid w:val="00ED6373"/>
    <w:rsid w:val="00ED64FD"/>
    <w:rsid w:val="00ED6649"/>
    <w:rsid w:val="00ED6B28"/>
    <w:rsid w:val="00ED6B78"/>
    <w:rsid w:val="00ED6BD2"/>
    <w:rsid w:val="00ED6E42"/>
    <w:rsid w:val="00ED7BD4"/>
    <w:rsid w:val="00ED7DF8"/>
    <w:rsid w:val="00EE0487"/>
    <w:rsid w:val="00EE07D3"/>
    <w:rsid w:val="00EE0BB7"/>
    <w:rsid w:val="00EE0CFB"/>
    <w:rsid w:val="00EE0E76"/>
    <w:rsid w:val="00EE0EFB"/>
    <w:rsid w:val="00EE0FEC"/>
    <w:rsid w:val="00EE15BE"/>
    <w:rsid w:val="00EE15F3"/>
    <w:rsid w:val="00EE18C2"/>
    <w:rsid w:val="00EE18E8"/>
    <w:rsid w:val="00EE1996"/>
    <w:rsid w:val="00EE1A04"/>
    <w:rsid w:val="00EE1C01"/>
    <w:rsid w:val="00EE22AF"/>
    <w:rsid w:val="00EE2313"/>
    <w:rsid w:val="00EE250D"/>
    <w:rsid w:val="00EE2542"/>
    <w:rsid w:val="00EE2B79"/>
    <w:rsid w:val="00EE2BB9"/>
    <w:rsid w:val="00EE2E59"/>
    <w:rsid w:val="00EE3211"/>
    <w:rsid w:val="00EE3325"/>
    <w:rsid w:val="00EE3740"/>
    <w:rsid w:val="00EE3A12"/>
    <w:rsid w:val="00EE3C12"/>
    <w:rsid w:val="00EE3D04"/>
    <w:rsid w:val="00EE3D90"/>
    <w:rsid w:val="00EE3E7A"/>
    <w:rsid w:val="00EE4185"/>
    <w:rsid w:val="00EE4281"/>
    <w:rsid w:val="00EE443F"/>
    <w:rsid w:val="00EE4D29"/>
    <w:rsid w:val="00EE5247"/>
    <w:rsid w:val="00EE5442"/>
    <w:rsid w:val="00EE5B86"/>
    <w:rsid w:val="00EE5D5D"/>
    <w:rsid w:val="00EE61C1"/>
    <w:rsid w:val="00EE683A"/>
    <w:rsid w:val="00EE6F79"/>
    <w:rsid w:val="00EE72B4"/>
    <w:rsid w:val="00EE74E8"/>
    <w:rsid w:val="00EE796D"/>
    <w:rsid w:val="00EE7CDC"/>
    <w:rsid w:val="00EE7ED2"/>
    <w:rsid w:val="00EF0171"/>
    <w:rsid w:val="00EF05CC"/>
    <w:rsid w:val="00EF0720"/>
    <w:rsid w:val="00EF0964"/>
    <w:rsid w:val="00EF09DC"/>
    <w:rsid w:val="00EF0E49"/>
    <w:rsid w:val="00EF150E"/>
    <w:rsid w:val="00EF158B"/>
    <w:rsid w:val="00EF180B"/>
    <w:rsid w:val="00EF1B25"/>
    <w:rsid w:val="00EF1BB3"/>
    <w:rsid w:val="00EF1D70"/>
    <w:rsid w:val="00EF1DA0"/>
    <w:rsid w:val="00EF1EC5"/>
    <w:rsid w:val="00EF235F"/>
    <w:rsid w:val="00EF2855"/>
    <w:rsid w:val="00EF299C"/>
    <w:rsid w:val="00EF2A57"/>
    <w:rsid w:val="00EF2B32"/>
    <w:rsid w:val="00EF2B49"/>
    <w:rsid w:val="00EF2C85"/>
    <w:rsid w:val="00EF30C8"/>
    <w:rsid w:val="00EF3337"/>
    <w:rsid w:val="00EF349E"/>
    <w:rsid w:val="00EF3588"/>
    <w:rsid w:val="00EF37D8"/>
    <w:rsid w:val="00EF3EC6"/>
    <w:rsid w:val="00EF4379"/>
    <w:rsid w:val="00EF450E"/>
    <w:rsid w:val="00EF453A"/>
    <w:rsid w:val="00EF4747"/>
    <w:rsid w:val="00EF4818"/>
    <w:rsid w:val="00EF4BF8"/>
    <w:rsid w:val="00EF4E15"/>
    <w:rsid w:val="00EF4FCF"/>
    <w:rsid w:val="00EF547B"/>
    <w:rsid w:val="00EF5640"/>
    <w:rsid w:val="00EF56E6"/>
    <w:rsid w:val="00EF5C6A"/>
    <w:rsid w:val="00EF5E00"/>
    <w:rsid w:val="00EF5EAE"/>
    <w:rsid w:val="00EF5F5E"/>
    <w:rsid w:val="00EF6029"/>
    <w:rsid w:val="00EF60F1"/>
    <w:rsid w:val="00EF636A"/>
    <w:rsid w:val="00EF6547"/>
    <w:rsid w:val="00EF694D"/>
    <w:rsid w:val="00EF6A47"/>
    <w:rsid w:val="00EF7488"/>
    <w:rsid w:val="00EF782A"/>
    <w:rsid w:val="00F00042"/>
    <w:rsid w:val="00F0013F"/>
    <w:rsid w:val="00F00516"/>
    <w:rsid w:val="00F0095E"/>
    <w:rsid w:val="00F00B16"/>
    <w:rsid w:val="00F00CE5"/>
    <w:rsid w:val="00F00E6A"/>
    <w:rsid w:val="00F011C3"/>
    <w:rsid w:val="00F01398"/>
    <w:rsid w:val="00F0144C"/>
    <w:rsid w:val="00F01751"/>
    <w:rsid w:val="00F02253"/>
    <w:rsid w:val="00F0240F"/>
    <w:rsid w:val="00F028E2"/>
    <w:rsid w:val="00F02963"/>
    <w:rsid w:val="00F02BB8"/>
    <w:rsid w:val="00F0352A"/>
    <w:rsid w:val="00F03A6F"/>
    <w:rsid w:val="00F03C2E"/>
    <w:rsid w:val="00F040A0"/>
    <w:rsid w:val="00F043F8"/>
    <w:rsid w:val="00F0441F"/>
    <w:rsid w:val="00F04471"/>
    <w:rsid w:val="00F044AC"/>
    <w:rsid w:val="00F04907"/>
    <w:rsid w:val="00F04943"/>
    <w:rsid w:val="00F04A66"/>
    <w:rsid w:val="00F04B4B"/>
    <w:rsid w:val="00F04C60"/>
    <w:rsid w:val="00F04D22"/>
    <w:rsid w:val="00F0516C"/>
    <w:rsid w:val="00F05240"/>
    <w:rsid w:val="00F0565B"/>
    <w:rsid w:val="00F05772"/>
    <w:rsid w:val="00F05CF8"/>
    <w:rsid w:val="00F060AA"/>
    <w:rsid w:val="00F061D2"/>
    <w:rsid w:val="00F062EE"/>
    <w:rsid w:val="00F06501"/>
    <w:rsid w:val="00F06645"/>
    <w:rsid w:val="00F066A7"/>
    <w:rsid w:val="00F067A2"/>
    <w:rsid w:val="00F069DD"/>
    <w:rsid w:val="00F06A2D"/>
    <w:rsid w:val="00F06E7A"/>
    <w:rsid w:val="00F06F37"/>
    <w:rsid w:val="00F0723B"/>
    <w:rsid w:val="00F07528"/>
    <w:rsid w:val="00F075CE"/>
    <w:rsid w:val="00F07738"/>
    <w:rsid w:val="00F077D1"/>
    <w:rsid w:val="00F07839"/>
    <w:rsid w:val="00F079B8"/>
    <w:rsid w:val="00F07B9E"/>
    <w:rsid w:val="00F07CBB"/>
    <w:rsid w:val="00F07F50"/>
    <w:rsid w:val="00F103FF"/>
    <w:rsid w:val="00F10463"/>
    <w:rsid w:val="00F10673"/>
    <w:rsid w:val="00F10772"/>
    <w:rsid w:val="00F1116F"/>
    <w:rsid w:val="00F11331"/>
    <w:rsid w:val="00F115D5"/>
    <w:rsid w:val="00F11A6B"/>
    <w:rsid w:val="00F11A9E"/>
    <w:rsid w:val="00F11F0D"/>
    <w:rsid w:val="00F11F12"/>
    <w:rsid w:val="00F12472"/>
    <w:rsid w:val="00F125E7"/>
    <w:rsid w:val="00F1263A"/>
    <w:rsid w:val="00F12E3C"/>
    <w:rsid w:val="00F1322E"/>
    <w:rsid w:val="00F137A1"/>
    <w:rsid w:val="00F1386F"/>
    <w:rsid w:val="00F139C5"/>
    <w:rsid w:val="00F13E93"/>
    <w:rsid w:val="00F1404C"/>
    <w:rsid w:val="00F1421E"/>
    <w:rsid w:val="00F145B7"/>
    <w:rsid w:val="00F145E7"/>
    <w:rsid w:val="00F14874"/>
    <w:rsid w:val="00F14C20"/>
    <w:rsid w:val="00F14CFD"/>
    <w:rsid w:val="00F14FA8"/>
    <w:rsid w:val="00F1577A"/>
    <w:rsid w:val="00F15897"/>
    <w:rsid w:val="00F15B24"/>
    <w:rsid w:val="00F15B77"/>
    <w:rsid w:val="00F15D3B"/>
    <w:rsid w:val="00F1616F"/>
    <w:rsid w:val="00F164BA"/>
    <w:rsid w:val="00F1660D"/>
    <w:rsid w:val="00F16A84"/>
    <w:rsid w:val="00F17069"/>
    <w:rsid w:val="00F17071"/>
    <w:rsid w:val="00F170AA"/>
    <w:rsid w:val="00F1753A"/>
    <w:rsid w:val="00F1759C"/>
    <w:rsid w:val="00F175AC"/>
    <w:rsid w:val="00F1797F"/>
    <w:rsid w:val="00F17E2B"/>
    <w:rsid w:val="00F20534"/>
    <w:rsid w:val="00F2061E"/>
    <w:rsid w:val="00F207AE"/>
    <w:rsid w:val="00F20CFA"/>
    <w:rsid w:val="00F21236"/>
    <w:rsid w:val="00F2133D"/>
    <w:rsid w:val="00F216F9"/>
    <w:rsid w:val="00F21850"/>
    <w:rsid w:val="00F21A06"/>
    <w:rsid w:val="00F21F3E"/>
    <w:rsid w:val="00F2263D"/>
    <w:rsid w:val="00F22733"/>
    <w:rsid w:val="00F22A70"/>
    <w:rsid w:val="00F22C92"/>
    <w:rsid w:val="00F22EBB"/>
    <w:rsid w:val="00F235E2"/>
    <w:rsid w:val="00F236F1"/>
    <w:rsid w:val="00F2399B"/>
    <w:rsid w:val="00F239DF"/>
    <w:rsid w:val="00F23D54"/>
    <w:rsid w:val="00F23FDB"/>
    <w:rsid w:val="00F2417D"/>
    <w:rsid w:val="00F2458C"/>
    <w:rsid w:val="00F24837"/>
    <w:rsid w:val="00F24AE2"/>
    <w:rsid w:val="00F24B38"/>
    <w:rsid w:val="00F24B90"/>
    <w:rsid w:val="00F25069"/>
    <w:rsid w:val="00F250AD"/>
    <w:rsid w:val="00F2575F"/>
    <w:rsid w:val="00F2578B"/>
    <w:rsid w:val="00F257CC"/>
    <w:rsid w:val="00F25A70"/>
    <w:rsid w:val="00F25E19"/>
    <w:rsid w:val="00F25EBC"/>
    <w:rsid w:val="00F260F9"/>
    <w:rsid w:val="00F262DA"/>
    <w:rsid w:val="00F26C53"/>
    <w:rsid w:val="00F26F18"/>
    <w:rsid w:val="00F27565"/>
    <w:rsid w:val="00F27CC9"/>
    <w:rsid w:val="00F27DA6"/>
    <w:rsid w:val="00F30280"/>
    <w:rsid w:val="00F30A48"/>
    <w:rsid w:val="00F310D4"/>
    <w:rsid w:val="00F31663"/>
    <w:rsid w:val="00F31914"/>
    <w:rsid w:val="00F31D5A"/>
    <w:rsid w:val="00F3236C"/>
    <w:rsid w:val="00F32449"/>
    <w:rsid w:val="00F32A94"/>
    <w:rsid w:val="00F32C06"/>
    <w:rsid w:val="00F32C87"/>
    <w:rsid w:val="00F32F7B"/>
    <w:rsid w:val="00F32F7C"/>
    <w:rsid w:val="00F3302F"/>
    <w:rsid w:val="00F3304E"/>
    <w:rsid w:val="00F33975"/>
    <w:rsid w:val="00F33DE9"/>
    <w:rsid w:val="00F33E96"/>
    <w:rsid w:val="00F3400E"/>
    <w:rsid w:val="00F340C9"/>
    <w:rsid w:val="00F342D9"/>
    <w:rsid w:val="00F343A8"/>
    <w:rsid w:val="00F3444F"/>
    <w:rsid w:val="00F3456B"/>
    <w:rsid w:val="00F34A36"/>
    <w:rsid w:val="00F3527E"/>
    <w:rsid w:val="00F35338"/>
    <w:rsid w:val="00F35654"/>
    <w:rsid w:val="00F3573B"/>
    <w:rsid w:val="00F358D0"/>
    <w:rsid w:val="00F3591D"/>
    <w:rsid w:val="00F35A7A"/>
    <w:rsid w:val="00F35D3B"/>
    <w:rsid w:val="00F35E6D"/>
    <w:rsid w:val="00F3619A"/>
    <w:rsid w:val="00F3641D"/>
    <w:rsid w:val="00F3656B"/>
    <w:rsid w:val="00F36723"/>
    <w:rsid w:val="00F36728"/>
    <w:rsid w:val="00F36A93"/>
    <w:rsid w:val="00F36FD6"/>
    <w:rsid w:val="00F379EB"/>
    <w:rsid w:val="00F37A9B"/>
    <w:rsid w:val="00F4002A"/>
    <w:rsid w:val="00F40AAA"/>
    <w:rsid w:val="00F40BA7"/>
    <w:rsid w:val="00F40F9D"/>
    <w:rsid w:val="00F4127D"/>
    <w:rsid w:val="00F41358"/>
    <w:rsid w:val="00F417F2"/>
    <w:rsid w:val="00F41965"/>
    <w:rsid w:val="00F41ACD"/>
    <w:rsid w:val="00F41E22"/>
    <w:rsid w:val="00F4224E"/>
    <w:rsid w:val="00F42419"/>
    <w:rsid w:val="00F427B3"/>
    <w:rsid w:val="00F428F0"/>
    <w:rsid w:val="00F42D02"/>
    <w:rsid w:val="00F431BB"/>
    <w:rsid w:val="00F43837"/>
    <w:rsid w:val="00F43B87"/>
    <w:rsid w:val="00F43BAF"/>
    <w:rsid w:val="00F44226"/>
    <w:rsid w:val="00F44462"/>
    <w:rsid w:val="00F4450A"/>
    <w:rsid w:val="00F4467C"/>
    <w:rsid w:val="00F44B7D"/>
    <w:rsid w:val="00F44C36"/>
    <w:rsid w:val="00F44D8F"/>
    <w:rsid w:val="00F452DF"/>
    <w:rsid w:val="00F45402"/>
    <w:rsid w:val="00F457FB"/>
    <w:rsid w:val="00F45939"/>
    <w:rsid w:val="00F459F0"/>
    <w:rsid w:val="00F45A77"/>
    <w:rsid w:val="00F464BC"/>
    <w:rsid w:val="00F46659"/>
    <w:rsid w:val="00F46738"/>
    <w:rsid w:val="00F467C0"/>
    <w:rsid w:val="00F467DF"/>
    <w:rsid w:val="00F46936"/>
    <w:rsid w:val="00F46CB6"/>
    <w:rsid w:val="00F472B4"/>
    <w:rsid w:val="00F4756D"/>
    <w:rsid w:val="00F47D9C"/>
    <w:rsid w:val="00F47DE8"/>
    <w:rsid w:val="00F502F3"/>
    <w:rsid w:val="00F504A1"/>
    <w:rsid w:val="00F5073C"/>
    <w:rsid w:val="00F50745"/>
    <w:rsid w:val="00F50A62"/>
    <w:rsid w:val="00F50DF6"/>
    <w:rsid w:val="00F512E4"/>
    <w:rsid w:val="00F51366"/>
    <w:rsid w:val="00F52729"/>
    <w:rsid w:val="00F52AFA"/>
    <w:rsid w:val="00F52D0A"/>
    <w:rsid w:val="00F52EFC"/>
    <w:rsid w:val="00F53533"/>
    <w:rsid w:val="00F53B0B"/>
    <w:rsid w:val="00F53B9D"/>
    <w:rsid w:val="00F53BFE"/>
    <w:rsid w:val="00F53C77"/>
    <w:rsid w:val="00F53CD2"/>
    <w:rsid w:val="00F53FAC"/>
    <w:rsid w:val="00F542C1"/>
    <w:rsid w:val="00F542E4"/>
    <w:rsid w:val="00F5476C"/>
    <w:rsid w:val="00F547A0"/>
    <w:rsid w:val="00F54D08"/>
    <w:rsid w:val="00F550E3"/>
    <w:rsid w:val="00F55A11"/>
    <w:rsid w:val="00F55D9D"/>
    <w:rsid w:val="00F55E73"/>
    <w:rsid w:val="00F55EDA"/>
    <w:rsid w:val="00F56126"/>
    <w:rsid w:val="00F5614C"/>
    <w:rsid w:val="00F56520"/>
    <w:rsid w:val="00F56C80"/>
    <w:rsid w:val="00F56D4A"/>
    <w:rsid w:val="00F56EB3"/>
    <w:rsid w:val="00F5709B"/>
    <w:rsid w:val="00F571C3"/>
    <w:rsid w:val="00F5722D"/>
    <w:rsid w:val="00F575D9"/>
    <w:rsid w:val="00F5762C"/>
    <w:rsid w:val="00F57EED"/>
    <w:rsid w:val="00F60054"/>
    <w:rsid w:val="00F60092"/>
    <w:rsid w:val="00F603B3"/>
    <w:rsid w:val="00F608E7"/>
    <w:rsid w:val="00F60CF7"/>
    <w:rsid w:val="00F60F5D"/>
    <w:rsid w:val="00F60FBB"/>
    <w:rsid w:val="00F60FCE"/>
    <w:rsid w:val="00F6120C"/>
    <w:rsid w:val="00F6122B"/>
    <w:rsid w:val="00F612DC"/>
    <w:rsid w:val="00F61326"/>
    <w:rsid w:val="00F61426"/>
    <w:rsid w:val="00F61464"/>
    <w:rsid w:val="00F6150A"/>
    <w:rsid w:val="00F615C2"/>
    <w:rsid w:val="00F619D3"/>
    <w:rsid w:val="00F61C18"/>
    <w:rsid w:val="00F61D43"/>
    <w:rsid w:val="00F622C0"/>
    <w:rsid w:val="00F62648"/>
    <w:rsid w:val="00F6289F"/>
    <w:rsid w:val="00F62C14"/>
    <w:rsid w:val="00F62CE2"/>
    <w:rsid w:val="00F63374"/>
    <w:rsid w:val="00F63CFD"/>
    <w:rsid w:val="00F63E3F"/>
    <w:rsid w:val="00F64539"/>
    <w:rsid w:val="00F6456E"/>
    <w:rsid w:val="00F64F78"/>
    <w:rsid w:val="00F64FCE"/>
    <w:rsid w:val="00F64FED"/>
    <w:rsid w:val="00F65194"/>
    <w:rsid w:val="00F65C04"/>
    <w:rsid w:val="00F65F4B"/>
    <w:rsid w:val="00F6616C"/>
    <w:rsid w:val="00F6683C"/>
    <w:rsid w:val="00F66C5B"/>
    <w:rsid w:val="00F66CA1"/>
    <w:rsid w:val="00F66E28"/>
    <w:rsid w:val="00F66EBD"/>
    <w:rsid w:val="00F67114"/>
    <w:rsid w:val="00F67588"/>
    <w:rsid w:val="00F67686"/>
    <w:rsid w:val="00F67A69"/>
    <w:rsid w:val="00F705BF"/>
    <w:rsid w:val="00F70B40"/>
    <w:rsid w:val="00F70BFF"/>
    <w:rsid w:val="00F70C9D"/>
    <w:rsid w:val="00F71030"/>
    <w:rsid w:val="00F71482"/>
    <w:rsid w:val="00F714A8"/>
    <w:rsid w:val="00F71AD8"/>
    <w:rsid w:val="00F71E5D"/>
    <w:rsid w:val="00F72156"/>
    <w:rsid w:val="00F72515"/>
    <w:rsid w:val="00F72CB1"/>
    <w:rsid w:val="00F72F89"/>
    <w:rsid w:val="00F730CC"/>
    <w:rsid w:val="00F731FC"/>
    <w:rsid w:val="00F73A29"/>
    <w:rsid w:val="00F73C13"/>
    <w:rsid w:val="00F73CE5"/>
    <w:rsid w:val="00F73E08"/>
    <w:rsid w:val="00F7443A"/>
    <w:rsid w:val="00F748BE"/>
    <w:rsid w:val="00F74CD9"/>
    <w:rsid w:val="00F750E0"/>
    <w:rsid w:val="00F754D4"/>
    <w:rsid w:val="00F75790"/>
    <w:rsid w:val="00F75ACD"/>
    <w:rsid w:val="00F76226"/>
    <w:rsid w:val="00F76AF7"/>
    <w:rsid w:val="00F76C30"/>
    <w:rsid w:val="00F76FD8"/>
    <w:rsid w:val="00F7703A"/>
    <w:rsid w:val="00F77894"/>
    <w:rsid w:val="00F7793F"/>
    <w:rsid w:val="00F80041"/>
    <w:rsid w:val="00F80261"/>
    <w:rsid w:val="00F804D1"/>
    <w:rsid w:val="00F80A74"/>
    <w:rsid w:val="00F80A7B"/>
    <w:rsid w:val="00F80BFD"/>
    <w:rsid w:val="00F80D62"/>
    <w:rsid w:val="00F80E5D"/>
    <w:rsid w:val="00F80E9E"/>
    <w:rsid w:val="00F80F43"/>
    <w:rsid w:val="00F810C1"/>
    <w:rsid w:val="00F8175D"/>
    <w:rsid w:val="00F81E78"/>
    <w:rsid w:val="00F82204"/>
    <w:rsid w:val="00F82AE2"/>
    <w:rsid w:val="00F82D49"/>
    <w:rsid w:val="00F83246"/>
    <w:rsid w:val="00F834EC"/>
    <w:rsid w:val="00F83527"/>
    <w:rsid w:val="00F8363E"/>
    <w:rsid w:val="00F83916"/>
    <w:rsid w:val="00F83B3C"/>
    <w:rsid w:val="00F83BF9"/>
    <w:rsid w:val="00F83CFC"/>
    <w:rsid w:val="00F83D80"/>
    <w:rsid w:val="00F843D2"/>
    <w:rsid w:val="00F84625"/>
    <w:rsid w:val="00F84877"/>
    <w:rsid w:val="00F84C4E"/>
    <w:rsid w:val="00F84C6D"/>
    <w:rsid w:val="00F850A4"/>
    <w:rsid w:val="00F851CE"/>
    <w:rsid w:val="00F853F6"/>
    <w:rsid w:val="00F8561C"/>
    <w:rsid w:val="00F85C50"/>
    <w:rsid w:val="00F85EA6"/>
    <w:rsid w:val="00F85FE2"/>
    <w:rsid w:val="00F86055"/>
    <w:rsid w:val="00F86226"/>
    <w:rsid w:val="00F8623F"/>
    <w:rsid w:val="00F8625C"/>
    <w:rsid w:val="00F8662D"/>
    <w:rsid w:val="00F86962"/>
    <w:rsid w:val="00F86C5C"/>
    <w:rsid w:val="00F86CE1"/>
    <w:rsid w:val="00F8737D"/>
    <w:rsid w:val="00F8778F"/>
    <w:rsid w:val="00F87A0B"/>
    <w:rsid w:val="00F87C3F"/>
    <w:rsid w:val="00F900F8"/>
    <w:rsid w:val="00F90736"/>
    <w:rsid w:val="00F910D4"/>
    <w:rsid w:val="00F91219"/>
    <w:rsid w:val="00F91412"/>
    <w:rsid w:val="00F914C6"/>
    <w:rsid w:val="00F91775"/>
    <w:rsid w:val="00F92444"/>
    <w:rsid w:val="00F92527"/>
    <w:rsid w:val="00F927C5"/>
    <w:rsid w:val="00F92DBA"/>
    <w:rsid w:val="00F92DE3"/>
    <w:rsid w:val="00F92F32"/>
    <w:rsid w:val="00F931F7"/>
    <w:rsid w:val="00F93544"/>
    <w:rsid w:val="00F93549"/>
    <w:rsid w:val="00F9393E"/>
    <w:rsid w:val="00F93999"/>
    <w:rsid w:val="00F93A45"/>
    <w:rsid w:val="00F93B4C"/>
    <w:rsid w:val="00F93C6A"/>
    <w:rsid w:val="00F93F12"/>
    <w:rsid w:val="00F940C2"/>
    <w:rsid w:val="00F943E1"/>
    <w:rsid w:val="00F94450"/>
    <w:rsid w:val="00F95707"/>
    <w:rsid w:val="00F957A3"/>
    <w:rsid w:val="00F95D66"/>
    <w:rsid w:val="00F963D6"/>
    <w:rsid w:val="00F96755"/>
    <w:rsid w:val="00F96FAC"/>
    <w:rsid w:val="00F96FD0"/>
    <w:rsid w:val="00F9709C"/>
    <w:rsid w:val="00F979B3"/>
    <w:rsid w:val="00F97A78"/>
    <w:rsid w:val="00F97C2D"/>
    <w:rsid w:val="00F97F53"/>
    <w:rsid w:val="00FA0230"/>
    <w:rsid w:val="00FA0607"/>
    <w:rsid w:val="00FA0B20"/>
    <w:rsid w:val="00FA0C1D"/>
    <w:rsid w:val="00FA0D58"/>
    <w:rsid w:val="00FA1481"/>
    <w:rsid w:val="00FA1578"/>
    <w:rsid w:val="00FA1AF8"/>
    <w:rsid w:val="00FA22BB"/>
    <w:rsid w:val="00FA24E7"/>
    <w:rsid w:val="00FA2739"/>
    <w:rsid w:val="00FA291D"/>
    <w:rsid w:val="00FA2A6E"/>
    <w:rsid w:val="00FA2AF7"/>
    <w:rsid w:val="00FA30BC"/>
    <w:rsid w:val="00FA3343"/>
    <w:rsid w:val="00FA3378"/>
    <w:rsid w:val="00FA3396"/>
    <w:rsid w:val="00FA3413"/>
    <w:rsid w:val="00FA352B"/>
    <w:rsid w:val="00FA35E3"/>
    <w:rsid w:val="00FA3628"/>
    <w:rsid w:val="00FA3FC3"/>
    <w:rsid w:val="00FA3FEF"/>
    <w:rsid w:val="00FA4050"/>
    <w:rsid w:val="00FA424E"/>
    <w:rsid w:val="00FA42E9"/>
    <w:rsid w:val="00FA43A9"/>
    <w:rsid w:val="00FA4880"/>
    <w:rsid w:val="00FA4CCA"/>
    <w:rsid w:val="00FA4E4D"/>
    <w:rsid w:val="00FA52EB"/>
    <w:rsid w:val="00FA57D3"/>
    <w:rsid w:val="00FA5EE6"/>
    <w:rsid w:val="00FA6017"/>
    <w:rsid w:val="00FA6388"/>
    <w:rsid w:val="00FA642C"/>
    <w:rsid w:val="00FA64A2"/>
    <w:rsid w:val="00FA679C"/>
    <w:rsid w:val="00FA6B4E"/>
    <w:rsid w:val="00FA700D"/>
    <w:rsid w:val="00FA7122"/>
    <w:rsid w:val="00FA713B"/>
    <w:rsid w:val="00FA74D6"/>
    <w:rsid w:val="00FA7956"/>
    <w:rsid w:val="00FA7C59"/>
    <w:rsid w:val="00FA7C9E"/>
    <w:rsid w:val="00FA7DBD"/>
    <w:rsid w:val="00FA7FF5"/>
    <w:rsid w:val="00FB0824"/>
    <w:rsid w:val="00FB0897"/>
    <w:rsid w:val="00FB0913"/>
    <w:rsid w:val="00FB09D5"/>
    <w:rsid w:val="00FB0CC7"/>
    <w:rsid w:val="00FB0FDE"/>
    <w:rsid w:val="00FB1500"/>
    <w:rsid w:val="00FB1991"/>
    <w:rsid w:val="00FB1CC7"/>
    <w:rsid w:val="00FB1F39"/>
    <w:rsid w:val="00FB272F"/>
    <w:rsid w:val="00FB2955"/>
    <w:rsid w:val="00FB29D6"/>
    <w:rsid w:val="00FB2BA6"/>
    <w:rsid w:val="00FB2BC1"/>
    <w:rsid w:val="00FB2C4A"/>
    <w:rsid w:val="00FB2FCB"/>
    <w:rsid w:val="00FB304D"/>
    <w:rsid w:val="00FB37F1"/>
    <w:rsid w:val="00FB3B10"/>
    <w:rsid w:val="00FB4220"/>
    <w:rsid w:val="00FB4C9C"/>
    <w:rsid w:val="00FB4DC5"/>
    <w:rsid w:val="00FB4E20"/>
    <w:rsid w:val="00FB4FD6"/>
    <w:rsid w:val="00FB5093"/>
    <w:rsid w:val="00FB50AF"/>
    <w:rsid w:val="00FB50CC"/>
    <w:rsid w:val="00FB52A3"/>
    <w:rsid w:val="00FB534C"/>
    <w:rsid w:val="00FB5376"/>
    <w:rsid w:val="00FB5608"/>
    <w:rsid w:val="00FB5727"/>
    <w:rsid w:val="00FB577C"/>
    <w:rsid w:val="00FB5791"/>
    <w:rsid w:val="00FB638F"/>
    <w:rsid w:val="00FB66DC"/>
    <w:rsid w:val="00FB6943"/>
    <w:rsid w:val="00FB6B75"/>
    <w:rsid w:val="00FB6BD1"/>
    <w:rsid w:val="00FB6CDC"/>
    <w:rsid w:val="00FB6DD8"/>
    <w:rsid w:val="00FB75E0"/>
    <w:rsid w:val="00FB7A47"/>
    <w:rsid w:val="00FB7A5E"/>
    <w:rsid w:val="00FB7AC9"/>
    <w:rsid w:val="00FB7C33"/>
    <w:rsid w:val="00FB7C55"/>
    <w:rsid w:val="00FC057E"/>
    <w:rsid w:val="00FC0FFE"/>
    <w:rsid w:val="00FC1074"/>
    <w:rsid w:val="00FC11D2"/>
    <w:rsid w:val="00FC1884"/>
    <w:rsid w:val="00FC191E"/>
    <w:rsid w:val="00FC1BB2"/>
    <w:rsid w:val="00FC1E52"/>
    <w:rsid w:val="00FC21CE"/>
    <w:rsid w:val="00FC26BA"/>
    <w:rsid w:val="00FC2C2B"/>
    <w:rsid w:val="00FC2CBD"/>
    <w:rsid w:val="00FC2DF1"/>
    <w:rsid w:val="00FC2F32"/>
    <w:rsid w:val="00FC3093"/>
    <w:rsid w:val="00FC30A1"/>
    <w:rsid w:val="00FC371D"/>
    <w:rsid w:val="00FC377E"/>
    <w:rsid w:val="00FC3C9F"/>
    <w:rsid w:val="00FC3FA5"/>
    <w:rsid w:val="00FC4016"/>
    <w:rsid w:val="00FC437A"/>
    <w:rsid w:val="00FC4459"/>
    <w:rsid w:val="00FC44E7"/>
    <w:rsid w:val="00FC4512"/>
    <w:rsid w:val="00FC4746"/>
    <w:rsid w:val="00FC47DE"/>
    <w:rsid w:val="00FC4C17"/>
    <w:rsid w:val="00FC4D12"/>
    <w:rsid w:val="00FC4EBD"/>
    <w:rsid w:val="00FC5120"/>
    <w:rsid w:val="00FC5152"/>
    <w:rsid w:val="00FC5198"/>
    <w:rsid w:val="00FC53E5"/>
    <w:rsid w:val="00FC547E"/>
    <w:rsid w:val="00FC57A9"/>
    <w:rsid w:val="00FC5B46"/>
    <w:rsid w:val="00FC5F0B"/>
    <w:rsid w:val="00FC68EB"/>
    <w:rsid w:val="00FC6968"/>
    <w:rsid w:val="00FC6F33"/>
    <w:rsid w:val="00FC7149"/>
    <w:rsid w:val="00FC7347"/>
    <w:rsid w:val="00FC744B"/>
    <w:rsid w:val="00FC749F"/>
    <w:rsid w:val="00FC750E"/>
    <w:rsid w:val="00FC7593"/>
    <w:rsid w:val="00FC7738"/>
    <w:rsid w:val="00FC791A"/>
    <w:rsid w:val="00FC7944"/>
    <w:rsid w:val="00FC79A7"/>
    <w:rsid w:val="00FC7D9E"/>
    <w:rsid w:val="00FC7EC8"/>
    <w:rsid w:val="00FD0243"/>
    <w:rsid w:val="00FD057D"/>
    <w:rsid w:val="00FD0639"/>
    <w:rsid w:val="00FD0928"/>
    <w:rsid w:val="00FD0A17"/>
    <w:rsid w:val="00FD0BBC"/>
    <w:rsid w:val="00FD11DD"/>
    <w:rsid w:val="00FD123E"/>
    <w:rsid w:val="00FD1299"/>
    <w:rsid w:val="00FD12DA"/>
    <w:rsid w:val="00FD13A0"/>
    <w:rsid w:val="00FD14C8"/>
    <w:rsid w:val="00FD163C"/>
    <w:rsid w:val="00FD1659"/>
    <w:rsid w:val="00FD1781"/>
    <w:rsid w:val="00FD1C51"/>
    <w:rsid w:val="00FD2100"/>
    <w:rsid w:val="00FD21AB"/>
    <w:rsid w:val="00FD2558"/>
    <w:rsid w:val="00FD26C1"/>
    <w:rsid w:val="00FD2787"/>
    <w:rsid w:val="00FD28DB"/>
    <w:rsid w:val="00FD2DB6"/>
    <w:rsid w:val="00FD2DFA"/>
    <w:rsid w:val="00FD35DD"/>
    <w:rsid w:val="00FD3908"/>
    <w:rsid w:val="00FD3A19"/>
    <w:rsid w:val="00FD3A77"/>
    <w:rsid w:val="00FD3E8D"/>
    <w:rsid w:val="00FD3F5A"/>
    <w:rsid w:val="00FD3FB4"/>
    <w:rsid w:val="00FD3FF9"/>
    <w:rsid w:val="00FD40C7"/>
    <w:rsid w:val="00FD4183"/>
    <w:rsid w:val="00FD436C"/>
    <w:rsid w:val="00FD446D"/>
    <w:rsid w:val="00FD4720"/>
    <w:rsid w:val="00FD4D22"/>
    <w:rsid w:val="00FD4F2C"/>
    <w:rsid w:val="00FD57AA"/>
    <w:rsid w:val="00FD590F"/>
    <w:rsid w:val="00FD6394"/>
    <w:rsid w:val="00FD644F"/>
    <w:rsid w:val="00FD649B"/>
    <w:rsid w:val="00FD68EC"/>
    <w:rsid w:val="00FD6CC0"/>
    <w:rsid w:val="00FD73F0"/>
    <w:rsid w:val="00FD74F3"/>
    <w:rsid w:val="00FD774C"/>
    <w:rsid w:val="00FD7A0E"/>
    <w:rsid w:val="00FD7F6C"/>
    <w:rsid w:val="00FE0056"/>
    <w:rsid w:val="00FE06AC"/>
    <w:rsid w:val="00FE0829"/>
    <w:rsid w:val="00FE09A0"/>
    <w:rsid w:val="00FE0A3C"/>
    <w:rsid w:val="00FE0B7A"/>
    <w:rsid w:val="00FE0E6C"/>
    <w:rsid w:val="00FE0F9B"/>
    <w:rsid w:val="00FE112A"/>
    <w:rsid w:val="00FE14E3"/>
    <w:rsid w:val="00FE1552"/>
    <w:rsid w:val="00FE170A"/>
    <w:rsid w:val="00FE1CDC"/>
    <w:rsid w:val="00FE1ED2"/>
    <w:rsid w:val="00FE2077"/>
    <w:rsid w:val="00FE231A"/>
    <w:rsid w:val="00FE23CF"/>
    <w:rsid w:val="00FE27D5"/>
    <w:rsid w:val="00FE29D5"/>
    <w:rsid w:val="00FE2A94"/>
    <w:rsid w:val="00FE3199"/>
    <w:rsid w:val="00FE359D"/>
    <w:rsid w:val="00FE3615"/>
    <w:rsid w:val="00FE3A36"/>
    <w:rsid w:val="00FE3ABC"/>
    <w:rsid w:val="00FE3D29"/>
    <w:rsid w:val="00FE40D6"/>
    <w:rsid w:val="00FE4120"/>
    <w:rsid w:val="00FE4289"/>
    <w:rsid w:val="00FE43DC"/>
    <w:rsid w:val="00FE44C4"/>
    <w:rsid w:val="00FE4739"/>
    <w:rsid w:val="00FE4772"/>
    <w:rsid w:val="00FE4C3B"/>
    <w:rsid w:val="00FE4D00"/>
    <w:rsid w:val="00FE51C5"/>
    <w:rsid w:val="00FE558E"/>
    <w:rsid w:val="00FE5727"/>
    <w:rsid w:val="00FE6032"/>
    <w:rsid w:val="00FE6109"/>
    <w:rsid w:val="00FE615F"/>
    <w:rsid w:val="00FE6388"/>
    <w:rsid w:val="00FE685F"/>
    <w:rsid w:val="00FE692F"/>
    <w:rsid w:val="00FE70C3"/>
    <w:rsid w:val="00FE70E0"/>
    <w:rsid w:val="00FE73AC"/>
    <w:rsid w:val="00FE7564"/>
    <w:rsid w:val="00FE76DA"/>
    <w:rsid w:val="00FE790A"/>
    <w:rsid w:val="00FE7A61"/>
    <w:rsid w:val="00FE7C80"/>
    <w:rsid w:val="00FF022C"/>
    <w:rsid w:val="00FF082D"/>
    <w:rsid w:val="00FF08A0"/>
    <w:rsid w:val="00FF1142"/>
    <w:rsid w:val="00FF1307"/>
    <w:rsid w:val="00FF15BE"/>
    <w:rsid w:val="00FF18F7"/>
    <w:rsid w:val="00FF1A59"/>
    <w:rsid w:val="00FF1A8B"/>
    <w:rsid w:val="00FF1E36"/>
    <w:rsid w:val="00FF2080"/>
    <w:rsid w:val="00FF20ED"/>
    <w:rsid w:val="00FF21B8"/>
    <w:rsid w:val="00FF25AA"/>
    <w:rsid w:val="00FF25B9"/>
    <w:rsid w:val="00FF2917"/>
    <w:rsid w:val="00FF2AD9"/>
    <w:rsid w:val="00FF31CD"/>
    <w:rsid w:val="00FF31FE"/>
    <w:rsid w:val="00FF3585"/>
    <w:rsid w:val="00FF359F"/>
    <w:rsid w:val="00FF36D7"/>
    <w:rsid w:val="00FF380A"/>
    <w:rsid w:val="00FF3DCF"/>
    <w:rsid w:val="00FF3DE7"/>
    <w:rsid w:val="00FF41A9"/>
    <w:rsid w:val="00FF4328"/>
    <w:rsid w:val="00FF44AD"/>
    <w:rsid w:val="00FF48A3"/>
    <w:rsid w:val="00FF492C"/>
    <w:rsid w:val="00FF4A21"/>
    <w:rsid w:val="00FF4B5F"/>
    <w:rsid w:val="00FF4C87"/>
    <w:rsid w:val="00FF5069"/>
    <w:rsid w:val="00FF55BD"/>
    <w:rsid w:val="00FF5AA3"/>
    <w:rsid w:val="00FF5AD8"/>
    <w:rsid w:val="00FF5EC1"/>
    <w:rsid w:val="00FF685E"/>
    <w:rsid w:val="00FF689D"/>
    <w:rsid w:val="00FF6F8A"/>
    <w:rsid w:val="00FF6F8C"/>
    <w:rsid w:val="00FF7246"/>
    <w:rsid w:val="00FF75D7"/>
    <w:rsid w:val="00FF79C0"/>
    <w:rsid w:val="00FF7CC8"/>
    <w:rsid w:val="00FF7EBF"/>
    <w:rsid w:val="0348A6B2"/>
    <w:rsid w:val="045BAEEF"/>
    <w:rsid w:val="054BDED0"/>
    <w:rsid w:val="08A39E8D"/>
    <w:rsid w:val="0B205FB5"/>
    <w:rsid w:val="0C8BA840"/>
    <w:rsid w:val="0D6C70EB"/>
    <w:rsid w:val="0D8F7D4E"/>
    <w:rsid w:val="10AD3395"/>
    <w:rsid w:val="10AE9984"/>
    <w:rsid w:val="12DC39DB"/>
    <w:rsid w:val="13959A11"/>
    <w:rsid w:val="13B184C8"/>
    <w:rsid w:val="1463E0AA"/>
    <w:rsid w:val="15F0D894"/>
    <w:rsid w:val="168C4FA2"/>
    <w:rsid w:val="178C6899"/>
    <w:rsid w:val="17955F72"/>
    <w:rsid w:val="183190FF"/>
    <w:rsid w:val="192201BB"/>
    <w:rsid w:val="1B388BA9"/>
    <w:rsid w:val="1D99E8B1"/>
    <w:rsid w:val="1EB235B7"/>
    <w:rsid w:val="21CE23CE"/>
    <w:rsid w:val="22A72952"/>
    <w:rsid w:val="22CD1A3D"/>
    <w:rsid w:val="24EB5F78"/>
    <w:rsid w:val="25072671"/>
    <w:rsid w:val="251FE43F"/>
    <w:rsid w:val="25C6490E"/>
    <w:rsid w:val="262F500F"/>
    <w:rsid w:val="26FDBCC2"/>
    <w:rsid w:val="275BA860"/>
    <w:rsid w:val="27E95B3D"/>
    <w:rsid w:val="27EFF479"/>
    <w:rsid w:val="27F32C45"/>
    <w:rsid w:val="28477812"/>
    <w:rsid w:val="28A438F2"/>
    <w:rsid w:val="29B57174"/>
    <w:rsid w:val="2BCE08C6"/>
    <w:rsid w:val="2C15F43E"/>
    <w:rsid w:val="2DD726C3"/>
    <w:rsid w:val="2DF00A6D"/>
    <w:rsid w:val="2E313BAE"/>
    <w:rsid w:val="2E53FAFF"/>
    <w:rsid w:val="30F9F091"/>
    <w:rsid w:val="3475B036"/>
    <w:rsid w:val="34A57F3D"/>
    <w:rsid w:val="34AB64FB"/>
    <w:rsid w:val="354A8508"/>
    <w:rsid w:val="368C2FC0"/>
    <w:rsid w:val="374BAF0B"/>
    <w:rsid w:val="37D381A6"/>
    <w:rsid w:val="37DB00CB"/>
    <w:rsid w:val="3A41E1CA"/>
    <w:rsid w:val="3AD0E5DB"/>
    <w:rsid w:val="3B78DF89"/>
    <w:rsid w:val="3C7BD1C2"/>
    <w:rsid w:val="3F220590"/>
    <w:rsid w:val="40013D19"/>
    <w:rsid w:val="40667A2D"/>
    <w:rsid w:val="4202695B"/>
    <w:rsid w:val="42677557"/>
    <w:rsid w:val="4269F5E2"/>
    <w:rsid w:val="43BD0F11"/>
    <w:rsid w:val="446586C7"/>
    <w:rsid w:val="455EAC7C"/>
    <w:rsid w:val="46D0E4CC"/>
    <w:rsid w:val="492E2410"/>
    <w:rsid w:val="49459958"/>
    <w:rsid w:val="4970592E"/>
    <w:rsid w:val="49A54378"/>
    <w:rsid w:val="4B20090F"/>
    <w:rsid w:val="4C3272A3"/>
    <w:rsid w:val="4F449768"/>
    <w:rsid w:val="500E0248"/>
    <w:rsid w:val="525ADD0F"/>
    <w:rsid w:val="526DAA42"/>
    <w:rsid w:val="52980595"/>
    <w:rsid w:val="530A4601"/>
    <w:rsid w:val="5364369C"/>
    <w:rsid w:val="55F269AB"/>
    <w:rsid w:val="56B6BDEE"/>
    <w:rsid w:val="58326263"/>
    <w:rsid w:val="58FCE23F"/>
    <w:rsid w:val="5A65A7B0"/>
    <w:rsid w:val="5B7F3F28"/>
    <w:rsid w:val="5B8A6900"/>
    <w:rsid w:val="5BAAD99A"/>
    <w:rsid w:val="5C77C781"/>
    <w:rsid w:val="5D6DB194"/>
    <w:rsid w:val="5D8980A8"/>
    <w:rsid w:val="5DB5FDEF"/>
    <w:rsid w:val="5E454063"/>
    <w:rsid w:val="5EBF1EAD"/>
    <w:rsid w:val="5EC502AD"/>
    <w:rsid w:val="5FA89F76"/>
    <w:rsid w:val="608701C2"/>
    <w:rsid w:val="60F0870C"/>
    <w:rsid w:val="61B6131D"/>
    <w:rsid w:val="62F9696E"/>
    <w:rsid w:val="63392663"/>
    <w:rsid w:val="63F9878B"/>
    <w:rsid w:val="67A2BCD5"/>
    <w:rsid w:val="68AB0F39"/>
    <w:rsid w:val="6BF55A8A"/>
    <w:rsid w:val="6C8CC776"/>
    <w:rsid w:val="6CBE26CB"/>
    <w:rsid w:val="6D4E4B1D"/>
    <w:rsid w:val="6E10E734"/>
    <w:rsid w:val="70F9762F"/>
    <w:rsid w:val="72B03B0A"/>
    <w:rsid w:val="738B2075"/>
    <w:rsid w:val="75E40502"/>
    <w:rsid w:val="772FE231"/>
    <w:rsid w:val="7788E7DB"/>
    <w:rsid w:val="78076F29"/>
    <w:rsid w:val="7908BADA"/>
    <w:rsid w:val="7C300BF5"/>
    <w:rsid w:val="7E43D1CF"/>
    <w:rsid w:val="7F3D6178"/>
    <w:rsid w:val="7F63208E"/>
    <w:rsid w:val="7FF4745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 Char,Caption Char2 Char,Caption Char1 Char Char Char1,12,- H"/>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12 Char"/>
    <w:link w:val="Caption"/>
    <w:rsid w:val="00E16AD8"/>
    <w:rPr>
      <w:rFonts w:ascii="Arial Narrow" w:hAnsi="Arial Narrow" w:cs="Arial"/>
      <w:b/>
      <w:bCs/>
      <w:szCs w:val="18"/>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Normal: Bullets,Table Legend,Bullet1,Bullet 1,Bullet List,Section 5,List Table,Bullets Points,BULLET"/>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Normal: Bullets Char,Table Legend Char,Bullet1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Tabellengitternetz 9pt,Header Table,NICE instructions,Source table_,HealthConsult,Dossier table,YHEC table,Lash Style Table,Section 3- footnotes,Legemiddelverket"/>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7B58E1"/>
    <w:rPr>
      <w:rFonts w:ascii="Arial Narrow" w:eastAsiaTheme="majorEastAsia" w:hAnsi="Arial Narrow" w:cstheme="majorBidi"/>
      <w:bCs/>
      <w:iC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B53116"/>
    <w:pPr>
      <w:numPr>
        <w:ilvl w:val="1"/>
        <w:numId w:val="6"/>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B53116"/>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131BA"/>
    <w:rPr>
      <w:rFonts w:ascii="Arial Narrow" w:eastAsiaTheme="majorEastAsia" w:hAnsi="Arial Narrow" w:cstheme="majorBidi"/>
      <w:bCs/>
      <w:iCs/>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022C1B"/>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022C1B"/>
    <w:rPr>
      <w:rFonts w:ascii="Arial Narrow" w:hAnsi="Arial Narrow" w:cs="Arial"/>
      <w:snapToGrid w:val="0"/>
      <w:sz w:val="18"/>
      <w:szCs w:val="22"/>
    </w:rPr>
  </w:style>
  <w:style w:type="paragraph" w:styleId="FootnoteText">
    <w:name w:val="footnote text"/>
    <w:basedOn w:val="Normal"/>
    <w:link w:val="FootnoteTextChar"/>
    <w:unhideWhenUsed/>
    <w:rsid w:val="0066759F"/>
    <w:rPr>
      <w:sz w:val="20"/>
      <w:szCs w:val="20"/>
    </w:rPr>
  </w:style>
  <w:style w:type="character" w:customStyle="1" w:styleId="FootnoteTextChar">
    <w:name w:val="Footnote Text Char"/>
    <w:basedOn w:val="DefaultParagraphFont"/>
    <w:link w:val="FootnoteText"/>
    <w:rsid w:val="0066759F"/>
    <w:rPr>
      <w:rFonts w:ascii="Calibri" w:hAnsi="Calibri" w:cs="Arial"/>
    </w:rPr>
  </w:style>
  <w:style w:type="character" w:styleId="FootnoteReference">
    <w:name w:val="footnote reference"/>
    <w:basedOn w:val="DefaultParagraphFont"/>
    <w:semiHidden/>
    <w:unhideWhenUsed/>
    <w:rsid w:val="0066759F"/>
    <w:rPr>
      <w:vertAlign w:val="superscript"/>
    </w:rPr>
  </w:style>
  <w:style w:type="character" w:styleId="UnresolvedMention">
    <w:name w:val="Unresolved Mention"/>
    <w:basedOn w:val="DefaultParagraphFont"/>
    <w:uiPriority w:val="99"/>
    <w:unhideWhenUsed/>
    <w:rsid w:val="00926863"/>
    <w:rPr>
      <w:color w:val="605E5C"/>
      <w:shd w:val="clear" w:color="auto" w:fill="E1DFDD"/>
    </w:rPr>
  </w:style>
  <w:style w:type="paragraph" w:customStyle="1" w:styleId="PBACTabletext">
    <w:name w:val="PBAC Table text"/>
    <w:basedOn w:val="Normal"/>
    <w:link w:val="PBACTabletextChar"/>
    <w:qFormat/>
    <w:rsid w:val="008013D5"/>
    <w:pPr>
      <w:spacing w:after="80"/>
      <w:jc w:val="left"/>
    </w:pPr>
    <w:rPr>
      <w:rFonts w:ascii="Arial Narrow" w:eastAsiaTheme="minorHAnsi" w:hAnsi="Arial Narrow"/>
      <w:sz w:val="20"/>
      <w:szCs w:val="20"/>
      <w:lang w:eastAsia="en-US"/>
    </w:rPr>
  </w:style>
  <w:style w:type="character" w:customStyle="1" w:styleId="PBACTabletextChar">
    <w:name w:val="PBAC Table text Char"/>
    <w:basedOn w:val="DefaultParagraphFont"/>
    <w:link w:val="PBACTabletext"/>
    <w:rsid w:val="008013D5"/>
    <w:rPr>
      <w:rFonts w:ascii="Arial Narrow" w:eastAsiaTheme="minorHAnsi" w:hAnsi="Arial Narrow" w:cs="Arial"/>
      <w:lang w:eastAsia="en-US"/>
    </w:rPr>
  </w:style>
  <w:style w:type="character" w:styleId="Mention">
    <w:name w:val="Mention"/>
    <w:basedOn w:val="DefaultParagraphFont"/>
    <w:uiPriority w:val="99"/>
    <w:unhideWhenUsed/>
    <w:rsid w:val="000F2A3A"/>
    <w:rPr>
      <w:color w:val="2B579A"/>
      <w:shd w:val="clear" w:color="auto" w:fill="E1DFDD"/>
    </w:rPr>
  </w:style>
  <w:style w:type="character" w:customStyle="1" w:styleId="normaltextrun">
    <w:name w:val="normaltextrun"/>
    <w:basedOn w:val="DefaultParagraphFont"/>
    <w:rsid w:val="006250D2"/>
  </w:style>
  <w:style w:type="table" w:customStyle="1" w:styleId="OPTUMTableNormal">
    <w:name w:val="OPTUM Table Normal"/>
    <w:basedOn w:val="TableNormal"/>
    <w:rsid w:val="006250D2"/>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NoSpacingChar">
    <w:name w:val="No Spacing Char"/>
    <w:aliases w:val="PBAC Table Footnote Char"/>
    <w:basedOn w:val="DefaultParagraphFont"/>
    <w:link w:val="NoSpacing"/>
    <w:uiPriority w:val="1"/>
    <w:rsid w:val="006250D2"/>
    <w:rPr>
      <w:rFonts w:ascii="Arial" w:hAnsi="Arial" w:cs="Arial"/>
      <w:snapToGrid w:val="0"/>
      <w:sz w:val="22"/>
      <w:lang w:eastAsia="en-US"/>
    </w:rPr>
  </w:style>
  <w:style w:type="table" w:customStyle="1" w:styleId="Legemiddelverket1">
    <w:name w:val="Legemiddelverket1"/>
    <w:basedOn w:val="TableNormal"/>
    <w:next w:val="TableGrid"/>
    <w:rsid w:val="006250D2"/>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eforeDash">
    <w:name w:val="Bullet Before Dash"/>
    <w:basedOn w:val="bullet"/>
    <w:rsid w:val="00691135"/>
    <w:pPr>
      <w:numPr>
        <w:numId w:val="9"/>
      </w:numPr>
      <w:spacing w:after="60"/>
    </w:pPr>
    <w:rPr>
      <w:rFonts w:asciiTheme="minorHAnsi" w:eastAsiaTheme="minorHAnsi" w:hAnsiTheme="minorHAnsi"/>
      <w:i w:val="0"/>
    </w:rPr>
  </w:style>
  <w:style w:type="paragraph" w:customStyle="1" w:styleId="PBACnormal">
    <w:name w:val="PBAC normal"/>
    <w:basedOn w:val="Normal"/>
    <w:link w:val="PBACnormalChar"/>
    <w:qFormat/>
    <w:rsid w:val="00CA18F3"/>
    <w:pPr>
      <w:spacing w:after="160"/>
      <w:jc w:val="left"/>
    </w:pPr>
    <w:rPr>
      <w:rFonts w:asciiTheme="minorHAnsi" w:eastAsia="Calibri" w:hAnsiTheme="minorHAnsi"/>
      <w:szCs w:val="20"/>
      <w:lang w:eastAsia="en-US"/>
    </w:rPr>
  </w:style>
  <w:style w:type="character" w:customStyle="1" w:styleId="PBACnormalChar">
    <w:name w:val="PBAC normal Char"/>
    <w:basedOn w:val="DefaultParagraphFont"/>
    <w:link w:val="PBACnormal"/>
    <w:rsid w:val="00CA18F3"/>
    <w:rPr>
      <w:rFonts w:asciiTheme="minorHAnsi" w:eastAsia="Calibri" w:hAnsiTheme="minorHAnsi" w:cs="Arial"/>
      <w:sz w:val="24"/>
      <w:lang w:eastAsia="en-US"/>
    </w:rPr>
  </w:style>
  <w:style w:type="paragraph" w:customStyle="1" w:styleId="3-SubsectionHeading">
    <w:name w:val="3-Subsection Heading"/>
    <w:basedOn w:val="Heading2"/>
    <w:next w:val="Normal"/>
    <w:link w:val="3-SubsectionHeadingChar"/>
    <w:qFormat/>
    <w:rsid w:val="006806B6"/>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6806B6"/>
    <w:rPr>
      <w:rFonts w:asciiTheme="minorHAnsi" w:eastAsiaTheme="majorEastAsia" w:hAnsiTheme="minorHAnsi" w:cstheme="majorBidi"/>
      <w:b/>
      <w:i/>
      <w:snapToGrid/>
      <w:spacing w:val="5"/>
      <w:kern w:val="28"/>
      <w:sz w:val="28"/>
      <w:szCs w:val="36"/>
      <w:lang w:eastAsia="en-US"/>
    </w:rPr>
  </w:style>
  <w:style w:type="paragraph" w:customStyle="1" w:styleId="pf0">
    <w:name w:val="pf0"/>
    <w:basedOn w:val="Normal"/>
    <w:rsid w:val="002A1769"/>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2A1769"/>
    <w:rPr>
      <w:rFonts w:ascii="Segoe UI" w:hAnsi="Segoe UI" w:cs="Segoe UI" w:hint="default"/>
      <w:sz w:val="18"/>
      <w:szCs w:val="18"/>
    </w:rPr>
  </w:style>
  <w:style w:type="character" w:customStyle="1" w:styleId="cf11">
    <w:name w:val="cf11"/>
    <w:basedOn w:val="DefaultParagraphFont"/>
    <w:rsid w:val="002A1769"/>
    <w:rPr>
      <w:rFonts w:ascii="Segoe UI" w:hAnsi="Segoe UI" w:cs="Segoe UI" w:hint="default"/>
      <w:i/>
      <w:iCs/>
      <w:sz w:val="18"/>
      <w:szCs w:val="18"/>
      <w:shd w:val="clear" w:color="auto" w:fill="FFFF00"/>
    </w:rPr>
  </w:style>
  <w:style w:type="character" w:customStyle="1" w:styleId="Heading1Char">
    <w:name w:val="Heading 1 Char"/>
    <w:basedOn w:val="DefaultParagraphFont"/>
    <w:link w:val="Heading1"/>
    <w:uiPriority w:val="9"/>
    <w:rsid w:val="00DA6FCC"/>
    <w:rPr>
      <w:rFonts w:ascii="Calibri" w:hAnsi="Calibri" w:cs="Arial"/>
      <w:b/>
      <w:caps/>
      <w:sz w:val="32"/>
      <w:szCs w:val="24"/>
    </w:rPr>
  </w:style>
  <w:style w:type="character" w:customStyle="1" w:styleId="Heading3Char">
    <w:name w:val="Heading 3 Char"/>
    <w:basedOn w:val="DefaultParagraphFont"/>
    <w:link w:val="Heading3"/>
    <w:uiPriority w:val="9"/>
    <w:rsid w:val="00DA6FCC"/>
    <w:rPr>
      <w:rFonts w:ascii="Calibri" w:hAnsi="Calibri" w:cs="Arial"/>
      <w:sz w:val="24"/>
      <w:szCs w:val="24"/>
      <w:u w:val="single"/>
    </w:rPr>
  </w:style>
  <w:style w:type="character" w:customStyle="1" w:styleId="Heading4Char">
    <w:name w:val="Heading 4 Char"/>
    <w:basedOn w:val="DefaultParagraphFont"/>
    <w:link w:val="Heading4"/>
    <w:uiPriority w:val="9"/>
    <w:rsid w:val="00DA6FCC"/>
    <w:rPr>
      <w:rFonts w:ascii="Calibri" w:hAnsi="Calibri" w:cs="Arial"/>
      <w:b/>
      <w:bCs/>
      <w:i/>
      <w:sz w:val="26"/>
      <w:szCs w:val="28"/>
    </w:rPr>
  </w:style>
  <w:style w:type="character" w:customStyle="1" w:styleId="Heading5Char">
    <w:name w:val="Heading 5 Char"/>
    <w:basedOn w:val="DefaultParagraphFont"/>
    <w:link w:val="Heading5"/>
    <w:uiPriority w:val="9"/>
    <w:rsid w:val="00DA6FCC"/>
    <w:rPr>
      <w:rFonts w:ascii="Calibri" w:hAnsi="Calibri" w:cs="Arial"/>
      <w:b/>
      <w:bCs/>
      <w:iCs/>
      <w:sz w:val="26"/>
      <w:szCs w:val="26"/>
    </w:rPr>
  </w:style>
  <w:style w:type="character" w:customStyle="1" w:styleId="Heading6Char">
    <w:name w:val="Heading 6 Char"/>
    <w:basedOn w:val="DefaultParagraphFont"/>
    <w:link w:val="Heading6"/>
    <w:uiPriority w:val="9"/>
    <w:rsid w:val="00DA6FCC"/>
    <w:rPr>
      <w:rFonts w:ascii="Calibri" w:hAnsi="Calibri" w:cs="Arial"/>
      <w:b/>
      <w:bCs/>
      <w:i/>
      <w:sz w:val="24"/>
      <w:szCs w:val="24"/>
    </w:rPr>
  </w:style>
  <w:style w:type="paragraph" w:styleId="Quote">
    <w:name w:val="Quote"/>
    <w:basedOn w:val="Normal"/>
    <w:next w:val="Normal"/>
    <w:link w:val="QuoteChar"/>
    <w:uiPriority w:val="29"/>
    <w:qFormat/>
    <w:rsid w:val="00DA6FCC"/>
    <w:pPr>
      <w:spacing w:before="160"/>
      <w:jc w:val="center"/>
    </w:pPr>
    <w:rPr>
      <w:i/>
      <w:iCs/>
      <w:color w:val="404040" w:themeColor="text1" w:themeTint="BF"/>
    </w:rPr>
  </w:style>
  <w:style w:type="character" w:customStyle="1" w:styleId="QuoteChar">
    <w:name w:val="Quote Char"/>
    <w:basedOn w:val="DefaultParagraphFont"/>
    <w:link w:val="Quote"/>
    <w:uiPriority w:val="29"/>
    <w:rsid w:val="00DA6FCC"/>
    <w:rPr>
      <w:rFonts w:ascii="Calibri" w:hAnsi="Calibri" w:cs="Arial"/>
      <w:i/>
      <w:iCs/>
      <w:color w:val="404040" w:themeColor="text1" w:themeTint="BF"/>
      <w:sz w:val="24"/>
      <w:szCs w:val="24"/>
    </w:rPr>
  </w:style>
  <w:style w:type="character" w:styleId="IntenseEmphasis">
    <w:name w:val="Intense Emphasis"/>
    <w:basedOn w:val="DefaultParagraphFont"/>
    <w:uiPriority w:val="21"/>
    <w:qFormat/>
    <w:rsid w:val="00DA6FCC"/>
    <w:rPr>
      <w:i/>
      <w:iCs/>
      <w:color w:val="365F91" w:themeColor="accent1" w:themeShade="BF"/>
    </w:rPr>
  </w:style>
  <w:style w:type="paragraph" w:styleId="IntenseQuote">
    <w:name w:val="Intense Quote"/>
    <w:basedOn w:val="Normal"/>
    <w:next w:val="Normal"/>
    <w:link w:val="IntenseQuoteChar"/>
    <w:uiPriority w:val="30"/>
    <w:qFormat/>
    <w:rsid w:val="00DA6FC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A6FCC"/>
    <w:rPr>
      <w:rFonts w:ascii="Calibri" w:hAnsi="Calibri" w:cs="Arial"/>
      <w:i/>
      <w:iCs/>
      <w:color w:val="365F91" w:themeColor="accent1" w:themeShade="BF"/>
      <w:sz w:val="24"/>
      <w:szCs w:val="24"/>
    </w:rPr>
  </w:style>
  <w:style w:type="character" w:styleId="IntenseReference">
    <w:name w:val="Intense Reference"/>
    <w:basedOn w:val="DefaultParagraphFont"/>
    <w:uiPriority w:val="32"/>
    <w:qFormat/>
    <w:rsid w:val="00DA6FC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4014">
      <w:bodyDiv w:val="1"/>
      <w:marLeft w:val="0"/>
      <w:marRight w:val="0"/>
      <w:marTop w:val="0"/>
      <w:marBottom w:val="0"/>
      <w:divBdr>
        <w:top w:val="none" w:sz="0" w:space="0" w:color="auto"/>
        <w:left w:val="none" w:sz="0" w:space="0" w:color="auto"/>
        <w:bottom w:val="none" w:sz="0" w:space="0" w:color="auto"/>
        <w:right w:val="none" w:sz="0" w:space="0" w:color="auto"/>
      </w:divBdr>
      <w:divsChild>
        <w:div w:id="2089844198">
          <w:marLeft w:val="360"/>
          <w:marRight w:val="0"/>
          <w:marTop w:val="200"/>
          <w:marBottom w:val="0"/>
          <w:divBdr>
            <w:top w:val="none" w:sz="0" w:space="0" w:color="auto"/>
            <w:left w:val="none" w:sz="0" w:space="0" w:color="auto"/>
            <w:bottom w:val="none" w:sz="0" w:space="0" w:color="auto"/>
            <w:right w:val="none" w:sz="0" w:space="0" w:color="auto"/>
          </w:divBdr>
        </w:div>
      </w:divsChild>
    </w:div>
    <w:div w:id="55669436">
      <w:bodyDiv w:val="1"/>
      <w:marLeft w:val="0"/>
      <w:marRight w:val="0"/>
      <w:marTop w:val="0"/>
      <w:marBottom w:val="0"/>
      <w:divBdr>
        <w:top w:val="none" w:sz="0" w:space="0" w:color="auto"/>
        <w:left w:val="none" w:sz="0" w:space="0" w:color="auto"/>
        <w:bottom w:val="none" w:sz="0" w:space="0" w:color="auto"/>
        <w:right w:val="none" w:sz="0" w:space="0" w:color="auto"/>
      </w:divBdr>
    </w:div>
    <w:div w:id="61493903">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3357754">
      <w:bodyDiv w:val="1"/>
      <w:marLeft w:val="0"/>
      <w:marRight w:val="0"/>
      <w:marTop w:val="0"/>
      <w:marBottom w:val="0"/>
      <w:divBdr>
        <w:top w:val="none" w:sz="0" w:space="0" w:color="auto"/>
        <w:left w:val="none" w:sz="0" w:space="0" w:color="auto"/>
        <w:bottom w:val="none" w:sz="0" w:space="0" w:color="auto"/>
        <w:right w:val="none" w:sz="0" w:space="0" w:color="auto"/>
      </w:divBdr>
    </w:div>
    <w:div w:id="224686039">
      <w:bodyDiv w:val="1"/>
      <w:marLeft w:val="0"/>
      <w:marRight w:val="0"/>
      <w:marTop w:val="0"/>
      <w:marBottom w:val="0"/>
      <w:divBdr>
        <w:top w:val="none" w:sz="0" w:space="0" w:color="auto"/>
        <w:left w:val="none" w:sz="0" w:space="0" w:color="auto"/>
        <w:bottom w:val="none" w:sz="0" w:space="0" w:color="auto"/>
        <w:right w:val="none" w:sz="0" w:space="0" w:color="auto"/>
      </w:divBdr>
      <w:divsChild>
        <w:div w:id="1103645521">
          <w:marLeft w:val="360"/>
          <w:marRight w:val="0"/>
          <w:marTop w:val="200"/>
          <w:marBottom w:val="0"/>
          <w:divBdr>
            <w:top w:val="none" w:sz="0" w:space="0" w:color="auto"/>
            <w:left w:val="none" w:sz="0" w:space="0" w:color="auto"/>
            <w:bottom w:val="none" w:sz="0" w:space="0" w:color="auto"/>
            <w:right w:val="none" w:sz="0" w:space="0" w:color="auto"/>
          </w:divBdr>
        </w:div>
        <w:div w:id="1467770517">
          <w:marLeft w:val="360"/>
          <w:marRight w:val="0"/>
          <w:marTop w:val="200"/>
          <w:marBottom w:val="0"/>
          <w:divBdr>
            <w:top w:val="none" w:sz="0" w:space="0" w:color="auto"/>
            <w:left w:val="none" w:sz="0" w:space="0" w:color="auto"/>
            <w:bottom w:val="none" w:sz="0" w:space="0" w:color="auto"/>
            <w:right w:val="none" w:sz="0" w:space="0" w:color="auto"/>
          </w:divBdr>
        </w:div>
        <w:div w:id="1883250924">
          <w:marLeft w:val="360"/>
          <w:marRight w:val="0"/>
          <w:marTop w:val="200"/>
          <w:marBottom w:val="0"/>
          <w:divBdr>
            <w:top w:val="none" w:sz="0" w:space="0" w:color="auto"/>
            <w:left w:val="none" w:sz="0" w:space="0" w:color="auto"/>
            <w:bottom w:val="none" w:sz="0" w:space="0" w:color="auto"/>
            <w:right w:val="none" w:sz="0" w:space="0" w:color="auto"/>
          </w:divBdr>
        </w:div>
      </w:divsChild>
    </w:div>
    <w:div w:id="225385237">
      <w:bodyDiv w:val="1"/>
      <w:marLeft w:val="0"/>
      <w:marRight w:val="0"/>
      <w:marTop w:val="0"/>
      <w:marBottom w:val="0"/>
      <w:divBdr>
        <w:top w:val="none" w:sz="0" w:space="0" w:color="auto"/>
        <w:left w:val="none" w:sz="0" w:space="0" w:color="auto"/>
        <w:bottom w:val="none" w:sz="0" w:space="0" w:color="auto"/>
        <w:right w:val="none" w:sz="0" w:space="0" w:color="auto"/>
      </w:divBdr>
    </w:div>
    <w:div w:id="238372731">
      <w:bodyDiv w:val="1"/>
      <w:marLeft w:val="0"/>
      <w:marRight w:val="0"/>
      <w:marTop w:val="0"/>
      <w:marBottom w:val="0"/>
      <w:divBdr>
        <w:top w:val="none" w:sz="0" w:space="0" w:color="auto"/>
        <w:left w:val="none" w:sz="0" w:space="0" w:color="auto"/>
        <w:bottom w:val="none" w:sz="0" w:space="0" w:color="auto"/>
        <w:right w:val="none" w:sz="0" w:space="0" w:color="auto"/>
      </w:divBdr>
      <w:divsChild>
        <w:div w:id="532768031">
          <w:marLeft w:val="1080"/>
          <w:marRight w:val="0"/>
          <w:marTop w:val="100"/>
          <w:marBottom w:val="0"/>
          <w:divBdr>
            <w:top w:val="none" w:sz="0" w:space="0" w:color="auto"/>
            <w:left w:val="none" w:sz="0" w:space="0" w:color="auto"/>
            <w:bottom w:val="none" w:sz="0" w:space="0" w:color="auto"/>
            <w:right w:val="none" w:sz="0" w:space="0" w:color="auto"/>
          </w:divBdr>
        </w:div>
      </w:divsChild>
    </w:div>
    <w:div w:id="307251165">
      <w:bodyDiv w:val="1"/>
      <w:marLeft w:val="0"/>
      <w:marRight w:val="0"/>
      <w:marTop w:val="0"/>
      <w:marBottom w:val="0"/>
      <w:divBdr>
        <w:top w:val="none" w:sz="0" w:space="0" w:color="auto"/>
        <w:left w:val="none" w:sz="0" w:space="0" w:color="auto"/>
        <w:bottom w:val="none" w:sz="0" w:space="0" w:color="auto"/>
        <w:right w:val="none" w:sz="0" w:space="0" w:color="auto"/>
      </w:divBdr>
      <w:divsChild>
        <w:div w:id="373894161">
          <w:marLeft w:val="1080"/>
          <w:marRight w:val="0"/>
          <w:marTop w:val="10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3412186">
      <w:bodyDiv w:val="1"/>
      <w:marLeft w:val="0"/>
      <w:marRight w:val="0"/>
      <w:marTop w:val="0"/>
      <w:marBottom w:val="0"/>
      <w:divBdr>
        <w:top w:val="none" w:sz="0" w:space="0" w:color="auto"/>
        <w:left w:val="none" w:sz="0" w:space="0" w:color="auto"/>
        <w:bottom w:val="none" w:sz="0" w:space="0" w:color="auto"/>
        <w:right w:val="none" w:sz="0" w:space="0" w:color="auto"/>
      </w:divBdr>
    </w:div>
    <w:div w:id="337737258">
      <w:bodyDiv w:val="1"/>
      <w:marLeft w:val="0"/>
      <w:marRight w:val="0"/>
      <w:marTop w:val="0"/>
      <w:marBottom w:val="0"/>
      <w:divBdr>
        <w:top w:val="none" w:sz="0" w:space="0" w:color="auto"/>
        <w:left w:val="none" w:sz="0" w:space="0" w:color="auto"/>
        <w:bottom w:val="none" w:sz="0" w:space="0" w:color="auto"/>
        <w:right w:val="none" w:sz="0" w:space="0" w:color="auto"/>
      </w:divBdr>
      <w:divsChild>
        <w:div w:id="666129988">
          <w:marLeft w:val="1080"/>
          <w:marRight w:val="0"/>
          <w:marTop w:val="100"/>
          <w:marBottom w:val="0"/>
          <w:divBdr>
            <w:top w:val="none" w:sz="0" w:space="0" w:color="auto"/>
            <w:left w:val="none" w:sz="0" w:space="0" w:color="auto"/>
            <w:bottom w:val="none" w:sz="0" w:space="0" w:color="auto"/>
            <w:right w:val="none" w:sz="0" w:space="0" w:color="auto"/>
          </w:divBdr>
        </w:div>
      </w:divsChild>
    </w:div>
    <w:div w:id="366561315">
      <w:bodyDiv w:val="1"/>
      <w:marLeft w:val="0"/>
      <w:marRight w:val="0"/>
      <w:marTop w:val="0"/>
      <w:marBottom w:val="0"/>
      <w:divBdr>
        <w:top w:val="none" w:sz="0" w:space="0" w:color="auto"/>
        <w:left w:val="none" w:sz="0" w:space="0" w:color="auto"/>
        <w:bottom w:val="none" w:sz="0" w:space="0" w:color="auto"/>
        <w:right w:val="none" w:sz="0" w:space="0" w:color="auto"/>
      </w:divBdr>
      <w:divsChild>
        <w:div w:id="1328484010">
          <w:marLeft w:val="446"/>
          <w:marRight w:val="0"/>
          <w:marTop w:val="0"/>
          <w:marBottom w:val="0"/>
          <w:divBdr>
            <w:top w:val="none" w:sz="0" w:space="0" w:color="auto"/>
            <w:left w:val="none" w:sz="0" w:space="0" w:color="auto"/>
            <w:bottom w:val="none" w:sz="0" w:space="0" w:color="auto"/>
            <w:right w:val="none" w:sz="0" w:space="0" w:color="auto"/>
          </w:divBdr>
        </w:div>
      </w:divsChild>
    </w:div>
    <w:div w:id="369844310">
      <w:bodyDiv w:val="1"/>
      <w:marLeft w:val="0"/>
      <w:marRight w:val="0"/>
      <w:marTop w:val="0"/>
      <w:marBottom w:val="0"/>
      <w:divBdr>
        <w:top w:val="none" w:sz="0" w:space="0" w:color="auto"/>
        <w:left w:val="none" w:sz="0" w:space="0" w:color="auto"/>
        <w:bottom w:val="none" w:sz="0" w:space="0" w:color="auto"/>
        <w:right w:val="none" w:sz="0" w:space="0" w:color="auto"/>
      </w:divBdr>
    </w:div>
    <w:div w:id="522977866">
      <w:bodyDiv w:val="1"/>
      <w:marLeft w:val="0"/>
      <w:marRight w:val="0"/>
      <w:marTop w:val="0"/>
      <w:marBottom w:val="0"/>
      <w:divBdr>
        <w:top w:val="none" w:sz="0" w:space="0" w:color="auto"/>
        <w:left w:val="none" w:sz="0" w:space="0" w:color="auto"/>
        <w:bottom w:val="none" w:sz="0" w:space="0" w:color="auto"/>
        <w:right w:val="none" w:sz="0" w:space="0" w:color="auto"/>
      </w:divBdr>
    </w:div>
    <w:div w:id="599293578">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38096654">
      <w:bodyDiv w:val="1"/>
      <w:marLeft w:val="0"/>
      <w:marRight w:val="0"/>
      <w:marTop w:val="0"/>
      <w:marBottom w:val="0"/>
      <w:divBdr>
        <w:top w:val="none" w:sz="0" w:space="0" w:color="auto"/>
        <w:left w:val="none" w:sz="0" w:space="0" w:color="auto"/>
        <w:bottom w:val="none" w:sz="0" w:space="0" w:color="auto"/>
        <w:right w:val="none" w:sz="0" w:space="0" w:color="auto"/>
      </w:divBdr>
    </w:div>
    <w:div w:id="968900805">
      <w:bodyDiv w:val="1"/>
      <w:marLeft w:val="0"/>
      <w:marRight w:val="0"/>
      <w:marTop w:val="0"/>
      <w:marBottom w:val="0"/>
      <w:divBdr>
        <w:top w:val="none" w:sz="0" w:space="0" w:color="auto"/>
        <w:left w:val="none" w:sz="0" w:space="0" w:color="auto"/>
        <w:bottom w:val="none" w:sz="0" w:space="0" w:color="auto"/>
        <w:right w:val="none" w:sz="0" w:space="0" w:color="auto"/>
      </w:divBdr>
    </w:div>
    <w:div w:id="974681410">
      <w:bodyDiv w:val="1"/>
      <w:marLeft w:val="0"/>
      <w:marRight w:val="0"/>
      <w:marTop w:val="0"/>
      <w:marBottom w:val="0"/>
      <w:divBdr>
        <w:top w:val="none" w:sz="0" w:space="0" w:color="auto"/>
        <w:left w:val="none" w:sz="0" w:space="0" w:color="auto"/>
        <w:bottom w:val="none" w:sz="0" w:space="0" w:color="auto"/>
        <w:right w:val="none" w:sz="0" w:space="0" w:color="auto"/>
      </w:divBdr>
    </w:div>
    <w:div w:id="1050571811">
      <w:bodyDiv w:val="1"/>
      <w:marLeft w:val="0"/>
      <w:marRight w:val="0"/>
      <w:marTop w:val="0"/>
      <w:marBottom w:val="0"/>
      <w:divBdr>
        <w:top w:val="none" w:sz="0" w:space="0" w:color="auto"/>
        <w:left w:val="none" w:sz="0" w:space="0" w:color="auto"/>
        <w:bottom w:val="none" w:sz="0" w:space="0" w:color="auto"/>
        <w:right w:val="none" w:sz="0" w:space="0" w:color="auto"/>
      </w:divBdr>
      <w:divsChild>
        <w:div w:id="812796908">
          <w:marLeft w:val="1080"/>
          <w:marRight w:val="0"/>
          <w:marTop w:val="100"/>
          <w:marBottom w:val="0"/>
          <w:divBdr>
            <w:top w:val="none" w:sz="0" w:space="0" w:color="auto"/>
            <w:left w:val="none" w:sz="0" w:space="0" w:color="auto"/>
            <w:bottom w:val="none" w:sz="0" w:space="0" w:color="auto"/>
            <w:right w:val="none" w:sz="0" w:space="0" w:color="auto"/>
          </w:divBdr>
        </w:div>
      </w:divsChild>
    </w:div>
    <w:div w:id="1153332750">
      <w:bodyDiv w:val="1"/>
      <w:marLeft w:val="0"/>
      <w:marRight w:val="0"/>
      <w:marTop w:val="0"/>
      <w:marBottom w:val="0"/>
      <w:divBdr>
        <w:top w:val="none" w:sz="0" w:space="0" w:color="auto"/>
        <w:left w:val="none" w:sz="0" w:space="0" w:color="auto"/>
        <w:bottom w:val="none" w:sz="0" w:space="0" w:color="auto"/>
        <w:right w:val="none" w:sz="0" w:space="0" w:color="auto"/>
      </w:divBdr>
    </w:div>
    <w:div w:id="116735667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91336244">
      <w:bodyDiv w:val="1"/>
      <w:marLeft w:val="0"/>
      <w:marRight w:val="0"/>
      <w:marTop w:val="0"/>
      <w:marBottom w:val="0"/>
      <w:divBdr>
        <w:top w:val="none" w:sz="0" w:space="0" w:color="auto"/>
        <w:left w:val="none" w:sz="0" w:space="0" w:color="auto"/>
        <w:bottom w:val="none" w:sz="0" w:space="0" w:color="auto"/>
        <w:right w:val="none" w:sz="0" w:space="0" w:color="auto"/>
      </w:divBdr>
    </w:div>
    <w:div w:id="1222719062">
      <w:bodyDiv w:val="1"/>
      <w:marLeft w:val="0"/>
      <w:marRight w:val="0"/>
      <w:marTop w:val="0"/>
      <w:marBottom w:val="0"/>
      <w:divBdr>
        <w:top w:val="none" w:sz="0" w:space="0" w:color="auto"/>
        <w:left w:val="none" w:sz="0" w:space="0" w:color="auto"/>
        <w:bottom w:val="none" w:sz="0" w:space="0" w:color="auto"/>
        <w:right w:val="none" w:sz="0" w:space="0" w:color="auto"/>
      </w:divBdr>
      <w:divsChild>
        <w:div w:id="606699227">
          <w:marLeft w:val="1080"/>
          <w:marRight w:val="0"/>
          <w:marTop w:val="100"/>
          <w:marBottom w:val="0"/>
          <w:divBdr>
            <w:top w:val="none" w:sz="0" w:space="0" w:color="auto"/>
            <w:left w:val="none" w:sz="0" w:space="0" w:color="auto"/>
            <w:bottom w:val="none" w:sz="0" w:space="0" w:color="auto"/>
            <w:right w:val="none" w:sz="0" w:space="0" w:color="auto"/>
          </w:divBdr>
        </w:div>
      </w:divsChild>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8784416">
      <w:bodyDiv w:val="1"/>
      <w:marLeft w:val="0"/>
      <w:marRight w:val="0"/>
      <w:marTop w:val="0"/>
      <w:marBottom w:val="0"/>
      <w:divBdr>
        <w:top w:val="none" w:sz="0" w:space="0" w:color="auto"/>
        <w:left w:val="none" w:sz="0" w:space="0" w:color="auto"/>
        <w:bottom w:val="none" w:sz="0" w:space="0" w:color="auto"/>
        <w:right w:val="none" w:sz="0" w:space="0" w:color="auto"/>
      </w:divBdr>
      <w:divsChild>
        <w:div w:id="269627114">
          <w:marLeft w:val="1080"/>
          <w:marRight w:val="0"/>
          <w:marTop w:val="100"/>
          <w:marBottom w:val="0"/>
          <w:divBdr>
            <w:top w:val="none" w:sz="0" w:space="0" w:color="auto"/>
            <w:left w:val="none" w:sz="0" w:space="0" w:color="auto"/>
            <w:bottom w:val="none" w:sz="0" w:space="0" w:color="auto"/>
            <w:right w:val="none" w:sz="0" w:space="0" w:color="auto"/>
          </w:divBdr>
        </w:div>
        <w:div w:id="610547876">
          <w:marLeft w:val="1080"/>
          <w:marRight w:val="0"/>
          <w:marTop w:val="100"/>
          <w:marBottom w:val="0"/>
          <w:divBdr>
            <w:top w:val="none" w:sz="0" w:space="0" w:color="auto"/>
            <w:left w:val="none" w:sz="0" w:space="0" w:color="auto"/>
            <w:bottom w:val="none" w:sz="0" w:space="0" w:color="auto"/>
            <w:right w:val="none" w:sz="0" w:space="0" w:color="auto"/>
          </w:divBdr>
        </w:div>
        <w:div w:id="983969033">
          <w:marLeft w:val="360"/>
          <w:marRight w:val="0"/>
          <w:marTop w:val="200"/>
          <w:marBottom w:val="0"/>
          <w:divBdr>
            <w:top w:val="none" w:sz="0" w:space="0" w:color="auto"/>
            <w:left w:val="none" w:sz="0" w:space="0" w:color="auto"/>
            <w:bottom w:val="none" w:sz="0" w:space="0" w:color="auto"/>
            <w:right w:val="none" w:sz="0" w:space="0" w:color="auto"/>
          </w:divBdr>
        </w:div>
      </w:divsChild>
    </w:div>
    <w:div w:id="1347556369">
      <w:bodyDiv w:val="1"/>
      <w:marLeft w:val="0"/>
      <w:marRight w:val="0"/>
      <w:marTop w:val="0"/>
      <w:marBottom w:val="0"/>
      <w:divBdr>
        <w:top w:val="none" w:sz="0" w:space="0" w:color="auto"/>
        <w:left w:val="none" w:sz="0" w:space="0" w:color="auto"/>
        <w:bottom w:val="none" w:sz="0" w:space="0" w:color="auto"/>
        <w:right w:val="none" w:sz="0" w:space="0" w:color="auto"/>
      </w:divBdr>
    </w:div>
    <w:div w:id="1480419023">
      <w:bodyDiv w:val="1"/>
      <w:marLeft w:val="0"/>
      <w:marRight w:val="0"/>
      <w:marTop w:val="0"/>
      <w:marBottom w:val="0"/>
      <w:divBdr>
        <w:top w:val="none" w:sz="0" w:space="0" w:color="auto"/>
        <w:left w:val="none" w:sz="0" w:space="0" w:color="auto"/>
        <w:bottom w:val="none" w:sz="0" w:space="0" w:color="auto"/>
        <w:right w:val="none" w:sz="0" w:space="0" w:color="auto"/>
      </w:divBdr>
      <w:divsChild>
        <w:div w:id="628361365">
          <w:marLeft w:val="360"/>
          <w:marRight w:val="0"/>
          <w:marTop w:val="200"/>
          <w:marBottom w:val="0"/>
          <w:divBdr>
            <w:top w:val="none" w:sz="0" w:space="0" w:color="auto"/>
            <w:left w:val="none" w:sz="0" w:space="0" w:color="auto"/>
            <w:bottom w:val="none" w:sz="0" w:space="0" w:color="auto"/>
            <w:right w:val="none" w:sz="0" w:space="0" w:color="auto"/>
          </w:divBdr>
        </w:div>
      </w:divsChild>
    </w:div>
    <w:div w:id="1492529381">
      <w:bodyDiv w:val="1"/>
      <w:marLeft w:val="0"/>
      <w:marRight w:val="0"/>
      <w:marTop w:val="0"/>
      <w:marBottom w:val="0"/>
      <w:divBdr>
        <w:top w:val="none" w:sz="0" w:space="0" w:color="auto"/>
        <w:left w:val="none" w:sz="0" w:space="0" w:color="auto"/>
        <w:bottom w:val="none" w:sz="0" w:space="0" w:color="auto"/>
        <w:right w:val="none" w:sz="0" w:space="0" w:color="auto"/>
      </w:divBdr>
    </w:div>
    <w:div w:id="1499342404">
      <w:bodyDiv w:val="1"/>
      <w:marLeft w:val="0"/>
      <w:marRight w:val="0"/>
      <w:marTop w:val="0"/>
      <w:marBottom w:val="0"/>
      <w:divBdr>
        <w:top w:val="none" w:sz="0" w:space="0" w:color="auto"/>
        <w:left w:val="none" w:sz="0" w:space="0" w:color="auto"/>
        <w:bottom w:val="none" w:sz="0" w:space="0" w:color="auto"/>
        <w:right w:val="none" w:sz="0" w:space="0" w:color="auto"/>
      </w:divBdr>
      <w:divsChild>
        <w:div w:id="1717579234">
          <w:marLeft w:val="360"/>
          <w:marRight w:val="0"/>
          <w:marTop w:val="200"/>
          <w:marBottom w:val="0"/>
          <w:divBdr>
            <w:top w:val="none" w:sz="0" w:space="0" w:color="auto"/>
            <w:left w:val="none" w:sz="0" w:space="0" w:color="auto"/>
            <w:bottom w:val="none" w:sz="0" w:space="0" w:color="auto"/>
            <w:right w:val="none" w:sz="0" w:space="0" w:color="auto"/>
          </w:divBdr>
        </w:div>
      </w:divsChild>
    </w:div>
    <w:div w:id="1501314736">
      <w:bodyDiv w:val="1"/>
      <w:marLeft w:val="0"/>
      <w:marRight w:val="0"/>
      <w:marTop w:val="0"/>
      <w:marBottom w:val="0"/>
      <w:divBdr>
        <w:top w:val="none" w:sz="0" w:space="0" w:color="auto"/>
        <w:left w:val="none" w:sz="0" w:space="0" w:color="auto"/>
        <w:bottom w:val="none" w:sz="0" w:space="0" w:color="auto"/>
        <w:right w:val="none" w:sz="0" w:space="0" w:color="auto"/>
      </w:divBdr>
    </w:div>
    <w:div w:id="1503547625">
      <w:bodyDiv w:val="1"/>
      <w:marLeft w:val="0"/>
      <w:marRight w:val="0"/>
      <w:marTop w:val="0"/>
      <w:marBottom w:val="0"/>
      <w:divBdr>
        <w:top w:val="none" w:sz="0" w:space="0" w:color="auto"/>
        <w:left w:val="none" w:sz="0" w:space="0" w:color="auto"/>
        <w:bottom w:val="none" w:sz="0" w:space="0" w:color="auto"/>
        <w:right w:val="none" w:sz="0" w:space="0" w:color="auto"/>
      </w:divBdr>
      <w:divsChild>
        <w:div w:id="1037463874">
          <w:marLeft w:val="360"/>
          <w:marRight w:val="0"/>
          <w:marTop w:val="200"/>
          <w:marBottom w:val="0"/>
          <w:divBdr>
            <w:top w:val="none" w:sz="0" w:space="0" w:color="auto"/>
            <w:left w:val="none" w:sz="0" w:space="0" w:color="auto"/>
            <w:bottom w:val="none" w:sz="0" w:space="0" w:color="auto"/>
            <w:right w:val="none" w:sz="0" w:space="0" w:color="auto"/>
          </w:divBdr>
        </w:div>
        <w:div w:id="1615750667">
          <w:marLeft w:val="1080"/>
          <w:marRight w:val="0"/>
          <w:marTop w:val="100"/>
          <w:marBottom w:val="0"/>
          <w:divBdr>
            <w:top w:val="none" w:sz="0" w:space="0" w:color="auto"/>
            <w:left w:val="none" w:sz="0" w:space="0" w:color="auto"/>
            <w:bottom w:val="none" w:sz="0" w:space="0" w:color="auto"/>
            <w:right w:val="none" w:sz="0" w:space="0" w:color="auto"/>
          </w:divBdr>
        </w:div>
        <w:div w:id="2026977411">
          <w:marLeft w:val="1080"/>
          <w:marRight w:val="0"/>
          <w:marTop w:val="100"/>
          <w:marBottom w:val="0"/>
          <w:divBdr>
            <w:top w:val="none" w:sz="0" w:space="0" w:color="auto"/>
            <w:left w:val="none" w:sz="0" w:space="0" w:color="auto"/>
            <w:bottom w:val="none" w:sz="0" w:space="0" w:color="auto"/>
            <w:right w:val="none" w:sz="0" w:space="0" w:color="auto"/>
          </w:divBdr>
        </w:div>
      </w:divsChild>
    </w:div>
    <w:div w:id="1558512357">
      <w:bodyDiv w:val="1"/>
      <w:marLeft w:val="0"/>
      <w:marRight w:val="0"/>
      <w:marTop w:val="0"/>
      <w:marBottom w:val="0"/>
      <w:divBdr>
        <w:top w:val="none" w:sz="0" w:space="0" w:color="auto"/>
        <w:left w:val="none" w:sz="0" w:space="0" w:color="auto"/>
        <w:bottom w:val="none" w:sz="0" w:space="0" w:color="auto"/>
        <w:right w:val="none" w:sz="0" w:space="0" w:color="auto"/>
      </w:divBdr>
      <w:divsChild>
        <w:div w:id="534080769">
          <w:marLeft w:val="0"/>
          <w:marRight w:val="0"/>
          <w:marTop w:val="0"/>
          <w:marBottom w:val="0"/>
          <w:divBdr>
            <w:top w:val="none" w:sz="0" w:space="0" w:color="auto"/>
            <w:left w:val="none" w:sz="0" w:space="0" w:color="auto"/>
            <w:bottom w:val="none" w:sz="0" w:space="0" w:color="auto"/>
            <w:right w:val="none" w:sz="0" w:space="0" w:color="auto"/>
          </w:divBdr>
        </w:div>
      </w:divsChild>
    </w:div>
    <w:div w:id="1593591657">
      <w:bodyDiv w:val="1"/>
      <w:marLeft w:val="0"/>
      <w:marRight w:val="0"/>
      <w:marTop w:val="0"/>
      <w:marBottom w:val="0"/>
      <w:divBdr>
        <w:top w:val="none" w:sz="0" w:space="0" w:color="auto"/>
        <w:left w:val="none" w:sz="0" w:space="0" w:color="auto"/>
        <w:bottom w:val="none" w:sz="0" w:space="0" w:color="auto"/>
        <w:right w:val="none" w:sz="0" w:space="0" w:color="auto"/>
      </w:divBdr>
      <w:divsChild>
        <w:div w:id="1313872593">
          <w:marLeft w:val="1080"/>
          <w:marRight w:val="0"/>
          <w:marTop w:val="100"/>
          <w:marBottom w:val="0"/>
          <w:divBdr>
            <w:top w:val="none" w:sz="0" w:space="0" w:color="auto"/>
            <w:left w:val="none" w:sz="0" w:space="0" w:color="auto"/>
            <w:bottom w:val="none" w:sz="0" w:space="0" w:color="auto"/>
            <w:right w:val="none" w:sz="0" w:space="0" w:color="auto"/>
          </w:divBdr>
        </w:div>
      </w:divsChild>
    </w:div>
    <w:div w:id="1609115860">
      <w:bodyDiv w:val="1"/>
      <w:marLeft w:val="0"/>
      <w:marRight w:val="0"/>
      <w:marTop w:val="0"/>
      <w:marBottom w:val="0"/>
      <w:divBdr>
        <w:top w:val="none" w:sz="0" w:space="0" w:color="auto"/>
        <w:left w:val="none" w:sz="0" w:space="0" w:color="auto"/>
        <w:bottom w:val="none" w:sz="0" w:space="0" w:color="auto"/>
        <w:right w:val="none" w:sz="0" w:space="0" w:color="auto"/>
      </w:divBdr>
      <w:divsChild>
        <w:div w:id="459961551">
          <w:marLeft w:val="0"/>
          <w:marRight w:val="0"/>
          <w:marTop w:val="0"/>
          <w:marBottom w:val="0"/>
          <w:divBdr>
            <w:top w:val="none" w:sz="0" w:space="0" w:color="auto"/>
            <w:left w:val="none" w:sz="0" w:space="0" w:color="auto"/>
            <w:bottom w:val="none" w:sz="0" w:space="0" w:color="auto"/>
            <w:right w:val="none" w:sz="0" w:space="0" w:color="auto"/>
          </w:divBdr>
        </w:div>
      </w:divsChild>
    </w:div>
    <w:div w:id="1720738568">
      <w:bodyDiv w:val="1"/>
      <w:marLeft w:val="0"/>
      <w:marRight w:val="0"/>
      <w:marTop w:val="0"/>
      <w:marBottom w:val="0"/>
      <w:divBdr>
        <w:top w:val="none" w:sz="0" w:space="0" w:color="auto"/>
        <w:left w:val="none" w:sz="0" w:space="0" w:color="auto"/>
        <w:bottom w:val="none" w:sz="0" w:space="0" w:color="auto"/>
        <w:right w:val="none" w:sz="0" w:space="0" w:color="auto"/>
      </w:divBdr>
      <w:divsChild>
        <w:div w:id="881290460">
          <w:marLeft w:val="360"/>
          <w:marRight w:val="0"/>
          <w:marTop w:val="200"/>
          <w:marBottom w:val="0"/>
          <w:divBdr>
            <w:top w:val="none" w:sz="0" w:space="0" w:color="auto"/>
            <w:left w:val="none" w:sz="0" w:space="0" w:color="auto"/>
            <w:bottom w:val="none" w:sz="0" w:space="0" w:color="auto"/>
            <w:right w:val="none" w:sz="0" w:space="0" w:color="auto"/>
          </w:divBdr>
        </w:div>
        <w:div w:id="1643803655">
          <w:marLeft w:val="1080"/>
          <w:marRight w:val="0"/>
          <w:marTop w:val="100"/>
          <w:marBottom w:val="0"/>
          <w:divBdr>
            <w:top w:val="none" w:sz="0" w:space="0" w:color="auto"/>
            <w:left w:val="none" w:sz="0" w:space="0" w:color="auto"/>
            <w:bottom w:val="none" w:sz="0" w:space="0" w:color="auto"/>
            <w:right w:val="none" w:sz="0" w:space="0" w:color="auto"/>
          </w:divBdr>
        </w:div>
      </w:divsChild>
    </w:div>
    <w:div w:id="1729181686">
      <w:bodyDiv w:val="1"/>
      <w:marLeft w:val="0"/>
      <w:marRight w:val="0"/>
      <w:marTop w:val="0"/>
      <w:marBottom w:val="0"/>
      <w:divBdr>
        <w:top w:val="none" w:sz="0" w:space="0" w:color="auto"/>
        <w:left w:val="none" w:sz="0" w:space="0" w:color="auto"/>
        <w:bottom w:val="none" w:sz="0" w:space="0" w:color="auto"/>
        <w:right w:val="none" w:sz="0" w:space="0" w:color="auto"/>
      </w:divBdr>
      <w:divsChild>
        <w:div w:id="457459110">
          <w:marLeft w:val="446"/>
          <w:marRight w:val="0"/>
          <w:marTop w:val="0"/>
          <w:marBottom w:val="0"/>
          <w:divBdr>
            <w:top w:val="none" w:sz="0" w:space="0" w:color="auto"/>
            <w:left w:val="none" w:sz="0" w:space="0" w:color="auto"/>
            <w:bottom w:val="none" w:sz="0" w:space="0" w:color="auto"/>
            <w:right w:val="none" w:sz="0" w:space="0" w:color="auto"/>
          </w:divBdr>
        </w:div>
        <w:div w:id="636881773">
          <w:marLeft w:val="446"/>
          <w:marRight w:val="0"/>
          <w:marTop w:val="0"/>
          <w:marBottom w:val="0"/>
          <w:divBdr>
            <w:top w:val="none" w:sz="0" w:space="0" w:color="auto"/>
            <w:left w:val="none" w:sz="0" w:space="0" w:color="auto"/>
            <w:bottom w:val="none" w:sz="0" w:space="0" w:color="auto"/>
            <w:right w:val="none" w:sz="0" w:space="0" w:color="auto"/>
          </w:divBdr>
        </w:div>
        <w:div w:id="767117884">
          <w:marLeft w:val="446"/>
          <w:marRight w:val="0"/>
          <w:marTop w:val="0"/>
          <w:marBottom w:val="0"/>
          <w:divBdr>
            <w:top w:val="none" w:sz="0" w:space="0" w:color="auto"/>
            <w:left w:val="none" w:sz="0" w:space="0" w:color="auto"/>
            <w:bottom w:val="none" w:sz="0" w:space="0" w:color="auto"/>
            <w:right w:val="none" w:sz="0" w:space="0" w:color="auto"/>
          </w:divBdr>
        </w:div>
        <w:div w:id="1690326463">
          <w:marLeft w:val="446"/>
          <w:marRight w:val="0"/>
          <w:marTop w:val="0"/>
          <w:marBottom w:val="0"/>
          <w:divBdr>
            <w:top w:val="none" w:sz="0" w:space="0" w:color="auto"/>
            <w:left w:val="none" w:sz="0" w:space="0" w:color="auto"/>
            <w:bottom w:val="none" w:sz="0" w:space="0" w:color="auto"/>
            <w:right w:val="none" w:sz="0" w:space="0" w:color="auto"/>
          </w:divBdr>
        </w:div>
      </w:divsChild>
    </w:div>
    <w:div w:id="1856309065">
      <w:bodyDiv w:val="1"/>
      <w:marLeft w:val="0"/>
      <w:marRight w:val="0"/>
      <w:marTop w:val="0"/>
      <w:marBottom w:val="0"/>
      <w:divBdr>
        <w:top w:val="none" w:sz="0" w:space="0" w:color="auto"/>
        <w:left w:val="none" w:sz="0" w:space="0" w:color="auto"/>
        <w:bottom w:val="none" w:sz="0" w:space="0" w:color="auto"/>
        <w:right w:val="none" w:sz="0" w:space="0" w:color="auto"/>
      </w:divBdr>
      <w:divsChild>
        <w:div w:id="1680426665">
          <w:marLeft w:val="1080"/>
          <w:marRight w:val="0"/>
          <w:marTop w:val="1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98219723">
      <w:bodyDiv w:val="1"/>
      <w:marLeft w:val="0"/>
      <w:marRight w:val="0"/>
      <w:marTop w:val="0"/>
      <w:marBottom w:val="0"/>
      <w:divBdr>
        <w:top w:val="none" w:sz="0" w:space="0" w:color="auto"/>
        <w:left w:val="none" w:sz="0" w:space="0" w:color="auto"/>
        <w:bottom w:val="none" w:sz="0" w:space="0" w:color="auto"/>
        <w:right w:val="none" w:sz="0" w:space="0" w:color="auto"/>
      </w:divBdr>
      <w:divsChild>
        <w:div w:id="85421624">
          <w:marLeft w:val="360"/>
          <w:marRight w:val="0"/>
          <w:marTop w:val="200"/>
          <w:marBottom w:val="0"/>
          <w:divBdr>
            <w:top w:val="none" w:sz="0" w:space="0" w:color="auto"/>
            <w:left w:val="none" w:sz="0" w:space="0" w:color="auto"/>
            <w:bottom w:val="none" w:sz="0" w:space="0" w:color="auto"/>
            <w:right w:val="none" w:sz="0" w:space="0" w:color="auto"/>
          </w:divBdr>
        </w:div>
      </w:divsChild>
    </w:div>
    <w:div w:id="2017414892">
      <w:bodyDiv w:val="1"/>
      <w:marLeft w:val="0"/>
      <w:marRight w:val="0"/>
      <w:marTop w:val="0"/>
      <w:marBottom w:val="0"/>
      <w:divBdr>
        <w:top w:val="none" w:sz="0" w:space="0" w:color="auto"/>
        <w:left w:val="none" w:sz="0" w:space="0" w:color="auto"/>
        <w:bottom w:val="none" w:sz="0" w:space="0" w:color="auto"/>
        <w:right w:val="none" w:sz="0" w:space="0" w:color="auto"/>
      </w:divBdr>
    </w:div>
    <w:div w:id="2074497946">
      <w:bodyDiv w:val="1"/>
      <w:marLeft w:val="0"/>
      <w:marRight w:val="0"/>
      <w:marTop w:val="0"/>
      <w:marBottom w:val="0"/>
      <w:divBdr>
        <w:top w:val="none" w:sz="0" w:space="0" w:color="auto"/>
        <w:left w:val="none" w:sz="0" w:space="0" w:color="auto"/>
        <w:bottom w:val="none" w:sz="0" w:space="0" w:color="auto"/>
        <w:right w:val="none" w:sz="0" w:space="0" w:color="auto"/>
      </w:divBdr>
    </w:div>
    <w:div w:id="21326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 TargetMode="External"/><Relationship Id="rId13" Type="http://schemas.openxmlformats.org/officeDocument/2006/relationships/hyperlink" Target="http://www.servicesaustralia.gov.au/hpo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rvicesaustralia.gov.au/hpos"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http://www.servicesaustralia.gov.au/hpo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ervicesaustralia.gov.au/hpos"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2E90CC7C-F21A-43C4-9AE2-4EE2265A6324}"/>
</file>

<file path=customXml/itemProps3.xml><?xml version="1.0" encoding="utf-8"?>
<ds:datastoreItem xmlns:ds="http://schemas.openxmlformats.org/officeDocument/2006/customXml" ds:itemID="{F54A4360-31C1-41C5-B0DE-034F45C00937}"/>
</file>

<file path=customXml/itemProps4.xml><?xml version="1.0" encoding="utf-8"?>
<ds:datastoreItem xmlns:ds="http://schemas.openxmlformats.org/officeDocument/2006/customXml" ds:itemID="{73E33CDE-5B18-45DB-92D8-2CEB15CDBE5C}"/>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19253</Words>
  <Characters>109744</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128740</CharactersWithSpaces>
  <SharedDoc>false</SharedDoc>
  <HLinks>
    <vt:vector size="36" baseType="variant">
      <vt:variant>
        <vt:i4>1507399</vt:i4>
      </vt:variant>
      <vt:variant>
        <vt:i4>54</vt:i4>
      </vt:variant>
      <vt:variant>
        <vt:i4>0</vt:i4>
      </vt:variant>
      <vt:variant>
        <vt:i4>5</vt:i4>
      </vt:variant>
      <vt:variant>
        <vt:lpwstr>http://www.servicesaustralia.gov.au/hpos</vt:lpwstr>
      </vt:variant>
      <vt:variant>
        <vt:lpwstr/>
      </vt:variant>
      <vt:variant>
        <vt:i4>1507399</vt:i4>
      </vt:variant>
      <vt:variant>
        <vt:i4>51</vt:i4>
      </vt:variant>
      <vt:variant>
        <vt:i4>0</vt:i4>
      </vt:variant>
      <vt:variant>
        <vt:i4>5</vt:i4>
      </vt:variant>
      <vt:variant>
        <vt:lpwstr>http://www.servicesaustralia.gov.au/hpos</vt:lpwstr>
      </vt:variant>
      <vt:variant>
        <vt:lpwstr/>
      </vt:variant>
      <vt:variant>
        <vt:i4>1310784</vt:i4>
      </vt:variant>
      <vt:variant>
        <vt:i4>48</vt:i4>
      </vt:variant>
      <vt:variant>
        <vt:i4>0</vt:i4>
      </vt:variant>
      <vt:variant>
        <vt:i4>5</vt:i4>
      </vt:variant>
      <vt:variant>
        <vt:lpwstr>http://www.servicesaustralia.gov.au/</vt:lpwstr>
      </vt:variant>
      <vt:variant>
        <vt:lpwstr/>
      </vt:variant>
      <vt:variant>
        <vt:i4>1507399</vt:i4>
      </vt:variant>
      <vt:variant>
        <vt:i4>21</vt:i4>
      </vt:variant>
      <vt:variant>
        <vt:i4>0</vt:i4>
      </vt:variant>
      <vt:variant>
        <vt:i4>5</vt:i4>
      </vt:variant>
      <vt:variant>
        <vt:lpwstr>http://www.servicesaustralia.gov.au/hpos</vt:lpwstr>
      </vt:variant>
      <vt:variant>
        <vt:lpwstr/>
      </vt:variant>
      <vt:variant>
        <vt:i4>1507399</vt:i4>
      </vt:variant>
      <vt:variant>
        <vt:i4>18</vt:i4>
      </vt:variant>
      <vt:variant>
        <vt:i4>0</vt:i4>
      </vt:variant>
      <vt:variant>
        <vt:i4>5</vt:i4>
      </vt:variant>
      <vt:variant>
        <vt:lpwstr>http://www.servicesaustralia.gov.au/hpos</vt:lpwstr>
      </vt:variant>
      <vt:variant>
        <vt:lpwstr/>
      </vt:variant>
      <vt:variant>
        <vt:i4>1310784</vt:i4>
      </vt:variant>
      <vt:variant>
        <vt:i4>15</vt:i4>
      </vt:variant>
      <vt:variant>
        <vt:i4>0</vt:i4>
      </vt:variant>
      <vt:variant>
        <vt:i4>5</vt:i4>
      </vt:variant>
      <vt:variant>
        <vt:lpwstr>http://www.servicesaustralia.gov.au/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2025-08-26T09:06:00Z</dcterms:created>
  <dcterms:modified xsi:type="dcterms:W3CDTF">2025-08-26T09:09:00Z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56a290d3,14c27714,28681740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7bdfb8ec,2276ab68,5b94db9a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2025-08-26T09:06:43Z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97e2ca48-aa2d-46e8-9cb6-3993025ea60e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Order">
    <vt:r8>1700</vt:r8>
  </property>
  <property fmtid="{D5CDD505-2E9C-101B-9397-08002B2CF9AE}" pid="17" name="xd_ProgID">
    <vt:lpwstr/>
  </property>
  <property fmtid="{D5CDD505-2E9C-101B-9397-08002B2CF9AE}" pid="18" name="MediaServiceImageTags">
    <vt:lpwstr/>
  </property>
  <property fmtid="{D5CDD505-2E9C-101B-9397-08002B2CF9AE}" pid="19" name="ContentTypeId">
    <vt:lpwstr>0x0101007FED174C5281F747A8037A05221D6DBD</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ies>
</file>